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5CBB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方正小标宋_GBK" w:cs="Times New Roman"/>
          <w:bCs/>
          <w:color w:val="000000" w:themeColor="text1"/>
          <w:sz w:val="72"/>
          <w:szCs w:val="72"/>
          <w14:textFill>
            <w14:solidFill>
              <w14:schemeClr w14:val="tx1"/>
            </w14:solidFill>
          </w14:textFill>
        </w:rPr>
      </w:pPr>
    </w:p>
    <w:p w14:paraId="3179A2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方正小标宋_GBK" w:cs="Times New Roman"/>
          <w:bCs/>
          <w:color w:val="000000" w:themeColor="text1"/>
          <w:sz w:val="72"/>
          <w:szCs w:val="72"/>
          <w14:textFill>
            <w14:solidFill>
              <w14:schemeClr w14:val="tx1"/>
            </w14:solidFill>
          </w14:textFill>
        </w:rPr>
      </w:pPr>
    </w:p>
    <w:p w14:paraId="6488F461">
      <w:pPr>
        <w:adjustRightInd w:val="0"/>
        <w:snapToGrid w:val="0"/>
        <w:spacing w:line="240" w:lineRule="auto"/>
        <w:ind w:firstLine="0" w:firstLineChars="0"/>
        <w:jc w:val="center"/>
        <w:outlineLvl w:val="0"/>
        <w:rPr>
          <w:rFonts w:hint="default" w:ascii="Times New Roman" w:hAnsi="Times New Roman" w:eastAsia="方正小标宋_GBK" w:cs="Times New Roman"/>
          <w:bCs/>
          <w:color w:val="000000" w:themeColor="text1"/>
          <w:sz w:val="72"/>
          <w:szCs w:val="72"/>
          <w14:textFill>
            <w14:solidFill>
              <w14:schemeClr w14:val="tx1"/>
            </w14:solidFill>
          </w14:textFill>
        </w:rPr>
      </w:pPr>
      <w:bookmarkStart w:id="0" w:name="_Toc17799"/>
      <w:r>
        <w:rPr>
          <w:rFonts w:hint="default" w:ascii="Times New Roman" w:hAnsi="Times New Roman" w:eastAsia="方正小标宋_GBK" w:cs="Times New Roman"/>
          <w:bCs/>
          <w:color w:val="000000" w:themeColor="text1"/>
          <w:sz w:val="72"/>
          <w:szCs w:val="72"/>
          <w14:textFill>
            <w14:solidFill>
              <w14:schemeClr w14:val="tx1"/>
            </w14:solidFill>
          </w14:textFill>
        </w:rPr>
        <w:t>建设项目环境影响报告表</w:t>
      </w:r>
      <w:bookmarkEnd w:id="0"/>
    </w:p>
    <w:p w14:paraId="0C83F20A">
      <w:pPr>
        <w:adjustRightInd w:val="0"/>
        <w:snapToGrid w:val="0"/>
        <w:spacing w:beforeLines="80" w:line="240" w:lineRule="auto"/>
        <w:ind w:firstLine="0" w:firstLineChars="0"/>
        <w:jc w:val="center"/>
        <w:rPr>
          <w:rFonts w:hint="default" w:ascii="Times New Roman" w:hAnsi="Times New Roman" w:eastAsia="楷体_GB2312" w:cs="Times New Roman"/>
          <w:bCs/>
          <w:color w:val="000000" w:themeColor="text1"/>
          <w:sz w:val="48"/>
          <w:szCs w:val="48"/>
          <w14:textFill>
            <w14:solidFill>
              <w14:schemeClr w14:val="tx1"/>
            </w14:solidFill>
          </w14:textFill>
        </w:rPr>
      </w:pPr>
      <w:r>
        <w:rPr>
          <w:rFonts w:hint="default" w:ascii="Times New Roman" w:hAnsi="Times New Roman" w:eastAsia="楷体_GB2312" w:cs="Times New Roman"/>
          <w:bCs/>
          <w:color w:val="000000" w:themeColor="text1"/>
          <w:sz w:val="48"/>
          <w:szCs w:val="48"/>
          <w14:textFill>
            <w14:solidFill>
              <w14:schemeClr w14:val="tx1"/>
            </w14:solidFill>
          </w14:textFill>
        </w:rPr>
        <w:t>（</w:t>
      </w:r>
      <w:r>
        <w:rPr>
          <w:rFonts w:hint="default" w:ascii="Times New Roman" w:hAnsi="Times New Roman" w:eastAsia="楷体_GB2312" w:cs="Times New Roman"/>
          <w:bCs/>
          <w:color w:val="000000" w:themeColor="text1"/>
          <w:sz w:val="48"/>
          <w:szCs w:val="48"/>
          <w:lang w:val="en-US" w:eastAsia="zh-CN"/>
          <w14:textFill>
            <w14:solidFill>
              <w14:schemeClr w14:val="tx1"/>
            </w14:solidFill>
          </w14:textFill>
        </w:rPr>
        <w:t>污染影响类</w:t>
      </w:r>
      <w:r>
        <w:rPr>
          <w:rFonts w:hint="default" w:ascii="Times New Roman" w:hAnsi="Times New Roman" w:eastAsia="楷体_GB2312" w:cs="Times New Roman"/>
          <w:bCs/>
          <w:color w:val="000000" w:themeColor="text1"/>
          <w:sz w:val="48"/>
          <w:szCs w:val="48"/>
          <w14:textFill>
            <w14:solidFill>
              <w14:schemeClr w14:val="tx1"/>
            </w14:solidFill>
          </w14:textFill>
        </w:rPr>
        <w:t>）</w:t>
      </w:r>
    </w:p>
    <w:p w14:paraId="2130CD82">
      <w:pPr>
        <w:spacing w:line="240" w:lineRule="auto"/>
        <w:ind w:firstLine="0" w:firstLineChars="0"/>
        <w:rPr>
          <w:rFonts w:hint="default" w:ascii="Times New Roman" w:hAnsi="Times New Roman" w:eastAsia="宋体" w:cs="Times New Roman"/>
          <w:color w:val="000000" w:themeColor="text1"/>
          <w:sz w:val="21"/>
          <w14:textFill>
            <w14:solidFill>
              <w14:schemeClr w14:val="tx1"/>
            </w14:solidFill>
          </w14:textFill>
        </w:rPr>
      </w:pPr>
    </w:p>
    <w:p w14:paraId="5FC265B4">
      <w:pPr>
        <w:spacing w:line="240" w:lineRule="auto"/>
        <w:ind w:firstLine="0" w:firstLineChars="0"/>
        <w:jc w:val="center"/>
        <w:rPr>
          <w:rFonts w:hint="default" w:ascii="Times New Roman" w:hAnsi="Times New Roman" w:eastAsia="仿宋" w:cs="Times New Roman"/>
          <w:color w:val="000000" w:themeColor="text1"/>
          <w:sz w:val="52"/>
          <w:szCs w:val="52"/>
          <w14:textFill>
            <w14:solidFill>
              <w14:schemeClr w14:val="tx1"/>
            </w14:solidFill>
          </w14:textFill>
        </w:rPr>
      </w:pPr>
    </w:p>
    <w:p w14:paraId="28A5D787">
      <w:pPr>
        <w:spacing w:line="240" w:lineRule="auto"/>
        <w:ind w:firstLine="1040" w:firstLineChars="0"/>
        <w:rPr>
          <w:rFonts w:hint="default" w:ascii="Times New Roman" w:hAnsi="Times New Roman" w:eastAsia="仿宋" w:cs="Times New Roman"/>
          <w:color w:val="000000" w:themeColor="text1"/>
          <w:sz w:val="44"/>
          <w:szCs w:val="44"/>
          <w14:textFill>
            <w14:solidFill>
              <w14:schemeClr w14:val="tx1"/>
            </w14:solidFill>
          </w14:textFill>
        </w:rPr>
      </w:pPr>
    </w:p>
    <w:p w14:paraId="4549EB36">
      <w:pPr>
        <w:spacing w:line="240" w:lineRule="auto"/>
        <w:ind w:firstLine="1040" w:firstLineChars="0"/>
        <w:rPr>
          <w:rFonts w:hint="default" w:ascii="Times New Roman" w:hAnsi="Times New Roman" w:eastAsia="仿宋" w:cs="Times New Roman"/>
          <w:color w:val="000000" w:themeColor="text1"/>
          <w:sz w:val="44"/>
          <w:szCs w:val="44"/>
          <w14:textFill>
            <w14:solidFill>
              <w14:schemeClr w14:val="tx1"/>
            </w14:solidFill>
          </w14:textFill>
        </w:rPr>
      </w:pPr>
    </w:p>
    <w:p w14:paraId="564B0326">
      <w:pPr>
        <w:pStyle w:val="47"/>
        <w:rPr>
          <w:rFonts w:hint="default"/>
          <w:color w:val="000000" w:themeColor="text1"/>
          <w14:textFill>
            <w14:solidFill>
              <w14:schemeClr w14:val="tx1"/>
            </w14:solidFill>
          </w14:textFill>
        </w:rPr>
      </w:pPr>
    </w:p>
    <w:p w14:paraId="4C502032">
      <w:pPr>
        <w:spacing w:line="240" w:lineRule="auto"/>
        <w:ind w:firstLine="1040" w:firstLineChars="0"/>
        <w:rPr>
          <w:rFonts w:hint="default" w:ascii="Times New Roman" w:hAnsi="Times New Roman" w:eastAsia="仿宋" w:cs="Times New Roman"/>
          <w:color w:val="000000" w:themeColor="text1"/>
          <w:sz w:val="44"/>
          <w:szCs w:val="44"/>
          <w14:textFill>
            <w14:solidFill>
              <w14:schemeClr w14:val="tx1"/>
            </w14:solidFill>
          </w14:textFill>
        </w:rPr>
      </w:pPr>
    </w:p>
    <w:p w14:paraId="595DE45C">
      <w:pPr>
        <w:spacing w:line="240" w:lineRule="auto"/>
        <w:ind w:firstLine="1040" w:firstLineChars="0"/>
        <w:rPr>
          <w:rFonts w:hint="default" w:ascii="Times New Roman" w:hAnsi="Times New Roman" w:eastAsia="仿宋" w:cs="Times New Roman"/>
          <w:color w:val="000000" w:themeColor="text1"/>
          <w:sz w:val="44"/>
          <w:szCs w:val="44"/>
          <w14:textFill>
            <w14:solidFill>
              <w14:schemeClr w14:val="tx1"/>
            </w14:solidFill>
          </w14:textFill>
        </w:rPr>
      </w:pPr>
    </w:p>
    <w:p w14:paraId="261B91F1">
      <w:pPr>
        <w:widowControl w:val="0"/>
        <w:wordWrap/>
        <w:adjustRightInd w:val="0"/>
        <w:snapToGrid w:val="0"/>
        <w:spacing w:line="480" w:lineRule="auto"/>
        <w:ind w:firstLine="0" w:firstLineChars="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p>
    <w:p w14:paraId="2EDFE3E4">
      <w:pPr>
        <w:widowControl w:val="0"/>
        <w:wordWrap/>
        <w:adjustRightInd w:val="0"/>
        <w:snapToGrid w:val="0"/>
        <w:spacing w:line="480" w:lineRule="auto"/>
        <w:ind w:firstLine="0" w:firstLineChars="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23" w:name="_GoBack"/>
      <w:bookmarkEnd w:id="23"/>
    </w:p>
    <w:p w14:paraId="1A780A13">
      <w:pPr>
        <w:widowControl w:val="0"/>
        <w:wordWrap/>
        <w:adjustRightInd w:val="0"/>
        <w:snapToGrid w:val="0"/>
        <w:spacing w:line="480" w:lineRule="auto"/>
        <w:ind w:firstLine="0" w:firstLineChars="0"/>
        <w:textAlignment w:val="auto"/>
        <w:rPr>
          <w:rFonts w:hint="default" w:eastAsia="仿宋_GB2312" w:cs="Times New Roman"/>
          <w:color w:val="000000" w:themeColor="text1"/>
          <w:sz w:val="32"/>
          <w:szCs w:val="32"/>
          <w:u w:val="singl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项目名称：</w:t>
      </w:r>
      <w:r>
        <w:rPr>
          <w:rFonts w:hint="eastAsia" w:eastAsia="仿宋_GB2312" w:cs="Times New Roman"/>
          <w:color w:val="000000" w:themeColor="text1"/>
          <w:sz w:val="32"/>
          <w:szCs w:val="32"/>
          <w:u w:val="single"/>
          <w:lang w:val="en-US" w:eastAsia="zh-CN"/>
          <w14:textFill>
            <w14:solidFill>
              <w14:schemeClr w14:val="tx1"/>
            </w14:solidFill>
          </w14:textFill>
        </w:rPr>
        <w:t xml:space="preserve">     文邦包装锅炉以及环保设施技改项目    </w:t>
      </w:r>
    </w:p>
    <w:p w14:paraId="3B5367C0">
      <w:pPr>
        <w:widowControl w:val="0"/>
        <w:wordWrap/>
        <w:adjustRightInd w:val="0"/>
        <w:snapToGrid w:val="0"/>
        <w:spacing w:line="480" w:lineRule="auto"/>
        <w:ind w:firstLine="0" w:firstLineChars="0"/>
        <w:textAlignment w:val="auto"/>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建设单位（盖章）：</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eastAsia" w:eastAsia="仿宋_GB2312" w:cs="Times New Roman"/>
          <w:color w:val="000000" w:themeColor="text1"/>
          <w:sz w:val="32"/>
          <w:szCs w:val="32"/>
          <w:u w:val="single"/>
          <w:lang w:eastAsia="zh-CN"/>
          <w14:textFill>
            <w14:solidFill>
              <w14:schemeClr w14:val="tx1"/>
            </w14:solidFill>
          </w14:textFill>
        </w:rPr>
        <w:t>峨山县文邦包装制品有限公司</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p>
    <w:p w14:paraId="52D27944">
      <w:pPr>
        <w:widowControl w:val="0"/>
        <w:wordWrap/>
        <w:adjustRightInd w:val="0"/>
        <w:snapToGrid w:val="0"/>
        <w:spacing w:line="480" w:lineRule="auto"/>
        <w:ind w:firstLine="0" w:firstLineChars="0"/>
        <w:textAlignment w:val="auto"/>
        <w:rPr>
          <w:rFonts w:hint="default" w:ascii="Times New Roman" w:hAnsi="Times New Roman" w:eastAsia="仿宋_GB2312" w:cs="Times New Roman"/>
          <w:color w:val="000000" w:themeColor="text1"/>
          <w:sz w:val="32"/>
          <w:szCs w:val="32"/>
          <w:u w:val="single"/>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编制日期：</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eastAsia"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14:textFill>
            <w14:solidFill>
              <w14:schemeClr w14:val="tx1"/>
            </w14:solidFill>
          </w14:textFill>
        </w:rPr>
        <w:t>202</w:t>
      </w:r>
      <w:r>
        <w:rPr>
          <w:rFonts w:hint="eastAsia" w:eastAsia="仿宋_GB2312" w:cs="Times New Roman"/>
          <w:color w:val="000000" w:themeColor="text1"/>
          <w:sz w:val="32"/>
          <w:szCs w:val="32"/>
          <w:u w:val="single"/>
          <w:lang w:val="en-US" w:eastAsia="zh-CN"/>
          <w14:textFill>
            <w14:solidFill>
              <w14:schemeClr w14:val="tx1"/>
            </w14:solidFill>
          </w14:textFill>
        </w:rPr>
        <w:t>6</w:t>
      </w:r>
      <w:r>
        <w:rPr>
          <w:rFonts w:hint="default" w:ascii="Times New Roman" w:hAnsi="Times New Roman" w:eastAsia="仿宋_GB2312" w:cs="Times New Roman"/>
          <w:color w:val="000000" w:themeColor="text1"/>
          <w:sz w:val="32"/>
          <w:szCs w:val="32"/>
          <w:u w:val="single"/>
          <w14:textFill>
            <w14:solidFill>
              <w14:schemeClr w14:val="tx1"/>
            </w14:solidFill>
          </w14:textFill>
        </w:rPr>
        <w:t>年</w:t>
      </w:r>
      <w:r>
        <w:rPr>
          <w:rFonts w:hint="eastAsia" w:eastAsia="仿宋_GB2312" w:cs="Times New Roman"/>
          <w:color w:val="000000" w:themeColor="text1"/>
          <w:sz w:val="32"/>
          <w:szCs w:val="32"/>
          <w:u w:val="single"/>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月  </w:t>
      </w:r>
      <w:r>
        <w:rPr>
          <w:rFonts w:hint="eastAsia"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   </w:t>
      </w:r>
    </w:p>
    <w:p w14:paraId="468D2C44">
      <w:pPr>
        <w:adjustRightInd w:val="0"/>
        <w:snapToGrid w:val="0"/>
        <w:spacing w:line="288" w:lineRule="auto"/>
        <w:ind w:firstLine="1040" w:firstLineChars="0"/>
        <w:rPr>
          <w:rFonts w:hint="default" w:ascii="Times New Roman" w:hAnsi="Times New Roman" w:eastAsia="仿宋_GB2312" w:cs="Times New Roman"/>
          <w:color w:val="000000" w:themeColor="text1"/>
          <w:sz w:val="36"/>
          <w:szCs w:val="36"/>
          <w14:textFill>
            <w14:solidFill>
              <w14:schemeClr w14:val="tx1"/>
            </w14:solidFill>
          </w14:textFill>
        </w:rPr>
      </w:pPr>
      <w:bookmarkStart w:id="1" w:name="_Hlk57884087"/>
    </w:p>
    <w:p w14:paraId="74478417">
      <w:pPr>
        <w:adjustRightInd w:val="0"/>
        <w:snapToGrid w:val="0"/>
        <w:spacing w:line="288" w:lineRule="auto"/>
        <w:ind w:firstLine="1040" w:firstLineChars="0"/>
        <w:rPr>
          <w:rFonts w:hint="default" w:ascii="Times New Roman" w:hAnsi="Times New Roman" w:eastAsia="仿宋_GB2312" w:cs="Times New Roman"/>
          <w:color w:val="000000" w:themeColor="text1"/>
          <w:sz w:val="36"/>
          <w:szCs w:val="36"/>
          <w14:textFill>
            <w14:solidFill>
              <w14:schemeClr w14:val="tx1"/>
            </w14:solidFill>
          </w14:textFill>
        </w:rPr>
      </w:pPr>
    </w:p>
    <w:bookmarkEnd w:id="1"/>
    <w:p w14:paraId="41CD73B4">
      <w:pPr>
        <w:adjustRightInd w:val="0"/>
        <w:snapToGrid w:val="0"/>
        <w:spacing w:line="288" w:lineRule="auto"/>
        <w:ind w:firstLine="0" w:firstLineChars="0"/>
        <w:jc w:val="center"/>
        <w:rPr>
          <w:rFonts w:hint="default" w:ascii="Times New Roman" w:hAnsi="Times New Roman" w:eastAsia="楷体_GB2312" w:cs="Times New Roman"/>
          <w:color w:val="000000" w:themeColor="text1"/>
          <w:sz w:val="36"/>
          <w:szCs w:val="36"/>
          <w14:textFill>
            <w14:solidFill>
              <w14:schemeClr w14:val="tx1"/>
            </w14:solidFill>
          </w14:textFill>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楷体_GB2312" w:cs="Times New Roman"/>
          <w:color w:val="000000" w:themeColor="text1"/>
          <w:sz w:val="36"/>
          <w:szCs w:val="36"/>
          <w14:textFill>
            <w14:solidFill>
              <w14:schemeClr w14:val="tx1"/>
            </w14:solidFill>
          </w14:textFill>
        </w:rPr>
        <w:t>中华人民共和国生态环境部制</w:t>
      </w:r>
    </w:p>
    <w:p w14:paraId="065A4FF9">
      <w:pPr>
        <w:pageBreakBefore w:val="0"/>
        <w:kinsoku/>
        <w:overflowPunct/>
        <w:topLinePunct w:val="0"/>
        <w:bidi w:val="0"/>
        <w:adjustRightInd w:val="0"/>
        <w:snapToGrid w:val="0"/>
        <w:spacing w:line="360" w:lineRule="auto"/>
        <w:ind w:left="0" w:leftChars="0" w:right="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目  录</w:t>
      </w:r>
    </w:p>
    <w:p w14:paraId="656623F7">
      <w:pPr>
        <w:pStyle w:val="25"/>
        <w:pageBreakBefore w:val="0"/>
        <w:tabs>
          <w:tab w:val="right" w:leader="dot" w:pos="8844"/>
        </w:tabs>
        <w:kinsoku/>
        <w:overflowPunct/>
        <w:topLinePunct w:val="0"/>
        <w:bidi w:val="0"/>
        <w:spacing w:line="360" w:lineRule="auto"/>
        <w:ind w:left="0" w:leftChars="0" w:right="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fldChar w:fldCharType="begin"/>
      </w:r>
      <w:r>
        <w:rPr>
          <w:b/>
          <w:bCs/>
          <w:color w:val="000000" w:themeColor="text1"/>
          <w:sz w:val="24"/>
          <w:szCs w:val="24"/>
          <w14:textFill>
            <w14:solidFill>
              <w14:schemeClr w14:val="tx1"/>
            </w14:solidFill>
          </w14:textFill>
        </w:rPr>
        <w:instrText xml:space="preserve">TOC \o "1-1" \h \u </w:instrText>
      </w:r>
      <w:r>
        <w:rPr>
          <w:b/>
          <w:bCs/>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\l "_Toc20961" </w:instrText>
      </w:r>
      <w:r>
        <w:rPr>
          <w:color w:val="000000" w:themeColor="text1"/>
          <w:sz w:val="24"/>
          <w:szCs w:val="24"/>
          <w14:textFill>
            <w14:solidFill>
              <w14:schemeClr w14:val="tx1"/>
            </w14:solidFill>
          </w14:textFill>
        </w:rPr>
        <w:fldChar w:fldCharType="separate"/>
      </w:r>
      <w:r>
        <w:rPr>
          <w:bCs/>
          <w:snapToGrid w:val="0"/>
          <w:color w:val="000000" w:themeColor="text1"/>
          <w:sz w:val="24"/>
          <w:szCs w:val="24"/>
          <w14:textFill>
            <w14:solidFill>
              <w14:schemeClr w14:val="tx1"/>
            </w14:solidFill>
          </w14:textFill>
        </w:rPr>
        <w:t>一、建设项目基本情况</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_Toc20961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14:paraId="2E657E76">
      <w:pPr>
        <w:pStyle w:val="25"/>
        <w:pageBreakBefore w:val="0"/>
        <w:tabs>
          <w:tab w:val="right" w:leader="dot" w:pos="8844"/>
        </w:tabs>
        <w:kinsoku/>
        <w:overflowPunct/>
        <w:topLinePunct w:val="0"/>
        <w:bidi w:val="0"/>
        <w:spacing w:line="360" w:lineRule="auto"/>
        <w:ind w:left="0" w:leftChars="0" w:righ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\l "_Toc1587" </w:instrText>
      </w:r>
      <w:r>
        <w:rPr>
          <w:color w:val="000000" w:themeColor="text1"/>
          <w:sz w:val="24"/>
          <w:szCs w:val="24"/>
          <w14:textFill>
            <w14:solidFill>
              <w14:schemeClr w14:val="tx1"/>
            </w14:solidFill>
          </w14:textFill>
        </w:rPr>
        <w:fldChar w:fldCharType="separate"/>
      </w:r>
      <w:r>
        <w:rPr>
          <w:bCs/>
          <w:snapToGrid w:val="0"/>
          <w:color w:val="000000" w:themeColor="text1"/>
          <w:sz w:val="24"/>
          <w:szCs w:val="24"/>
          <w14:textFill>
            <w14:solidFill>
              <w14:schemeClr w14:val="tx1"/>
            </w14:solidFill>
          </w14:textFill>
        </w:rPr>
        <w:t>二、建设项目工程分析</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_Toc1587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22</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14:paraId="51BF5EA2">
      <w:pPr>
        <w:pStyle w:val="25"/>
        <w:pageBreakBefore w:val="0"/>
        <w:tabs>
          <w:tab w:val="right" w:leader="dot" w:pos="8844"/>
        </w:tabs>
        <w:kinsoku/>
        <w:overflowPunct/>
        <w:topLinePunct w:val="0"/>
        <w:bidi w:val="0"/>
        <w:spacing w:line="360" w:lineRule="auto"/>
        <w:ind w:left="0" w:leftChars="0" w:righ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\l "_Toc7404" </w:instrText>
      </w:r>
      <w:r>
        <w:rPr>
          <w:color w:val="000000" w:themeColor="text1"/>
          <w:sz w:val="24"/>
          <w:szCs w:val="24"/>
          <w14:textFill>
            <w14:solidFill>
              <w14:schemeClr w14:val="tx1"/>
            </w14:solidFill>
          </w14:textFill>
        </w:rPr>
        <w:fldChar w:fldCharType="separate"/>
      </w:r>
      <w:r>
        <w:rPr>
          <w:bCs/>
          <w:snapToGrid w:val="0"/>
          <w:color w:val="000000" w:themeColor="text1"/>
          <w:sz w:val="24"/>
          <w:szCs w:val="24"/>
          <w14:textFill>
            <w14:solidFill>
              <w14:schemeClr w14:val="tx1"/>
            </w14:solidFill>
          </w14:textFill>
        </w:rPr>
        <w:t>三、区域环境质量现状、环境保护目标及评价标准</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_Toc7404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36</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14:paraId="66ECCE55">
      <w:pPr>
        <w:pStyle w:val="25"/>
        <w:pageBreakBefore w:val="0"/>
        <w:tabs>
          <w:tab w:val="right" w:leader="dot" w:pos="8844"/>
        </w:tabs>
        <w:kinsoku/>
        <w:overflowPunct/>
        <w:topLinePunct w:val="0"/>
        <w:bidi w:val="0"/>
        <w:spacing w:line="360" w:lineRule="auto"/>
        <w:ind w:left="0" w:leftChars="0" w:righ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\l "_Toc6112" </w:instrText>
      </w:r>
      <w:r>
        <w:rPr>
          <w:color w:val="000000" w:themeColor="text1"/>
          <w:sz w:val="24"/>
          <w:szCs w:val="24"/>
          <w14:textFill>
            <w14:solidFill>
              <w14:schemeClr w14:val="tx1"/>
            </w14:solidFill>
          </w14:textFill>
        </w:rPr>
        <w:fldChar w:fldCharType="separate"/>
      </w:r>
      <w:r>
        <w:rPr>
          <w:bCs/>
          <w:snapToGrid w:val="0"/>
          <w:color w:val="000000" w:themeColor="text1"/>
          <w:sz w:val="24"/>
          <w:szCs w:val="24"/>
          <w14:textFill>
            <w14:solidFill>
              <w14:schemeClr w14:val="tx1"/>
            </w14:solidFill>
          </w14:textFill>
        </w:rPr>
        <w:t>四、主要环境影响和保护措施</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_Toc6112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46</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14:paraId="52E38366">
      <w:pPr>
        <w:pStyle w:val="25"/>
        <w:pageBreakBefore w:val="0"/>
        <w:tabs>
          <w:tab w:val="right" w:leader="dot" w:pos="8844"/>
        </w:tabs>
        <w:kinsoku/>
        <w:overflowPunct/>
        <w:topLinePunct w:val="0"/>
        <w:bidi w:val="0"/>
        <w:spacing w:line="360" w:lineRule="auto"/>
        <w:ind w:left="0" w:leftChars="0" w:righ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\l "_Toc6939" </w:instrText>
      </w:r>
      <w:r>
        <w:rPr>
          <w:color w:val="000000" w:themeColor="text1"/>
          <w:sz w:val="24"/>
          <w:szCs w:val="24"/>
          <w14:textFill>
            <w14:solidFill>
              <w14:schemeClr w14:val="tx1"/>
            </w14:solidFill>
          </w14:textFill>
        </w:rPr>
        <w:fldChar w:fldCharType="separate"/>
      </w:r>
      <w:r>
        <w:rPr>
          <w:bCs/>
          <w:snapToGrid w:val="0"/>
          <w:color w:val="000000" w:themeColor="text1"/>
          <w:sz w:val="24"/>
          <w:szCs w:val="24"/>
          <w14:textFill>
            <w14:solidFill>
              <w14:schemeClr w14:val="tx1"/>
            </w14:solidFill>
          </w14:textFill>
        </w:rPr>
        <w:t>五、环境保护措施监督检查清单</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_Toc6939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92</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14:paraId="47C25B25">
      <w:pPr>
        <w:pStyle w:val="25"/>
        <w:pageBreakBefore w:val="0"/>
        <w:tabs>
          <w:tab w:val="right" w:leader="dot" w:pos="8844"/>
        </w:tabs>
        <w:kinsoku/>
        <w:overflowPunct/>
        <w:topLinePunct w:val="0"/>
        <w:bidi w:val="0"/>
        <w:spacing w:line="360" w:lineRule="auto"/>
        <w:ind w:left="0" w:leftChars="0" w:righ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\l "_Toc24787" </w:instrText>
      </w:r>
      <w:r>
        <w:rPr>
          <w:color w:val="000000" w:themeColor="text1"/>
          <w:sz w:val="24"/>
          <w:szCs w:val="24"/>
          <w14:textFill>
            <w14:solidFill>
              <w14:schemeClr w14:val="tx1"/>
            </w14:solidFill>
          </w14:textFill>
        </w:rPr>
        <w:fldChar w:fldCharType="separate"/>
      </w:r>
      <w:r>
        <w:rPr>
          <w:bCs/>
          <w:snapToGrid w:val="0"/>
          <w:color w:val="000000" w:themeColor="text1"/>
          <w:sz w:val="24"/>
          <w:szCs w:val="24"/>
          <w14:textFill>
            <w14:solidFill>
              <w14:schemeClr w14:val="tx1"/>
            </w14:solidFill>
          </w14:textFill>
        </w:rPr>
        <w:t>六、结论</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_Toc24787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95</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14:paraId="21794E53">
      <w:pPr>
        <w:pStyle w:val="25"/>
        <w:pageBreakBefore w:val="0"/>
        <w:tabs>
          <w:tab w:val="right" w:leader="dot" w:pos="8844"/>
        </w:tabs>
        <w:kinsoku/>
        <w:overflowPunct/>
        <w:topLinePunct w:val="0"/>
        <w:bidi w:val="0"/>
        <w:spacing w:line="360" w:lineRule="auto"/>
        <w:ind w:left="0" w:leftChars="0" w:righ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\l "_Toc24156" </w:instrText>
      </w:r>
      <w:r>
        <w:rPr>
          <w:color w:val="000000" w:themeColor="text1"/>
          <w:sz w:val="24"/>
          <w:szCs w:val="24"/>
          <w14:textFill>
            <w14:solidFill>
              <w14:schemeClr w14:val="tx1"/>
            </w14:solidFill>
          </w14:textFill>
        </w:rPr>
        <w:fldChar w:fldCharType="separate"/>
      </w:r>
      <w:r>
        <w:rPr>
          <w:bCs/>
          <w:snapToGrid w:val="0"/>
          <w:color w:val="000000" w:themeColor="text1"/>
          <w:sz w:val="24"/>
          <w:szCs w:val="24"/>
          <w14:textFill>
            <w14:solidFill>
              <w14:schemeClr w14:val="tx1"/>
            </w14:solidFill>
          </w14:textFill>
        </w:rPr>
        <w:t>附表</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_Toc24156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96</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14:paraId="79D6CCFF">
      <w:pPr>
        <w:pStyle w:val="14"/>
        <w:pageBreakBefore w:val="0"/>
        <w:kinsoku/>
        <w:overflowPunct/>
        <w:topLinePunct w:val="0"/>
        <w:bidi w:val="0"/>
        <w:spacing w:after="0"/>
        <w:ind w:left="0" w:leftChars="0" w:right="0"/>
        <w:rPr>
          <w:rFonts w:ascii="Times New Roman" w:hAnsi="Times New Roman"/>
          <w:bCs/>
          <w:color w:val="000000" w:themeColor="text1"/>
          <w:sz w:val="24"/>
          <w:szCs w:val="24"/>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ascii="Times New Roman" w:hAnsi="Times New Roman"/>
          <w:bCs/>
          <w:color w:val="000000" w:themeColor="text1"/>
          <w:sz w:val="24"/>
          <w:szCs w:val="24"/>
          <w14:textFill>
            <w14:solidFill>
              <w14:schemeClr w14:val="tx1"/>
            </w14:solidFill>
          </w14:textFill>
        </w:rPr>
        <w:fldChar w:fldCharType="end"/>
      </w:r>
    </w:p>
    <w:p w14:paraId="0E0A345C">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eastAsia" w:eastAsia="宋体"/>
          <w:b/>
          <w:bCs w:val="0"/>
          <w:color w:val="000000" w:themeColor="text1"/>
          <w:sz w:val="24"/>
          <w:szCs w:val="24"/>
          <w:lang w:eastAsia="zh-CN"/>
          <w14:textFill>
            <w14:solidFill>
              <w14:schemeClr w14:val="tx1"/>
            </w14:solidFill>
          </w14:textFill>
        </w:rPr>
      </w:pPr>
      <w:r>
        <w:rPr>
          <w:rFonts w:hint="eastAsia" w:eastAsia="宋体"/>
          <w:b/>
          <w:bCs w:val="0"/>
          <w:color w:val="000000" w:themeColor="text1"/>
          <w:sz w:val="24"/>
          <w:szCs w:val="24"/>
          <w:lang w:eastAsia="zh-CN"/>
          <w14:textFill>
            <w14:solidFill>
              <w14:schemeClr w14:val="tx1"/>
            </w14:solidFill>
          </w14:textFill>
        </w:rPr>
        <w:t>附件</w:t>
      </w:r>
    </w:p>
    <w:p w14:paraId="41FB6CB6">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eastAsia"/>
          <w:bCs/>
          <w:color w:val="000000" w:themeColor="text1"/>
          <w:sz w:val="24"/>
          <w:szCs w:val="24"/>
          <w:lang w:val="en-US" w:eastAsia="zh-CN"/>
          <w14:textFill>
            <w14:solidFill>
              <w14:schemeClr w14:val="tx1"/>
            </w14:solidFill>
          </w14:textFill>
        </w:rPr>
      </w:pPr>
      <w:r>
        <w:rPr>
          <w:rFonts w:hint="eastAsia"/>
          <w:bCs/>
          <w:color w:val="000000" w:themeColor="text1"/>
          <w:sz w:val="24"/>
          <w:szCs w:val="24"/>
          <w:lang w:eastAsia="zh-CN"/>
          <w14:textFill>
            <w14:solidFill>
              <w14:schemeClr w14:val="tx1"/>
            </w14:solidFill>
          </w14:textFill>
        </w:rPr>
        <w:t>附件</w:t>
      </w:r>
      <w:r>
        <w:rPr>
          <w:rFonts w:hint="eastAsia"/>
          <w:bCs/>
          <w:color w:val="000000" w:themeColor="text1"/>
          <w:sz w:val="24"/>
          <w:szCs w:val="24"/>
          <w:lang w:val="en-US" w:eastAsia="zh-CN"/>
          <w14:textFill>
            <w14:solidFill>
              <w14:schemeClr w14:val="tx1"/>
            </w14:solidFill>
          </w14:textFill>
        </w:rPr>
        <w:t>1  委托书</w:t>
      </w:r>
    </w:p>
    <w:p w14:paraId="63315618">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eastAsia"/>
          <w:bCs/>
          <w:color w:val="000000" w:themeColor="text1"/>
          <w:sz w:val="24"/>
          <w:szCs w:val="24"/>
          <w:lang w:val="en-US" w:eastAsia="zh-CN"/>
          <w14:textFill>
            <w14:solidFill>
              <w14:schemeClr w14:val="tx1"/>
            </w14:solidFill>
          </w14:textFill>
        </w:rPr>
      </w:pPr>
      <w:r>
        <w:rPr>
          <w:rFonts w:hint="eastAsia"/>
          <w:bCs/>
          <w:color w:val="000000" w:themeColor="text1"/>
          <w:sz w:val="24"/>
          <w:szCs w:val="24"/>
          <w:lang w:val="en-US" w:eastAsia="zh-CN"/>
          <w14:textFill>
            <w14:solidFill>
              <w14:schemeClr w14:val="tx1"/>
            </w14:solidFill>
          </w14:textFill>
        </w:rPr>
        <w:t>附件2  备案证</w:t>
      </w:r>
    </w:p>
    <w:p w14:paraId="3E731CFA">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bCs/>
          <w:color w:val="000000" w:themeColor="text1"/>
          <w:sz w:val="24"/>
          <w:szCs w:val="24"/>
          <w:lang w:val="en-US" w:eastAsia="zh-CN"/>
          <w14:textFill>
            <w14:solidFill>
              <w14:schemeClr w14:val="tx1"/>
            </w14:solidFill>
          </w14:textFill>
        </w:rPr>
      </w:pPr>
      <w:r>
        <w:rPr>
          <w:rFonts w:hint="eastAsia"/>
          <w:bCs/>
          <w:color w:val="000000" w:themeColor="text1"/>
          <w:sz w:val="24"/>
          <w:szCs w:val="24"/>
          <w:lang w:val="en-US" w:eastAsia="zh-CN"/>
          <w14:textFill>
            <w14:solidFill>
              <w14:schemeClr w14:val="tx1"/>
            </w14:solidFill>
          </w14:textFill>
        </w:rPr>
        <w:t>附件3  营业执照</w:t>
      </w:r>
    </w:p>
    <w:p w14:paraId="103A8E43">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bCs/>
          <w:color w:val="000000" w:themeColor="text1"/>
          <w:sz w:val="24"/>
          <w:szCs w:val="24"/>
          <w:lang w:val="en-US" w:eastAsia="zh-CN"/>
          <w14:textFill>
            <w14:solidFill>
              <w14:schemeClr w14:val="tx1"/>
            </w14:solidFill>
          </w14:textFill>
        </w:rPr>
      </w:pPr>
      <w:r>
        <w:rPr>
          <w:rFonts w:hint="eastAsia"/>
          <w:bCs/>
          <w:color w:val="000000" w:themeColor="text1"/>
          <w:sz w:val="24"/>
          <w:szCs w:val="24"/>
          <w:lang w:val="en-US" w:eastAsia="zh-CN"/>
          <w14:textFill>
            <w14:solidFill>
              <w14:schemeClr w14:val="tx1"/>
            </w14:solidFill>
          </w14:textFill>
        </w:rPr>
        <w:t xml:space="preserve">附件4  </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租地协议</w:t>
      </w:r>
    </w:p>
    <w:p w14:paraId="17A4D4A2">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eastAsia"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附件5  公司现有项目环评批复</w:t>
      </w:r>
    </w:p>
    <w:p w14:paraId="4DF7893F">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eastAsia"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附件6  公司现有项目验收意见</w:t>
      </w:r>
    </w:p>
    <w:p w14:paraId="3F4E7BF0">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eastAsia"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附件7  公司现有应急备案表</w:t>
      </w:r>
    </w:p>
    <w:p w14:paraId="1579B30A">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附件8  公司现有固定污染源排污登记回执</w:t>
      </w:r>
    </w:p>
    <w:p w14:paraId="6062ECC5">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bCs/>
          <w:color w:val="000000" w:themeColor="text1"/>
          <w:sz w:val="24"/>
          <w:szCs w:val="24"/>
          <w:lang w:val="en-US" w:eastAsia="zh-CN"/>
          <w14:textFill>
            <w14:solidFill>
              <w14:schemeClr w14:val="tx1"/>
            </w14:solidFill>
          </w14:textFill>
        </w:rPr>
      </w:pPr>
      <w:r>
        <w:rPr>
          <w:rFonts w:hint="default"/>
          <w:bCs/>
          <w:color w:val="000000" w:themeColor="text1"/>
          <w:sz w:val="24"/>
          <w:szCs w:val="24"/>
          <w:lang w:val="en-US" w:eastAsia="zh-CN"/>
          <w14:textFill>
            <w14:solidFill>
              <w14:schemeClr w14:val="tx1"/>
            </w14:solidFill>
          </w14:textFill>
        </w:rPr>
        <w:t>附件</w:t>
      </w:r>
      <w:r>
        <w:rPr>
          <w:rFonts w:hint="eastAsia"/>
          <w:bCs/>
          <w:color w:val="000000" w:themeColor="text1"/>
          <w:sz w:val="24"/>
          <w:szCs w:val="24"/>
          <w:lang w:val="en-US" w:eastAsia="zh-CN"/>
          <w14:textFill>
            <w14:solidFill>
              <w14:schemeClr w14:val="tx1"/>
            </w14:solidFill>
          </w14:textFill>
        </w:rPr>
        <w:t>9</w:t>
      </w:r>
      <w:r>
        <w:rPr>
          <w:rFonts w:hint="default"/>
          <w:bCs/>
          <w:color w:val="000000" w:themeColor="text1"/>
          <w:sz w:val="24"/>
          <w:szCs w:val="24"/>
          <w:lang w:val="en-US" w:eastAsia="zh-CN"/>
          <w14:textFill>
            <w14:solidFill>
              <w14:schemeClr w14:val="tx1"/>
            </w14:solidFill>
          </w14:textFill>
        </w:rPr>
        <w:t xml:space="preserve"> </w:t>
      </w:r>
      <w:r>
        <w:rPr>
          <w:rFonts w:hint="eastAsia"/>
          <w:bCs/>
          <w:color w:val="000000" w:themeColor="text1"/>
          <w:sz w:val="24"/>
          <w:szCs w:val="24"/>
          <w:lang w:val="en-US" w:eastAsia="zh-CN"/>
          <w14:textFill>
            <w14:solidFill>
              <w14:schemeClr w14:val="tx1"/>
            </w14:solidFill>
          </w14:textFill>
        </w:rPr>
        <w:t xml:space="preserve"> </w:t>
      </w:r>
      <w:r>
        <w:rPr>
          <w:rFonts w:hint="default"/>
          <w:bCs/>
          <w:color w:val="000000" w:themeColor="text1"/>
          <w:sz w:val="24"/>
          <w:szCs w:val="24"/>
          <w:lang w:val="en-US" w:eastAsia="zh-CN"/>
          <w14:textFill>
            <w14:solidFill>
              <w14:schemeClr w14:val="tx1"/>
            </w14:solidFill>
          </w14:textFill>
        </w:rPr>
        <w:t>云南红塔产业园区规划环评审查意见</w:t>
      </w:r>
    </w:p>
    <w:p w14:paraId="775EB0AB">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bCs/>
          <w:color w:val="000000" w:themeColor="text1"/>
          <w:sz w:val="24"/>
          <w:szCs w:val="24"/>
          <w:lang w:val="en-US" w:eastAsia="zh-CN"/>
          <w14:textFill>
            <w14:solidFill>
              <w14:schemeClr w14:val="tx1"/>
            </w14:solidFill>
          </w14:textFill>
        </w:rPr>
      </w:pPr>
      <w:r>
        <w:rPr>
          <w:rFonts w:hint="default"/>
          <w:bCs/>
          <w:color w:val="000000" w:themeColor="text1"/>
          <w:sz w:val="24"/>
          <w:szCs w:val="24"/>
          <w:lang w:val="en-US" w:eastAsia="zh-CN"/>
          <w14:textFill>
            <w14:solidFill>
              <w14:schemeClr w14:val="tx1"/>
            </w14:solidFill>
          </w14:textFill>
        </w:rPr>
        <w:t>附件</w:t>
      </w:r>
      <w:r>
        <w:rPr>
          <w:rFonts w:hint="eastAsia"/>
          <w:bCs/>
          <w:color w:val="000000" w:themeColor="text1"/>
          <w:sz w:val="24"/>
          <w:szCs w:val="24"/>
          <w:lang w:val="en-US" w:eastAsia="zh-CN"/>
          <w14:textFill>
            <w14:solidFill>
              <w14:schemeClr w14:val="tx1"/>
            </w14:solidFill>
          </w14:textFill>
        </w:rPr>
        <w:t>10</w:t>
      </w:r>
      <w:r>
        <w:rPr>
          <w:rFonts w:hint="default"/>
          <w:bCs/>
          <w:color w:val="000000" w:themeColor="text1"/>
          <w:sz w:val="24"/>
          <w:szCs w:val="24"/>
          <w:lang w:val="en-US" w:eastAsia="zh-CN"/>
          <w14:textFill>
            <w14:solidFill>
              <w14:schemeClr w14:val="tx1"/>
            </w14:solidFill>
          </w14:textFill>
        </w:rPr>
        <w:t xml:space="preserve"> 管控单元分析结果</w:t>
      </w:r>
      <w:r>
        <w:rPr>
          <w:rFonts w:hint="default"/>
          <w:bCs/>
          <w:color w:val="000000" w:themeColor="text1"/>
          <w:sz w:val="24"/>
          <w:szCs w:val="24"/>
          <w:lang w:val="en-US" w:eastAsia="zh-CN"/>
          <w14:textFill>
            <w14:solidFill>
              <w14:schemeClr w14:val="tx1"/>
            </w14:solidFill>
          </w14:textFill>
        </w:rPr>
        <w:br w:type="textWrapping"/>
      </w:r>
      <w:r>
        <w:rPr>
          <w:rFonts w:hint="default"/>
          <w:bCs/>
          <w:color w:val="000000" w:themeColor="text1"/>
          <w:sz w:val="24"/>
          <w:szCs w:val="24"/>
          <w:lang w:val="en-US" w:eastAsia="zh-CN"/>
          <w14:textFill>
            <w14:solidFill>
              <w14:schemeClr w14:val="tx1"/>
            </w14:solidFill>
          </w14:textFill>
        </w:rPr>
        <w:t>附件1</w:t>
      </w:r>
      <w:r>
        <w:rPr>
          <w:rFonts w:hint="eastAsia"/>
          <w:bCs/>
          <w:color w:val="000000" w:themeColor="text1"/>
          <w:sz w:val="24"/>
          <w:szCs w:val="24"/>
          <w:lang w:val="en-US" w:eastAsia="zh-CN"/>
          <w14:textFill>
            <w14:solidFill>
              <w14:schemeClr w14:val="tx1"/>
            </w14:solidFill>
          </w14:textFill>
        </w:rPr>
        <w:t>1</w:t>
      </w:r>
      <w:r>
        <w:rPr>
          <w:rFonts w:hint="default"/>
          <w:bCs/>
          <w:color w:val="000000" w:themeColor="text1"/>
          <w:sz w:val="24"/>
          <w:szCs w:val="24"/>
          <w:lang w:val="en-US" w:eastAsia="zh-CN"/>
          <w14:textFill>
            <w14:solidFill>
              <w14:schemeClr w14:val="tx1"/>
            </w14:solidFill>
          </w14:textFill>
        </w:rPr>
        <w:t xml:space="preserve"> 生物质燃料检验报告</w:t>
      </w:r>
    </w:p>
    <w:p w14:paraId="0670802A">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eastAsia"/>
          <w:b w:val="0"/>
          <w:bCs/>
          <w:color w:val="000000" w:themeColor="text1"/>
          <w:sz w:val="24"/>
          <w:szCs w:val="24"/>
          <w:lang w:val="en-US" w:eastAsia="zh-CN"/>
          <w14:textFill>
            <w14:solidFill>
              <w14:schemeClr w14:val="tx1"/>
            </w14:solidFill>
          </w14:textFill>
        </w:rPr>
      </w:pPr>
      <w:r>
        <w:rPr>
          <w:rFonts w:hint="eastAsia"/>
          <w:b w:val="0"/>
          <w:bCs/>
          <w:color w:val="000000" w:themeColor="text1"/>
          <w:sz w:val="24"/>
          <w:szCs w:val="24"/>
          <w:lang w:eastAsia="zh-CN"/>
          <w14:textFill>
            <w14:solidFill>
              <w14:schemeClr w14:val="tx1"/>
            </w14:solidFill>
          </w14:textFill>
        </w:rPr>
        <w:t>附件</w:t>
      </w:r>
      <w:r>
        <w:rPr>
          <w:rFonts w:hint="eastAsia"/>
          <w:b w:val="0"/>
          <w:bCs/>
          <w:color w:val="000000" w:themeColor="text1"/>
          <w:sz w:val="24"/>
          <w:szCs w:val="24"/>
          <w:lang w:val="en-US" w:eastAsia="zh-CN"/>
          <w14:textFill>
            <w14:solidFill>
              <w14:schemeClr w14:val="tx1"/>
            </w14:solidFill>
          </w14:textFill>
        </w:rPr>
        <w:t>12 声环境现状监测报告</w:t>
      </w:r>
    </w:p>
    <w:p w14:paraId="220C4F03">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eastAsia"/>
          <w:b w:val="0"/>
          <w:bCs/>
          <w:color w:val="000000" w:themeColor="text1"/>
          <w:sz w:val="24"/>
          <w:szCs w:val="24"/>
          <w:lang w:val="en-US" w:eastAsia="zh-CN"/>
          <w14:textFill>
            <w14:solidFill>
              <w14:schemeClr w14:val="tx1"/>
            </w14:solidFill>
          </w14:textFill>
        </w:rPr>
      </w:pPr>
      <w:r>
        <w:rPr>
          <w:rFonts w:hint="eastAsia"/>
          <w:b w:val="0"/>
          <w:bCs/>
          <w:color w:val="000000" w:themeColor="text1"/>
          <w:sz w:val="24"/>
          <w:szCs w:val="24"/>
          <w:lang w:val="en-US" w:eastAsia="zh-CN"/>
          <w14:textFill>
            <w14:solidFill>
              <w14:schemeClr w14:val="tx1"/>
            </w14:solidFill>
          </w14:textFill>
        </w:rPr>
        <w:t>附件13 危废协议</w:t>
      </w:r>
    </w:p>
    <w:p w14:paraId="773344AD">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b w:val="0"/>
          <w:bCs/>
          <w:color w:val="000000" w:themeColor="text1"/>
          <w:sz w:val="24"/>
          <w:szCs w:val="24"/>
          <w:lang w:val="en-US" w:eastAsia="zh-CN"/>
          <w14:textFill>
            <w14:solidFill>
              <w14:schemeClr w14:val="tx1"/>
            </w14:solidFill>
          </w14:textFill>
        </w:rPr>
      </w:pPr>
      <w:r>
        <w:rPr>
          <w:rFonts w:hint="eastAsia"/>
          <w:b w:val="0"/>
          <w:bCs/>
          <w:color w:val="000000" w:themeColor="text1"/>
          <w:sz w:val="24"/>
          <w:szCs w:val="24"/>
          <w:lang w:val="en-US" w:eastAsia="zh-CN"/>
          <w14:textFill>
            <w14:solidFill>
              <w14:schemeClr w14:val="tx1"/>
            </w14:solidFill>
          </w14:textFill>
        </w:rPr>
        <w:t>附件14 锅炉废气排放承诺书</w:t>
      </w:r>
    </w:p>
    <w:p w14:paraId="747F9825">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eastAsia"/>
          <w:b w:val="0"/>
          <w:bCs/>
          <w:color w:val="000000" w:themeColor="text1"/>
          <w:sz w:val="24"/>
          <w:szCs w:val="24"/>
          <w:lang w:val="en-US" w:eastAsia="zh-CN"/>
          <w14:textFill>
            <w14:solidFill>
              <w14:schemeClr w14:val="tx1"/>
            </w14:solidFill>
          </w14:textFill>
        </w:rPr>
      </w:pPr>
      <w:r>
        <w:rPr>
          <w:rFonts w:hint="eastAsia"/>
          <w:b w:val="0"/>
          <w:bCs/>
          <w:color w:val="000000" w:themeColor="text1"/>
          <w:sz w:val="24"/>
          <w:szCs w:val="24"/>
          <w:lang w:val="en-US" w:eastAsia="zh-CN"/>
          <w14:textFill>
            <w14:solidFill>
              <w14:schemeClr w14:val="tx1"/>
            </w14:solidFill>
          </w14:textFill>
        </w:rPr>
        <w:t>附件15 进度表</w:t>
      </w:r>
    </w:p>
    <w:p w14:paraId="441AF857">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eastAsia"/>
          <w:b w:val="0"/>
          <w:bCs/>
          <w:color w:val="000000" w:themeColor="text1"/>
          <w:sz w:val="24"/>
          <w:szCs w:val="24"/>
          <w:lang w:val="en-US" w:eastAsia="zh-CN"/>
          <w14:textFill>
            <w14:solidFill>
              <w14:schemeClr w14:val="tx1"/>
            </w14:solidFill>
          </w14:textFill>
        </w:rPr>
      </w:pPr>
      <w:r>
        <w:rPr>
          <w:rFonts w:hint="eastAsia"/>
          <w:b w:val="0"/>
          <w:bCs/>
          <w:color w:val="000000" w:themeColor="text1"/>
          <w:sz w:val="24"/>
          <w:szCs w:val="24"/>
          <w:lang w:val="en-US" w:eastAsia="zh-CN"/>
          <w14:textFill>
            <w14:solidFill>
              <w14:schemeClr w14:val="tx1"/>
            </w14:solidFill>
          </w14:textFill>
        </w:rPr>
        <w:t>附件16 三级审核单</w:t>
      </w:r>
    </w:p>
    <w:p w14:paraId="4105CAE4">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eastAsia"/>
          <w:b w:val="0"/>
          <w:bCs/>
          <w:color w:val="000000" w:themeColor="text1"/>
          <w:sz w:val="24"/>
          <w:szCs w:val="24"/>
          <w:lang w:val="en-US" w:eastAsia="zh-CN"/>
          <w14:textFill>
            <w14:solidFill>
              <w14:schemeClr w14:val="tx1"/>
            </w14:solidFill>
          </w14:textFill>
        </w:rPr>
      </w:pPr>
      <w:r>
        <w:rPr>
          <w:rFonts w:hint="eastAsia"/>
          <w:b w:val="0"/>
          <w:bCs/>
          <w:color w:val="000000" w:themeColor="text1"/>
          <w:sz w:val="24"/>
          <w:szCs w:val="24"/>
          <w:lang w:val="en-US" w:eastAsia="zh-CN"/>
          <w14:textFill>
            <w14:solidFill>
              <w14:schemeClr w14:val="tx1"/>
            </w14:solidFill>
          </w14:textFill>
        </w:rPr>
        <w:t>附件17 项目合同</w:t>
      </w:r>
    </w:p>
    <w:p w14:paraId="5B487DA8">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b w:val="0"/>
          <w:bCs/>
          <w:color w:val="000000" w:themeColor="text1"/>
          <w:sz w:val="24"/>
          <w:szCs w:val="24"/>
          <w:lang w:val="en-US" w:eastAsia="zh-CN"/>
          <w14:textFill>
            <w14:solidFill>
              <w14:schemeClr w14:val="tx1"/>
            </w14:solidFill>
          </w14:textFill>
        </w:rPr>
      </w:pPr>
      <w:r>
        <w:rPr>
          <w:rFonts w:hint="eastAsia"/>
          <w:b w:val="0"/>
          <w:bCs/>
          <w:color w:val="000000" w:themeColor="text1"/>
          <w:sz w:val="24"/>
          <w:szCs w:val="24"/>
          <w:lang w:val="en-US" w:eastAsia="zh-CN"/>
          <w14:textFill>
            <w14:solidFill>
              <w14:schemeClr w14:val="tx1"/>
            </w14:solidFill>
          </w14:textFill>
        </w:rPr>
        <w:t>附件18 评审意见、签到表及修改清单</w:t>
      </w:r>
    </w:p>
    <w:p w14:paraId="7D2D30D7">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eastAsia"/>
          <w:b/>
          <w:bCs w:val="0"/>
          <w:color w:val="000000" w:themeColor="text1"/>
          <w:sz w:val="24"/>
          <w:szCs w:val="24"/>
          <w:lang w:eastAsia="zh-CN"/>
          <w14:textFill>
            <w14:solidFill>
              <w14:schemeClr w14:val="tx1"/>
            </w14:solidFill>
          </w14:textFill>
        </w:rPr>
      </w:pPr>
    </w:p>
    <w:p w14:paraId="65E684B8">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eastAsia"/>
          <w:b/>
          <w:bCs w:val="0"/>
          <w:color w:val="000000" w:themeColor="text1"/>
          <w:sz w:val="24"/>
          <w:szCs w:val="24"/>
          <w:lang w:eastAsia="zh-CN"/>
          <w14:textFill>
            <w14:solidFill>
              <w14:schemeClr w14:val="tx1"/>
            </w14:solidFill>
          </w14:textFill>
        </w:rPr>
      </w:pPr>
      <w:r>
        <w:rPr>
          <w:rFonts w:hint="eastAsia"/>
          <w:b/>
          <w:bCs w:val="0"/>
          <w:color w:val="000000" w:themeColor="text1"/>
          <w:sz w:val="24"/>
          <w:szCs w:val="24"/>
          <w:lang w:eastAsia="zh-CN"/>
          <w14:textFill>
            <w14:solidFill>
              <w14:schemeClr w14:val="tx1"/>
            </w14:solidFill>
          </w14:textFill>
        </w:rPr>
        <w:t>附图</w:t>
      </w:r>
    </w:p>
    <w:p w14:paraId="6AFC7870">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bCs/>
          <w:color w:val="000000" w:themeColor="text1"/>
          <w:sz w:val="24"/>
          <w:szCs w:val="24"/>
          <w:lang w:val="en-US" w:eastAsia="zh-CN"/>
          <w14:textFill>
            <w14:solidFill>
              <w14:schemeClr w14:val="tx1"/>
            </w14:solidFill>
          </w14:textFill>
        </w:rPr>
      </w:pPr>
      <w:r>
        <w:rPr>
          <w:rFonts w:hint="eastAsia"/>
          <w:bCs/>
          <w:color w:val="000000" w:themeColor="text1"/>
          <w:sz w:val="24"/>
          <w:szCs w:val="24"/>
          <w:lang w:val="en-US" w:eastAsia="zh-CN"/>
          <w14:textFill>
            <w14:solidFill>
              <w14:schemeClr w14:val="tx1"/>
            </w14:solidFill>
          </w14:textFill>
        </w:rPr>
        <w:t>附图1  项目地理位置图</w:t>
      </w:r>
    </w:p>
    <w:p w14:paraId="409275CB">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bCs/>
          <w:color w:val="000000" w:themeColor="text1"/>
          <w:sz w:val="24"/>
          <w:szCs w:val="24"/>
          <w:lang w:val="en-US" w:eastAsia="zh-CN"/>
          <w14:textFill>
            <w14:solidFill>
              <w14:schemeClr w14:val="tx1"/>
            </w14:solidFill>
          </w14:textFill>
        </w:rPr>
      </w:pPr>
      <w:r>
        <w:rPr>
          <w:rFonts w:hint="eastAsia"/>
          <w:bCs/>
          <w:color w:val="000000" w:themeColor="text1"/>
          <w:sz w:val="24"/>
          <w:szCs w:val="24"/>
          <w:lang w:val="en-US" w:eastAsia="zh-CN"/>
          <w14:textFill>
            <w14:solidFill>
              <w14:schemeClr w14:val="tx1"/>
            </w14:solidFill>
          </w14:textFill>
        </w:rPr>
        <w:t>附图2  平面布置图</w:t>
      </w:r>
    </w:p>
    <w:p w14:paraId="7B1ADD7F">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bCs/>
          <w:color w:val="000000" w:themeColor="text1"/>
          <w:sz w:val="24"/>
          <w:szCs w:val="24"/>
          <w:lang w:val="en-US" w:eastAsia="zh-CN"/>
          <w14:textFill>
            <w14:solidFill>
              <w14:schemeClr w14:val="tx1"/>
            </w14:solidFill>
          </w14:textFill>
        </w:rPr>
      </w:pPr>
      <w:r>
        <w:rPr>
          <w:rFonts w:hint="eastAsia"/>
          <w:bCs/>
          <w:color w:val="000000" w:themeColor="text1"/>
          <w:sz w:val="24"/>
          <w:szCs w:val="24"/>
          <w:lang w:val="en-US" w:eastAsia="zh-CN"/>
          <w14:textFill>
            <w14:solidFill>
              <w14:schemeClr w14:val="tx1"/>
            </w14:solidFill>
          </w14:textFill>
        </w:rPr>
        <w:t>附图3  项目区水系图</w:t>
      </w:r>
    </w:p>
    <w:p w14:paraId="723CEDF1">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bCs/>
          <w:color w:val="000000" w:themeColor="text1"/>
          <w:sz w:val="24"/>
          <w:szCs w:val="24"/>
          <w:lang w:val="en-US" w:eastAsia="zh-CN"/>
          <w14:textFill>
            <w14:solidFill>
              <w14:schemeClr w14:val="tx1"/>
            </w14:solidFill>
          </w14:textFill>
        </w:rPr>
      </w:pPr>
      <w:r>
        <w:rPr>
          <w:rFonts w:hint="eastAsia"/>
          <w:bCs/>
          <w:color w:val="000000" w:themeColor="text1"/>
          <w:sz w:val="24"/>
          <w:szCs w:val="24"/>
          <w:lang w:val="en-US" w:eastAsia="zh-CN"/>
          <w14:textFill>
            <w14:solidFill>
              <w14:schemeClr w14:val="tx1"/>
            </w14:solidFill>
          </w14:textFill>
        </w:rPr>
        <w:t>附图4  外环境关系图</w:t>
      </w:r>
    </w:p>
    <w:p w14:paraId="371832FB">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bCs/>
          <w:color w:val="000000" w:themeColor="text1"/>
          <w:sz w:val="24"/>
          <w:szCs w:val="24"/>
          <w:lang w:val="en-US" w:eastAsia="zh-CN"/>
          <w14:textFill>
            <w14:solidFill>
              <w14:schemeClr w14:val="tx1"/>
            </w14:solidFill>
          </w14:textFill>
        </w:rPr>
      </w:pPr>
      <w:r>
        <w:rPr>
          <w:rFonts w:hint="eastAsia"/>
          <w:bCs/>
          <w:color w:val="000000" w:themeColor="text1"/>
          <w:sz w:val="24"/>
          <w:szCs w:val="24"/>
          <w:lang w:val="en-US" w:eastAsia="zh-CN"/>
          <w14:textFill>
            <w14:solidFill>
              <w14:schemeClr w14:val="tx1"/>
            </w14:solidFill>
          </w14:textFill>
        </w:rPr>
        <w:t>附图5  分区防渗图</w:t>
      </w:r>
    </w:p>
    <w:p w14:paraId="2613473E">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eastAsia"/>
          <w:bCs/>
          <w:color w:val="000000" w:themeColor="text1"/>
          <w:sz w:val="24"/>
          <w:szCs w:val="24"/>
          <w:lang w:val="en-US" w:eastAsia="zh-CN"/>
          <w14:textFill>
            <w14:solidFill>
              <w14:schemeClr w14:val="tx1"/>
            </w14:solidFill>
          </w14:textFill>
        </w:rPr>
      </w:pPr>
      <w:r>
        <w:rPr>
          <w:rFonts w:hint="eastAsia"/>
          <w:bCs/>
          <w:color w:val="000000" w:themeColor="text1"/>
          <w:sz w:val="24"/>
          <w:szCs w:val="24"/>
          <w:lang w:val="en-US" w:eastAsia="zh-CN"/>
          <w14:textFill>
            <w14:solidFill>
              <w14:schemeClr w14:val="tx1"/>
            </w14:solidFill>
          </w14:textFill>
        </w:rPr>
        <w:t>附图6  水文地质图</w:t>
      </w:r>
    </w:p>
    <w:p w14:paraId="41A44733">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附图7</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 xml:space="preserve"> 与</w:t>
      </w:r>
      <w:r>
        <w:rPr>
          <w:rFonts w:hint="default"/>
          <w:bCs/>
          <w:color w:val="000000" w:themeColor="text1"/>
          <w:sz w:val="24"/>
          <w:szCs w:val="24"/>
          <w:lang w:val="en-US" w:eastAsia="zh-CN"/>
          <w14:textFill>
            <w14:solidFill>
              <w14:schemeClr w14:val="tx1"/>
            </w14:solidFill>
          </w14:textFill>
        </w:rPr>
        <w:t>云南红塔产业园区</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总体规划关系图</w:t>
      </w:r>
    </w:p>
    <w:p w14:paraId="3651798A">
      <w:pPr>
        <w:pStyle w:val="14"/>
        <w:pageBreakBefore w:val="0"/>
        <w:kinsoku/>
        <w:overflowPunct/>
        <w:topLinePunct w:val="0"/>
        <w:bidi w:val="0"/>
        <w:spacing w:after="0"/>
        <w:ind w:left="0" w:leftChars="0" w:right="0"/>
        <w:rPr>
          <w:rFonts w:hint="eastAsia"/>
          <w:bCs/>
          <w:color w:val="000000" w:themeColor="text1"/>
          <w:sz w:val="24"/>
          <w:szCs w:val="24"/>
          <w:lang w:eastAsia="zh-CN"/>
          <w14:textFill>
            <w14:solidFill>
              <w14:schemeClr w14:val="tx1"/>
            </w14:solidFill>
          </w14:textFill>
        </w:rPr>
      </w:pPr>
    </w:p>
    <w:p w14:paraId="5436C556">
      <w:pPr>
        <w:pStyle w:val="14"/>
        <w:pageBreakBefore w:val="0"/>
        <w:kinsoku/>
        <w:overflowPunct/>
        <w:topLinePunct w:val="0"/>
        <w:bidi w:val="0"/>
        <w:spacing w:after="0"/>
        <w:ind w:left="0" w:leftChars="0" w:right="0"/>
        <w:rPr>
          <w:rFonts w:hint="eastAsia" w:ascii="Times New Roman" w:hAnsi="Times New Roman" w:eastAsia="宋体"/>
          <w:bCs/>
          <w:color w:val="000000" w:themeColor="text1"/>
          <w:sz w:val="24"/>
          <w:szCs w:val="24"/>
          <w:lang w:eastAsia="zh-CN"/>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1DF1FE4C">
      <w:pPr>
        <w:pStyle w:val="29"/>
        <w:pageBreakBefore w:val="0"/>
        <w:kinsoku/>
        <w:overflowPunct/>
        <w:topLinePunct w:val="0"/>
        <w:bidi w:val="0"/>
        <w:adjustRightInd w:val="0"/>
        <w:snapToGrid w:val="0"/>
        <w:spacing w:before="0" w:beforeAutospacing="0" w:after="0" w:afterAutospacing="0"/>
        <w:ind w:left="0" w:leftChars="0" w:right="0"/>
        <w:jc w:val="center"/>
        <w:outlineLvl w:val="0"/>
        <w:rPr>
          <w:rFonts w:ascii="Times New Roman" w:hAnsi="Times New Roman"/>
          <w:snapToGrid w:val="0"/>
          <w:color w:val="000000" w:themeColor="text1"/>
          <w:sz w:val="32"/>
          <w:szCs w:val="32"/>
          <w14:textFill>
            <w14:solidFill>
              <w14:schemeClr w14:val="tx1"/>
            </w14:solidFill>
          </w14:textFill>
        </w:rPr>
      </w:pPr>
      <w:bookmarkStart w:id="2" w:name="_Toc20961"/>
      <w:r>
        <w:rPr>
          <w:rFonts w:ascii="Times New Roman" w:hAnsi="Times New Roman"/>
          <w:b/>
          <w:bCs/>
          <w:snapToGrid w:val="0"/>
          <w:color w:val="000000" w:themeColor="text1"/>
          <w:sz w:val="32"/>
          <w:szCs w:val="32"/>
          <w14:textFill>
            <w14:solidFill>
              <w14:schemeClr w14:val="tx1"/>
            </w14:solidFill>
          </w14:textFill>
        </w:rPr>
        <w:t>一、建设项目基本情况</w:t>
      </w:r>
      <w:bookmarkEnd w:id="2"/>
    </w:p>
    <w:tbl>
      <w:tblPr>
        <w:tblStyle w:val="33"/>
        <w:tblW w:w="88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239"/>
        <w:gridCol w:w="408"/>
        <w:gridCol w:w="2143"/>
        <w:gridCol w:w="2052"/>
        <w:gridCol w:w="2987"/>
      </w:tblGrid>
      <w:tr w14:paraId="27DFDB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1647" w:type="dxa"/>
            <w:gridSpan w:val="2"/>
            <w:tcMar>
              <w:top w:w="16" w:type="dxa"/>
              <w:left w:w="16" w:type="dxa"/>
              <w:right w:w="16" w:type="dxa"/>
            </w:tcMar>
            <w:vAlign w:val="center"/>
          </w:tcPr>
          <w:p w14:paraId="1D477859">
            <w:pPr>
              <w:pageBreakBefore w:val="0"/>
              <w:kinsoku/>
              <w:overflowPunct/>
              <w:topLinePunct w:val="0"/>
              <w:bidi w:val="0"/>
              <w:adjustRightInd w:val="0"/>
              <w:snapToGrid w:val="0"/>
              <w:ind w:left="0" w:leftChars="0" w:right="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7182" w:type="dxa"/>
            <w:gridSpan w:val="3"/>
            <w:vAlign w:val="center"/>
          </w:tcPr>
          <w:p w14:paraId="5CE9EEC0">
            <w:pPr>
              <w:pageBreakBefore w:val="0"/>
              <w:kinsoku/>
              <w:overflowPunct/>
              <w:topLinePunct w:val="0"/>
              <w:bidi w:val="0"/>
              <w:adjustRightInd w:val="0"/>
              <w:snapToGrid w:val="0"/>
              <w:ind w:left="0" w:leftChars="0" w:right="0"/>
              <w:jc w:val="center"/>
              <w:rPr>
                <w:rFonts w:hint="eastAsia"/>
                <w:color w:val="000000" w:themeColor="text1"/>
                <w:sz w:val="24"/>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文邦包装锅炉以及环保设施技改项目</w:t>
            </w:r>
          </w:p>
        </w:tc>
      </w:tr>
      <w:tr w14:paraId="421F49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1647" w:type="dxa"/>
            <w:gridSpan w:val="2"/>
            <w:tcMar>
              <w:top w:w="16" w:type="dxa"/>
              <w:left w:w="16" w:type="dxa"/>
              <w:right w:w="16" w:type="dxa"/>
            </w:tcMar>
            <w:vAlign w:val="center"/>
          </w:tcPr>
          <w:p w14:paraId="1FE237DA">
            <w:pPr>
              <w:pageBreakBefore w:val="0"/>
              <w:kinsoku/>
              <w:overflowPunct/>
              <w:topLinePunct w:val="0"/>
              <w:bidi w:val="0"/>
              <w:adjustRightInd w:val="0"/>
              <w:snapToGrid w:val="0"/>
              <w:ind w:left="0" w:leftChars="0" w:right="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项目代码</w:t>
            </w:r>
          </w:p>
        </w:tc>
        <w:tc>
          <w:tcPr>
            <w:tcW w:w="7182" w:type="dxa"/>
            <w:gridSpan w:val="3"/>
            <w:vAlign w:val="center"/>
          </w:tcPr>
          <w:p w14:paraId="0405180C">
            <w:pPr>
              <w:pageBreakBefore w:val="0"/>
              <w:kinsoku/>
              <w:overflowPunct/>
              <w:topLinePunct w:val="0"/>
              <w:bidi w:val="0"/>
              <w:adjustRightInd w:val="0"/>
              <w:snapToGrid w:val="0"/>
              <w:ind w:left="0" w:leftChars="0" w:right="0"/>
              <w:jc w:val="center"/>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2511-530426-04-02-334555</w:t>
            </w:r>
          </w:p>
        </w:tc>
      </w:tr>
      <w:tr w14:paraId="08E53A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647" w:type="dxa"/>
            <w:gridSpan w:val="2"/>
            <w:tcMar>
              <w:top w:w="16" w:type="dxa"/>
              <w:left w:w="16" w:type="dxa"/>
              <w:right w:w="16" w:type="dxa"/>
            </w:tcMar>
            <w:vAlign w:val="center"/>
          </w:tcPr>
          <w:p w14:paraId="0CBDEBC6">
            <w:pPr>
              <w:pageBreakBefore w:val="0"/>
              <w:kinsoku/>
              <w:overflowPunct/>
              <w:topLinePunct w:val="0"/>
              <w:bidi w:val="0"/>
              <w:adjustRightInd w:val="0"/>
              <w:snapToGrid w:val="0"/>
              <w:ind w:left="0" w:leftChars="0" w:right="0"/>
              <w:jc w:val="center"/>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建设单位联系人</w:t>
            </w:r>
          </w:p>
        </w:tc>
        <w:tc>
          <w:tcPr>
            <w:tcW w:w="2143" w:type="dxa"/>
            <w:vAlign w:val="center"/>
          </w:tcPr>
          <w:p w14:paraId="55C03195">
            <w:pPr>
              <w:pageBreakBefore w:val="0"/>
              <w:kinsoku/>
              <w:overflowPunct/>
              <w:topLinePunct w:val="0"/>
              <w:bidi w:val="0"/>
              <w:adjustRightInd w:val="0"/>
              <w:snapToGrid w:val="0"/>
              <w:ind w:left="0" w:leftChars="0" w:right="0"/>
              <w:jc w:val="center"/>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施涛</w:t>
            </w:r>
          </w:p>
        </w:tc>
        <w:tc>
          <w:tcPr>
            <w:tcW w:w="2052" w:type="dxa"/>
            <w:vAlign w:val="center"/>
          </w:tcPr>
          <w:p w14:paraId="42D395F5">
            <w:pPr>
              <w:pageBreakBefore w:val="0"/>
              <w:kinsoku/>
              <w:overflowPunct/>
              <w:topLinePunct w:val="0"/>
              <w:bidi w:val="0"/>
              <w:adjustRightInd w:val="0"/>
              <w:snapToGrid w:val="0"/>
              <w:ind w:left="0" w:leftChars="0" w:right="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联系方式</w:t>
            </w:r>
          </w:p>
        </w:tc>
        <w:tc>
          <w:tcPr>
            <w:tcW w:w="2987" w:type="dxa"/>
            <w:vAlign w:val="center"/>
          </w:tcPr>
          <w:p w14:paraId="604FD545">
            <w:pPr>
              <w:pageBreakBefore w:val="0"/>
              <w:kinsoku/>
              <w:overflowPunct/>
              <w:topLinePunct w:val="0"/>
              <w:bidi w:val="0"/>
              <w:adjustRightInd w:val="0"/>
              <w:snapToGrid w:val="0"/>
              <w:ind w:left="0" w:leftChars="0" w:right="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18214157171</w:t>
            </w:r>
          </w:p>
        </w:tc>
      </w:tr>
      <w:tr w14:paraId="5EBBE1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647" w:type="dxa"/>
            <w:gridSpan w:val="2"/>
            <w:tcMar>
              <w:top w:w="16" w:type="dxa"/>
              <w:left w:w="16" w:type="dxa"/>
              <w:right w:w="16" w:type="dxa"/>
            </w:tcMar>
            <w:vAlign w:val="center"/>
          </w:tcPr>
          <w:p w14:paraId="75C2A2D5">
            <w:pPr>
              <w:pageBreakBefore w:val="0"/>
              <w:kinsoku/>
              <w:overflowPunct/>
              <w:topLinePunct w:val="0"/>
              <w:bidi w:val="0"/>
              <w:adjustRightInd w:val="0"/>
              <w:snapToGrid w:val="0"/>
              <w:ind w:left="0" w:leftChars="0" w:right="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w:t>
            </w:r>
          </w:p>
        </w:tc>
        <w:tc>
          <w:tcPr>
            <w:tcW w:w="7182" w:type="dxa"/>
            <w:gridSpan w:val="3"/>
            <w:vAlign w:val="center"/>
          </w:tcPr>
          <w:p w14:paraId="725AF9D7">
            <w:pPr>
              <w:pageBreakBefore w:val="0"/>
              <w:kinsoku/>
              <w:overflowPunct/>
              <w:topLinePunct w:val="0"/>
              <w:bidi w:val="0"/>
              <w:adjustRightInd w:val="0"/>
              <w:snapToGrid w:val="0"/>
              <w:ind w:left="0" w:leftChars="0" w:right="0"/>
              <w:jc w:val="center"/>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玉溪市峨山县双江街道办事处峨山县文邦包装制品有限公司内</w:t>
            </w:r>
          </w:p>
        </w:tc>
      </w:tr>
      <w:tr w14:paraId="46AB1D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47" w:type="dxa"/>
            <w:gridSpan w:val="2"/>
            <w:tcMar>
              <w:top w:w="16" w:type="dxa"/>
              <w:left w:w="16" w:type="dxa"/>
              <w:right w:w="16" w:type="dxa"/>
            </w:tcMar>
            <w:vAlign w:val="center"/>
          </w:tcPr>
          <w:p w14:paraId="20B209E7">
            <w:pPr>
              <w:pageBreakBefore w:val="0"/>
              <w:kinsoku/>
              <w:overflowPunct/>
              <w:topLinePunct w:val="0"/>
              <w:bidi w:val="0"/>
              <w:adjustRightInd w:val="0"/>
              <w:snapToGrid w:val="0"/>
              <w:ind w:left="0" w:leftChars="0" w:right="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地理坐标</w:t>
            </w:r>
          </w:p>
        </w:tc>
        <w:tc>
          <w:tcPr>
            <w:tcW w:w="7182" w:type="dxa"/>
            <w:gridSpan w:val="3"/>
            <w:vAlign w:val="center"/>
          </w:tcPr>
          <w:p w14:paraId="797BEE18">
            <w:pPr>
              <w:pageBreakBefore w:val="0"/>
              <w:kinsoku/>
              <w:overflowPunct/>
              <w:topLinePunct w:val="0"/>
              <w:bidi w:val="0"/>
              <w:ind w:left="0" w:leftChars="0" w:right="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东经：</w:t>
            </w:r>
            <w:r>
              <w:rPr>
                <w:color w:val="000000" w:themeColor="text1"/>
                <w:sz w:val="24"/>
                <w:u w:val="single"/>
                <w14:textFill>
                  <w14:solidFill>
                    <w14:schemeClr w14:val="tx1"/>
                  </w14:solidFill>
                </w14:textFill>
              </w:rPr>
              <w:t>10</w:t>
            </w:r>
            <w:r>
              <w:rPr>
                <w:rFonts w:hint="eastAsia"/>
                <w:color w:val="000000" w:themeColor="text1"/>
                <w:sz w:val="24"/>
                <w:u w:val="single"/>
                <w14:textFill>
                  <w14:solidFill>
                    <w14:schemeClr w14:val="tx1"/>
                  </w14:solidFill>
                </w14:textFill>
              </w:rPr>
              <w:t>2</w:t>
            </w:r>
            <w:r>
              <w:rPr>
                <w:color w:val="000000" w:themeColor="text1"/>
                <w:sz w:val="24"/>
                <w14:textFill>
                  <w14:solidFill>
                    <w14:schemeClr w14:val="tx1"/>
                  </w14:solidFill>
                </w14:textFill>
              </w:rPr>
              <w:t>度</w:t>
            </w:r>
            <w:r>
              <w:rPr>
                <w:rFonts w:hint="eastAsia"/>
                <w:color w:val="000000" w:themeColor="text1"/>
                <w:sz w:val="24"/>
                <w:u w:val="single"/>
                <w:lang w:val="en-US" w:eastAsia="zh-CN"/>
                <w14:textFill>
                  <w14:solidFill>
                    <w14:schemeClr w14:val="tx1"/>
                  </w14:solidFill>
                </w14:textFill>
              </w:rPr>
              <w:t>42</w:t>
            </w:r>
            <w:r>
              <w:rPr>
                <w:color w:val="000000" w:themeColor="text1"/>
                <w:sz w:val="24"/>
                <w14:textFill>
                  <w14:solidFill>
                    <w14:schemeClr w14:val="tx1"/>
                  </w14:solidFill>
                </w14:textFill>
              </w:rPr>
              <w:t>分</w:t>
            </w:r>
            <w:r>
              <w:rPr>
                <w:rFonts w:hint="eastAsia"/>
                <w:color w:val="000000" w:themeColor="text1"/>
                <w:sz w:val="24"/>
                <w:u w:val="single"/>
                <w:lang w:val="en-US" w:eastAsia="zh-CN"/>
                <w14:textFill>
                  <w14:solidFill>
                    <w14:schemeClr w14:val="tx1"/>
                  </w14:solidFill>
                </w14:textFill>
              </w:rPr>
              <w:t>55.777</w:t>
            </w:r>
            <w:r>
              <w:rPr>
                <w:color w:val="000000" w:themeColor="text1"/>
                <w:sz w:val="24"/>
                <w14:textFill>
                  <w14:solidFill>
                    <w14:schemeClr w14:val="tx1"/>
                  </w14:solidFill>
                </w14:textFill>
              </w:rPr>
              <w:t>秒，</w:t>
            </w:r>
            <w:r>
              <w:rPr>
                <w:rFonts w:hint="eastAsia"/>
                <w:color w:val="000000" w:themeColor="text1"/>
                <w:sz w:val="24"/>
                <w14:textFill>
                  <w14:solidFill>
                    <w14:schemeClr w14:val="tx1"/>
                  </w14:solidFill>
                </w14:textFill>
              </w:rPr>
              <w:t>北纬：</w:t>
            </w:r>
            <w:r>
              <w:rPr>
                <w:rFonts w:hint="eastAsia"/>
                <w:color w:val="000000" w:themeColor="text1"/>
                <w:sz w:val="24"/>
                <w:u w:val="single"/>
                <w14:textFill>
                  <w14:solidFill>
                    <w14:schemeClr w14:val="tx1"/>
                  </w14:solidFill>
                </w14:textFill>
              </w:rPr>
              <w:t>24</w:t>
            </w:r>
            <w:r>
              <w:rPr>
                <w:color w:val="000000" w:themeColor="text1"/>
                <w:sz w:val="24"/>
                <w14:textFill>
                  <w14:solidFill>
                    <w14:schemeClr w14:val="tx1"/>
                  </w14:solidFill>
                </w14:textFill>
              </w:rPr>
              <w:t>度</w:t>
            </w:r>
            <w:r>
              <w:rPr>
                <w:rFonts w:hint="eastAsia"/>
                <w:color w:val="000000" w:themeColor="text1"/>
                <w:sz w:val="24"/>
                <w:u w:val="single"/>
                <w:lang w:val="en-US" w:eastAsia="zh-CN"/>
                <w14:textFill>
                  <w14:solidFill>
                    <w14:schemeClr w14:val="tx1"/>
                  </w14:solidFill>
                </w14:textFill>
              </w:rPr>
              <w:t>18</w:t>
            </w:r>
            <w:r>
              <w:rPr>
                <w:color w:val="000000" w:themeColor="text1"/>
                <w:sz w:val="24"/>
                <w14:textFill>
                  <w14:solidFill>
                    <w14:schemeClr w14:val="tx1"/>
                  </w14:solidFill>
                </w14:textFill>
              </w:rPr>
              <w:t>分</w:t>
            </w:r>
            <w:r>
              <w:rPr>
                <w:rFonts w:hint="eastAsia"/>
                <w:color w:val="000000" w:themeColor="text1"/>
                <w:sz w:val="24"/>
                <w:u w:val="single"/>
                <w:lang w:val="en-US" w:eastAsia="zh-CN"/>
                <w14:textFill>
                  <w14:solidFill>
                    <w14:schemeClr w14:val="tx1"/>
                  </w14:solidFill>
                </w14:textFill>
              </w:rPr>
              <w:t>28.864</w:t>
            </w:r>
            <w:r>
              <w:rPr>
                <w:color w:val="000000" w:themeColor="text1"/>
                <w:sz w:val="24"/>
                <w14:textFill>
                  <w14:solidFill>
                    <w14:schemeClr w14:val="tx1"/>
                  </w14:solidFill>
                </w14:textFill>
              </w:rPr>
              <w:t>秒</w:t>
            </w:r>
          </w:p>
        </w:tc>
      </w:tr>
      <w:tr w14:paraId="53498B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647" w:type="dxa"/>
            <w:gridSpan w:val="2"/>
            <w:tcMar>
              <w:top w:w="16" w:type="dxa"/>
              <w:left w:w="16" w:type="dxa"/>
              <w:right w:w="16" w:type="dxa"/>
            </w:tcMar>
            <w:vAlign w:val="center"/>
          </w:tcPr>
          <w:p w14:paraId="50590360">
            <w:pPr>
              <w:pageBreakBefore w:val="0"/>
              <w:kinsoku/>
              <w:overflowPunct/>
              <w:topLinePunct w:val="0"/>
              <w:bidi w:val="0"/>
              <w:adjustRightInd w:val="0"/>
              <w:snapToGrid w:val="0"/>
              <w:ind w:left="0" w:leftChars="0" w:right="0"/>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国民经济</w:t>
            </w:r>
          </w:p>
          <w:p w14:paraId="7368D62A">
            <w:pPr>
              <w:pageBreakBefore w:val="0"/>
              <w:kinsoku/>
              <w:overflowPunct/>
              <w:topLinePunct w:val="0"/>
              <w:bidi w:val="0"/>
              <w:adjustRightInd w:val="0"/>
              <w:snapToGrid w:val="0"/>
              <w:ind w:left="0" w:leftChars="0" w:right="0"/>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行业类别</w:t>
            </w:r>
          </w:p>
        </w:tc>
        <w:tc>
          <w:tcPr>
            <w:tcW w:w="2143" w:type="dxa"/>
            <w:vAlign w:val="center"/>
          </w:tcPr>
          <w:p w14:paraId="7FCB7747">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D4430</w:t>
            </w:r>
            <w:r>
              <w:rPr>
                <w:rFonts w:ascii="Times New Roman" w:hAnsi="Times New Roman" w:eastAsia="宋体" w:cs="Times New Roman"/>
                <w:color w:val="000000" w:themeColor="text1"/>
                <w:sz w:val="24"/>
                <w:lang w:val="en-US" w:eastAsia="zh-CN"/>
                <w14:textFill>
                  <w14:solidFill>
                    <w14:schemeClr w14:val="tx1"/>
                  </w14:solidFill>
                </w14:textFill>
              </w:rPr>
              <w:t>热力生产和供应</w:t>
            </w:r>
          </w:p>
        </w:tc>
        <w:tc>
          <w:tcPr>
            <w:tcW w:w="2052" w:type="dxa"/>
            <w:vAlign w:val="center"/>
          </w:tcPr>
          <w:p w14:paraId="32CAA2DC">
            <w:pPr>
              <w:pageBreakBefore w:val="0"/>
              <w:kinsoku/>
              <w:overflowPunct/>
              <w:topLinePunct w:val="0"/>
              <w:bidi w:val="0"/>
              <w:adjustRightInd w:val="0"/>
              <w:snapToGrid w:val="0"/>
              <w:ind w:left="0" w:leftChars="0" w:right="0"/>
              <w:jc w:val="center"/>
              <w:rPr>
                <w:rFonts w:ascii="Times New Roman" w:hAnsi="Times New Roman" w:eastAsia="宋体" w:cs="Times New Roman"/>
                <w:color w:val="000000" w:themeColor="text1"/>
                <w:sz w:val="24"/>
                <w14:textFill>
                  <w14:solidFill>
                    <w14:schemeClr w14:val="tx1"/>
                  </w14:solidFill>
                </w14:textFill>
              </w:rPr>
            </w:pPr>
            <w:bookmarkStart w:id="3" w:name="_Hlk49843745"/>
            <w:r>
              <w:rPr>
                <w:rFonts w:ascii="Times New Roman" w:hAnsi="Times New Roman" w:eastAsia="宋体" w:cs="Times New Roman"/>
                <w:color w:val="000000" w:themeColor="text1"/>
                <w:sz w:val="24"/>
                <w14:textFill>
                  <w14:solidFill>
                    <w14:schemeClr w14:val="tx1"/>
                  </w14:solidFill>
                </w14:textFill>
              </w:rPr>
              <w:t>建设项目</w:t>
            </w:r>
          </w:p>
          <w:p w14:paraId="364CFDF5">
            <w:pPr>
              <w:pageBreakBefore w:val="0"/>
              <w:kinsoku/>
              <w:overflowPunct/>
              <w:topLinePunct w:val="0"/>
              <w:bidi w:val="0"/>
              <w:adjustRightInd w:val="0"/>
              <w:snapToGrid w:val="0"/>
              <w:ind w:left="0" w:leftChars="0" w:right="0"/>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行业类别</w:t>
            </w:r>
            <w:bookmarkEnd w:id="3"/>
          </w:p>
        </w:tc>
        <w:tc>
          <w:tcPr>
            <w:tcW w:w="2987" w:type="dxa"/>
            <w:vAlign w:val="center"/>
          </w:tcPr>
          <w:p w14:paraId="668DD2F1">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四十一、电力、热力生产和供应业；91热力生产和供应工程（包括建设单位自建自用的供热工程）</w:t>
            </w:r>
          </w:p>
        </w:tc>
      </w:tr>
      <w:tr w14:paraId="1FB2DF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47" w:type="dxa"/>
            <w:gridSpan w:val="2"/>
            <w:tcMar>
              <w:top w:w="16" w:type="dxa"/>
              <w:left w:w="16" w:type="dxa"/>
              <w:right w:w="16" w:type="dxa"/>
            </w:tcMar>
            <w:vAlign w:val="center"/>
          </w:tcPr>
          <w:p w14:paraId="4BAA9043">
            <w:pPr>
              <w:pageBreakBefore w:val="0"/>
              <w:kinsoku/>
              <w:overflowPunct/>
              <w:topLinePunct w:val="0"/>
              <w:bidi w:val="0"/>
              <w:adjustRightInd w:val="0"/>
              <w:snapToGrid w:val="0"/>
              <w:ind w:left="0" w:leftChars="0" w:right="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p>
        </w:tc>
        <w:tc>
          <w:tcPr>
            <w:tcW w:w="2143" w:type="dxa"/>
            <w:vAlign w:val="center"/>
          </w:tcPr>
          <w:p w14:paraId="44085541">
            <w:pPr>
              <w:pageBreakBefore w:val="0"/>
              <w:kinsoku/>
              <w:overflowPunct/>
              <w:topLinePunct w:val="0"/>
              <w:bidi w:val="0"/>
              <w:ind w:left="0" w:leftChars="0" w:right="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新建（迁建）</w:t>
            </w:r>
          </w:p>
          <w:p w14:paraId="282A57DE">
            <w:pPr>
              <w:pageBreakBefore w:val="0"/>
              <w:kinsoku/>
              <w:overflowPunct/>
              <w:topLinePunct w:val="0"/>
              <w:bidi w:val="0"/>
              <w:ind w:left="0" w:leftChars="0" w:right="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改建</w:t>
            </w:r>
          </w:p>
          <w:p w14:paraId="3F72A24D">
            <w:pPr>
              <w:pageBreakBefore w:val="0"/>
              <w:kinsoku/>
              <w:overflowPunct/>
              <w:topLinePunct w:val="0"/>
              <w:bidi w:val="0"/>
              <w:ind w:left="0" w:leftChars="0" w:right="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扩建</w:t>
            </w:r>
          </w:p>
          <w:p w14:paraId="378A8FFD">
            <w:pPr>
              <w:pageBreakBefore w:val="0"/>
              <w:kinsoku/>
              <w:overflowPunct/>
              <w:topLinePunct w:val="0"/>
              <w:bidi w:val="0"/>
              <w:ind w:left="0" w:leftChars="0" w:right="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技术改造</w:t>
            </w:r>
          </w:p>
        </w:tc>
        <w:tc>
          <w:tcPr>
            <w:tcW w:w="2052" w:type="dxa"/>
            <w:vAlign w:val="center"/>
          </w:tcPr>
          <w:p w14:paraId="2926DE24">
            <w:pPr>
              <w:pageBreakBefore w:val="0"/>
              <w:kinsoku/>
              <w:overflowPunct/>
              <w:topLinePunct w:val="0"/>
              <w:bidi w:val="0"/>
              <w:adjustRightInd w:val="0"/>
              <w:snapToGrid w:val="0"/>
              <w:ind w:left="0" w:leftChars="0" w:right="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14:paraId="12ED4FFB">
            <w:pPr>
              <w:pageBreakBefore w:val="0"/>
              <w:kinsoku/>
              <w:overflowPunct/>
              <w:topLinePunct w:val="0"/>
              <w:bidi w:val="0"/>
              <w:adjustRightInd w:val="0"/>
              <w:snapToGrid w:val="0"/>
              <w:ind w:left="0" w:leftChars="0" w:right="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申报情形</w:t>
            </w:r>
          </w:p>
        </w:tc>
        <w:tc>
          <w:tcPr>
            <w:tcW w:w="2987" w:type="dxa"/>
            <w:vAlign w:val="center"/>
          </w:tcPr>
          <w:p w14:paraId="5FE4515E">
            <w:pPr>
              <w:pageBreakBefore w:val="0"/>
              <w:kinsoku/>
              <w:overflowPunct/>
              <w:topLinePunct w:val="0"/>
              <w:bidi w:val="0"/>
              <w:ind w:left="0" w:leftChars="0" w:right="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 xml:space="preserve">首次申报项目             </w:t>
            </w:r>
          </w:p>
          <w:p w14:paraId="56DF7E8B">
            <w:pPr>
              <w:pageBreakBefore w:val="0"/>
              <w:kinsoku/>
              <w:overflowPunct/>
              <w:topLinePunct w:val="0"/>
              <w:bidi w:val="0"/>
              <w:ind w:left="0" w:leftChars="0" w:right="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不予批准后再次申报项目</w:t>
            </w:r>
          </w:p>
          <w:p w14:paraId="207D781C">
            <w:pPr>
              <w:pageBreakBefore w:val="0"/>
              <w:kinsoku/>
              <w:overflowPunct/>
              <w:topLinePunct w:val="0"/>
              <w:bidi w:val="0"/>
              <w:ind w:left="0" w:leftChars="0" w:right="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 xml:space="preserve">超五年重新审核项目     </w:t>
            </w:r>
          </w:p>
          <w:p w14:paraId="3AD65237">
            <w:pPr>
              <w:pageBreakBefore w:val="0"/>
              <w:kinsoku/>
              <w:overflowPunct/>
              <w:topLinePunct w:val="0"/>
              <w:bidi w:val="0"/>
              <w:ind w:left="0" w:leftChars="0" w:right="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重大变动重新报批项目</w:t>
            </w:r>
          </w:p>
        </w:tc>
      </w:tr>
      <w:tr w14:paraId="08FE5E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647" w:type="dxa"/>
            <w:gridSpan w:val="2"/>
            <w:tcMar>
              <w:top w:w="16" w:type="dxa"/>
              <w:left w:w="16" w:type="dxa"/>
              <w:right w:w="16" w:type="dxa"/>
            </w:tcMar>
            <w:vAlign w:val="center"/>
          </w:tcPr>
          <w:p w14:paraId="475025C9">
            <w:pPr>
              <w:pageBreakBefore w:val="0"/>
              <w:kinsoku/>
              <w:overflowPunct/>
              <w:topLinePunct w:val="0"/>
              <w:bidi w:val="0"/>
              <w:adjustRightInd w:val="0"/>
              <w:snapToGrid w:val="0"/>
              <w:ind w:left="0" w:leftChars="0" w:right="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14:paraId="6B7B9BAD">
            <w:pPr>
              <w:pageBreakBefore w:val="0"/>
              <w:kinsoku/>
              <w:overflowPunct/>
              <w:topLinePunct w:val="0"/>
              <w:bidi w:val="0"/>
              <w:adjustRightInd w:val="0"/>
              <w:snapToGrid w:val="0"/>
              <w:ind w:left="0" w:leftChars="0" w:right="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备案）部门</w:t>
            </w:r>
          </w:p>
        </w:tc>
        <w:tc>
          <w:tcPr>
            <w:tcW w:w="2143" w:type="dxa"/>
            <w:vAlign w:val="center"/>
          </w:tcPr>
          <w:p w14:paraId="39050D2B">
            <w:pPr>
              <w:pageBreakBefore w:val="0"/>
              <w:kinsoku/>
              <w:overflowPunct/>
              <w:topLinePunct w:val="0"/>
              <w:bidi w:val="0"/>
              <w:adjustRightInd w:val="0"/>
              <w:snapToGrid w:val="0"/>
              <w:ind w:left="0" w:leftChars="0" w:right="0"/>
              <w:jc w:val="center"/>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峨山县发展和改革局</w:t>
            </w:r>
          </w:p>
        </w:tc>
        <w:tc>
          <w:tcPr>
            <w:tcW w:w="2052" w:type="dxa"/>
            <w:vAlign w:val="center"/>
          </w:tcPr>
          <w:p w14:paraId="36936D3F">
            <w:pPr>
              <w:pageBreakBefore w:val="0"/>
              <w:kinsoku/>
              <w:overflowPunct/>
              <w:topLinePunct w:val="0"/>
              <w:bidi w:val="0"/>
              <w:adjustRightInd w:val="0"/>
              <w:snapToGrid w:val="0"/>
              <w:ind w:left="0" w:leftChars="0" w:right="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14:paraId="16CB8F0D">
            <w:pPr>
              <w:pageBreakBefore w:val="0"/>
              <w:kinsoku/>
              <w:overflowPunct/>
              <w:topLinePunct w:val="0"/>
              <w:bidi w:val="0"/>
              <w:adjustRightInd w:val="0"/>
              <w:snapToGrid w:val="0"/>
              <w:ind w:left="0" w:leftChars="0" w:right="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备案）文号</w:t>
            </w:r>
          </w:p>
        </w:tc>
        <w:tc>
          <w:tcPr>
            <w:tcW w:w="2987" w:type="dxa"/>
            <w:vAlign w:val="center"/>
          </w:tcPr>
          <w:p w14:paraId="2A770A76">
            <w:pPr>
              <w:pageBreakBefore w:val="0"/>
              <w:kinsoku/>
              <w:overflowPunct/>
              <w:topLinePunct w:val="0"/>
              <w:bidi w:val="0"/>
              <w:adjustRightInd w:val="0"/>
              <w:snapToGrid w:val="0"/>
              <w:ind w:left="0" w:leftChars="0" w:right="0"/>
              <w:jc w:val="center"/>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2511-530426-04-02-334555</w:t>
            </w:r>
          </w:p>
        </w:tc>
      </w:tr>
      <w:tr w14:paraId="525E0D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1647" w:type="dxa"/>
            <w:gridSpan w:val="2"/>
            <w:tcMar>
              <w:top w:w="16" w:type="dxa"/>
              <w:left w:w="16" w:type="dxa"/>
              <w:right w:w="16" w:type="dxa"/>
            </w:tcMar>
            <w:vAlign w:val="center"/>
          </w:tcPr>
          <w:p w14:paraId="113C6E2E">
            <w:pPr>
              <w:pageBreakBefore w:val="0"/>
              <w:kinsoku/>
              <w:overflowPunct/>
              <w:topLinePunct w:val="0"/>
              <w:bidi w:val="0"/>
              <w:adjustRightInd w:val="0"/>
              <w:snapToGrid w:val="0"/>
              <w:ind w:left="0" w:leftChars="0" w:right="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总投资（万元）</w:t>
            </w:r>
          </w:p>
        </w:tc>
        <w:tc>
          <w:tcPr>
            <w:tcW w:w="2143" w:type="dxa"/>
            <w:vAlign w:val="center"/>
          </w:tcPr>
          <w:p w14:paraId="3412FB57">
            <w:pPr>
              <w:pageBreakBefore w:val="0"/>
              <w:kinsoku/>
              <w:overflowPunct/>
              <w:topLinePunct w:val="0"/>
              <w:bidi w:val="0"/>
              <w:adjustRightInd w:val="0"/>
              <w:snapToGrid w:val="0"/>
              <w:ind w:left="0" w:leftChars="0" w:right="0"/>
              <w:jc w:val="center"/>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50</w:t>
            </w:r>
          </w:p>
        </w:tc>
        <w:tc>
          <w:tcPr>
            <w:tcW w:w="2052" w:type="dxa"/>
            <w:tcMar>
              <w:top w:w="16" w:type="dxa"/>
              <w:left w:w="16" w:type="dxa"/>
              <w:right w:w="16" w:type="dxa"/>
            </w:tcMar>
            <w:vAlign w:val="center"/>
          </w:tcPr>
          <w:p w14:paraId="3CCEF2FC">
            <w:pPr>
              <w:pageBreakBefore w:val="0"/>
              <w:kinsoku/>
              <w:overflowPunct/>
              <w:topLinePunct w:val="0"/>
              <w:bidi w:val="0"/>
              <w:adjustRightInd w:val="0"/>
              <w:snapToGrid w:val="0"/>
              <w:ind w:left="0" w:leftChars="0" w:right="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环保投资（万元）</w:t>
            </w:r>
          </w:p>
        </w:tc>
        <w:tc>
          <w:tcPr>
            <w:tcW w:w="2987" w:type="dxa"/>
            <w:vAlign w:val="center"/>
          </w:tcPr>
          <w:p w14:paraId="0F9B464C">
            <w:pPr>
              <w:pageBreakBefore w:val="0"/>
              <w:kinsoku/>
              <w:overflowPunct/>
              <w:topLinePunct w:val="0"/>
              <w:bidi w:val="0"/>
              <w:adjustRightInd w:val="0"/>
              <w:snapToGrid w:val="0"/>
              <w:ind w:left="0" w:leftChars="0" w:right="0"/>
              <w:jc w:val="center"/>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37</w:t>
            </w:r>
          </w:p>
        </w:tc>
      </w:tr>
      <w:tr w14:paraId="0E2665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47" w:type="dxa"/>
            <w:gridSpan w:val="2"/>
            <w:tcMar>
              <w:top w:w="16" w:type="dxa"/>
              <w:left w:w="16" w:type="dxa"/>
              <w:right w:w="16" w:type="dxa"/>
            </w:tcMar>
            <w:vAlign w:val="center"/>
          </w:tcPr>
          <w:p w14:paraId="42CD3CFB">
            <w:pPr>
              <w:pageBreakBefore w:val="0"/>
              <w:kinsoku/>
              <w:overflowPunct/>
              <w:topLinePunct w:val="0"/>
              <w:bidi w:val="0"/>
              <w:adjustRightInd w:val="0"/>
              <w:snapToGrid w:val="0"/>
              <w:ind w:left="0" w:leftChars="0" w:right="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环保投资占比（%）</w:t>
            </w:r>
          </w:p>
        </w:tc>
        <w:tc>
          <w:tcPr>
            <w:tcW w:w="2143" w:type="dxa"/>
            <w:vAlign w:val="center"/>
          </w:tcPr>
          <w:p w14:paraId="48177C2D">
            <w:pPr>
              <w:pageBreakBefore w:val="0"/>
              <w:kinsoku/>
              <w:overflowPunct/>
              <w:topLinePunct w:val="0"/>
              <w:bidi w:val="0"/>
              <w:adjustRightInd w:val="0"/>
              <w:snapToGrid w:val="0"/>
              <w:ind w:left="0" w:leftChars="0" w:right="0"/>
              <w:jc w:val="center"/>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74</w:t>
            </w:r>
          </w:p>
        </w:tc>
        <w:tc>
          <w:tcPr>
            <w:tcW w:w="2052" w:type="dxa"/>
            <w:tcMar>
              <w:top w:w="16" w:type="dxa"/>
              <w:left w:w="16" w:type="dxa"/>
              <w:right w:w="16" w:type="dxa"/>
            </w:tcMar>
            <w:vAlign w:val="center"/>
          </w:tcPr>
          <w:p w14:paraId="11F3C002">
            <w:pPr>
              <w:pageBreakBefore w:val="0"/>
              <w:kinsoku/>
              <w:overflowPunct/>
              <w:topLinePunct w:val="0"/>
              <w:bidi w:val="0"/>
              <w:adjustRightInd w:val="0"/>
              <w:snapToGrid w:val="0"/>
              <w:ind w:left="0" w:leftChars="0" w:right="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施工工期</w:t>
            </w:r>
          </w:p>
        </w:tc>
        <w:tc>
          <w:tcPr>
            <w:tcW w:w="2987" w:type="dxa"/>
            <w:vAlign w:val="center"/>
          </w:tcPr>
          <w:p w14:paraId="14920CE1">
            <w:pPr>
              <w:pageBreakBefore w:val="0"/>
              <w:kinsoku/>
              <w:overflowPunct/>
              <w:topLinePunct w:val="0"/>
              <w:bidi w:val="0"/>
              <w:adjustRightInd w:val="0"/>
              <w:snapToGrid w:val="0"/>
              <w:ind w:left="0" w:leftChars="0" w:right="0"/>
              <w:jc w:val="center"/>
              <w:rPr>
                <w:rFonts w:hint="eastAsia"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4个月</w:t>
            </w:r>
          </w:p>
        </w:tc>
      </w:tr>
      <w:tr w14:paraId="465E10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47" w:type="dxa"/>
            <w:gridSpan w:val="2"/>
            <w:tcMar>
              <w:top w:w="16" w:type="dxa"/>
              <w:left w:w="16" w:type="dxa"/>
              <w:right w:w="16" w:type="dxa"/>
            </w:tcMar>
            <w:vAlign w:val="center"/>
          </w:tcPr>
          <w:p w14:paraId="2A591B32">
            <w:pPr>
              <w:pageBreakBefore w:val="0"/>
              <w:kinsoku/>
              <w:overflowPunct/>
              <w:topLinePunct w:val="0"/>
              <w:bidi w:val="0"/>
              <w:adjustRightInd w:val="0"/>
              <w:snapToGrid w:val="0"/>
              <w:ind w:left="0" w:leftChars="0" w:right="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是否开工建设</w:t>
            </w:r>
          </w:p>
        </w:tc>
        <w:tc>
          <w:tcPr>
            <w:tcW w:w="2143" w:type="dxa"/>
            <w:vAlign w:val="center"/>
          </w:tcPr>
          <w:p w14:paraId="32F2BFFC">
            <w:pPr>
              <w:pageBreakBefore w:val="0"/>
              <w:kinsoku/>
              <w:overflowPunct/>
              <w:topLinePunct w:val="0"/>
              <w:bidi w:val="0"/>
              <w:adjustRightInd w:val="0"/>
              <w:snapToGrid w:val="0"/>
              <w:ind w:left="0" w:leftChars="0" w:right="0"/>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否</w:t>
            </w:r>
          </w:p>
          <w:p w14:paraId="6659B128">
            <w:pPr>
              <w:pageBreakBefore w:val="0"/>
              <w:kinsoku/>
              <w:overflowPunct/>
              <w:topLinePunct w:val="0"/>
              <w:bidi w:val="0"/>
              <w:adjustRightInd w:val="0"/>
              <w:snapToGrid w:val="0"/>
              <w:ind w:left="0" w:leftChars="0" w:right="0"/>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是：</w:t>
            </w:r>
            <w:r>
              <w:rPr>
                <w:color w:val="000000" w:themeColor="text1"/>
                <w:sz w:val="24"/>
                <w:u w:val="single"/>
                <w14:textFill>
                  <w14:solidFill>
                    <w14:schemeClr w14:val="tx1"/>
                  </w14:solidFill>
                </w14:textFill>
              </w:rPr>
              <w:t xml:space="preserve">            </w:t>
            </w:r>
          </w:p>
        </w:tc>
        <w:tc>
          <w:tcPr>
            <w:tcW w:w="2052" w:type="dxa"/>
            <w:tcMar>
              <w:top w:w="16" w:type="dxa"/>
              <w:left w:w="16" w:type="dxa"/>
              <w:right w:w="16" w:type="dxa"/>
            </w:tcMar>
            <w:vAlign w:val="center"/>
          </w:tcPr>
          <w:p w14:paraId="50E35333">
            <w:pPr>
              <w:pageBreakBefore w:val="0"/>
              <w:kinsoku/>
              <w:overflowPunct/>
              <w:topLinePunct w:val="0"/>
              <w:bidi w:val="0"/>
              <w:adjustRightInd w:val="0"/>
              <w:snapToGrid w:val="0"/>
              <w:ind w:left="0" w:leftChars="0" w:right="0"/>
              <w:jc w:val="center"/>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用地（用海）</w:t>
            </w:r>
          </w:p>
          <w:p w14:paraId="0F26EA26">
            <w:pPr>
              <w:pageBreakBefore w:val="0"/>
              <w:kinsoku/>
              <w:overflowPunct/>
              <w:topLinePunct w:val="0"/>
              <w:bidi w:val="0"/>
              <w:adjustRightInd w:val="0"/>
              <w:snapToGrid w:val="0"/>
              <w:ind w:left="0" w:leftChars="0" w:right="0"/>
              <w:jc w:val="center"/>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面积（m</w:t>
            </w:r>
            <w:r>
              <w:rPr>
                <w:color w:val="000000" w:themeColor="text1"/>
                <w:spacing w:val="-6"/>
                <w:sz w:val="24"/>
                <w:vertAlign w:val="superscript"/>
                <w14:textFill>
                  <w14:solidFill>
                    <w14:schemeClr w14:val="tx1"/>
                  </w14:solidFill>
                </w14:textFill>
              </w:rPr>
              <w:t>2</w:t>
            </w:r>
            <w:r>
              <w:rPr>
                <w:color w:val="000000" w:themeColor="text1"/>
                <w:spacing w:val="-6"/>
                <w:sz w:val="24"/>
                <w14:textFill>
                  <w14:solidFill>
                    <w14:schemeClr w14:val="tx1"/>
                  </w14:solidFill>
                </w14:textFill>
              </w:rPr>
              <w:t>）</w:t>
            </w:r>
          </w:p>
        </w:tc>
        <w:tc>
          <w:tcPr>
            <w:tcW w:w="2987" w:type="dxa"/>
            <w:vAlign w:val="center"/>
          </w:tcPr>
          <w:p w14:paraId="0D769555">
            <w:pPr>
              <w:pageBreakBefore w:val="0"/>
              <w:kinsoku/>
              <w:overflowPunct/>
              <w:topLinePunct w:val="0"/>
              <w:bidi w:val="0"/>
              <w:adjustRightInd w:val="0"/>
              <w:snapToGrid w:val="0"/>
              <w:ind w:left="0" w:leftChars="0" w:right="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厂区范围6100m</w:t>
            </w:r>
            <w:r>
              <w:rPr>
                <w:rFonts w:hint="eastAsia"/>
                <w:color w:val="000000" w:themeColor="text1"/>
                <w:sz w:val="24"/>
                <w:vertAlign w:val="superscript"/>
                <w:lang w:val="en-US" w:eastAsia="zh-CN"/>
                <w14:textFill>
                  <w14:solidFill>
                    <w14:schemeClr w14:val="tx1"/>
                  </w14:solidFill>
                </w14:textFill>
              </w:rPr>
              <w:t>2</w:t>
            </w:r>
            <w:r>
              <w:rPr>
                <w:rFonts w:hint="eastAsia"/>
                <w:color w:val="000000" w:themeColor="text1"/>
                <w:sz w:val="24"/>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br w:type="textWrapping"/>
            </w:r>
            <w:r>
              <w:rPr>
                <w:rFonts w:hint="eastAsia"/>
                <w:color w:val="000000" w:themeColor="text1"/>
                <w:sz w:val="24"/>
                <w:lang w:val="en-US" w:eastAsia="zh-CN"/>
                <w14:textFill>
                  <w14:solidFill>
                    <w14:schemeClr w14:val="tx1"/>
                  </w14:solidFill>
                </w14:textFill>
              </w:rPr>
              <w:t>本次无新增用地。</w:t>
            </w:r>
          </w:p>
        </w:tc>
      </w:tr>
      <w:tr w14:paraId="0FA616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239" w:type="dxa"/>
            <w:vAlign w:val="center"/>
          </w:tcPr>
          <w:p w14:paraId="0650E885">
            <w:pPr>
              <w:pageBreakBefore w:val="0"/>
              <w:kinsoku/>
              <w:overflowPunct/>
              <w:topLinePunct w:val="0"/>
              <w:autoSpaceDE w:val="0"/>
              <w:autoSpaceDN w:val="0"/>
              <w:bidi w:val="0"/>
              <w:adjustRightInd w:val="0"/>
              <w:snapToGrid w:val="0"/>
              <w:ind w:left="0" w:leftChars="0" w:right="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专项评价设置情况</w:t>
            </w:r>
          </w:p>
        </w:tc>
        <w:tc>
          <w:tcPr>
            <w:tcW w:w="7590" w:type="dxa"/>
            <w:gridSpan w:val="4"/>
            <w:vAlign w:val="center"/>
          </w:tcPr>
          <w:p w14:paraId="3148327D">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480" w:firstLineChars="200"/>
              <w:textAlignment w:val="auto"/>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项目与《建设项目环境影响报告表编制技术指南（污染影响类）（试行）》的专项评价设置原则表对照情况如下：</w:t>
            </w:r>
          </w:p>
          <w:p w14:paraId="0DCAF26D">
            <w:pPr>
              <w:pStyle w:val="52"/>
              <w:pageBreakBefore w:val="0"/>
              <w:kinsoku/>
              <w:overflowPunct/>
              <w:topLinePunct w:val="0"/>
              <w:bidi w:val="0"/>
              <w:spacing w:before="0"/>
              <w:ind w:left="0" w:leftChars="0" w:right="0"/>
              <w:rPr>
                <w:color w:val="000000" w:themeColor="text1"/>
                <w14:textFill>
                  <w14:solidFill>
                    <w14:schemeClr w14:val="tx1"/>
                  </w14:solidFill>
                </w14:textFill>
              </w:rPr>
            </w:pPr>
            <w:r>
              <w:rPr>
                <w:color w:val="000000" w:themeColor="text1"/>
                <w14:textFill>
                  <w14:solidFill>
                    <w14:schemeClr w14:val="tx1"/>
                  </w14:solidFill>
                </w14:textFill>
              </w:rPr>
              <w:t>表1-1  项目专项评价判定表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6"/>
              <w:gridCol w:w="2404"/>
              <w:gridCol w:w="3269"/>
              <w:gridCol w:w="705"/>
            </w:tblGrid>
            <w:tr w14:paraId="429C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dxa"/>
                  <w:vAlign w:val="center"/>
                </w:tcPr>
                <w:p w14:paraId="16EED09B">
                  <w:pPr>
                    <w:pStyle w:val="128"/>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b/>
                      <w:bCs w:val="0"/>
                      <w:color w:val="000000" w:themeColor="text1"/>
                      <w14:textFill>
                        <w14:solidFill>
                          <w14:schemeClr w14:val="tx1"/>
                        </w14:solidFill>
                      </w14:textFill>
                    </w:rPr>
                  </w:pPr>
                  <w:r>
                    <w:rPr>
                      <w:rFonts w:hint="eastAsia"/>
                      <w:b/>
                      <w:bCs w:val="0"/>
                      <w:color w:val="000000" w:themeColor="text1"/>
                      <w14:textFill>
                        <w14:solidFill>
                          <w14:schemeClr w14:val="tx1"/>
                        </w14:solidFill>
                      </w14:textFill>
                    </w:rPr>
                    <w:t>专项评价的类别</w:t>
                  </w:r>
                </w:p>
              </w:tc>
              <w:tc>
                <w:tcPr>
                  <w:tcW w:w="2379" w:type="dxa"/>
                  <w:vAlign w:val="center"/>
                </w:tcPr>
                <w:p w14:paraId="17B3389F">
                  <w:pPr>
                    <w:pStyle w:val="128"/>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b/>
                      <w:bCs w:val="0"/>
                      <w:color w:val="000000" w:themeColor="text1"/>
                      <w14:textFill>
                        <w14:solidFill>
                          <w14:schemeClr w14:val="tx1"/>
                        </w14:solidFill>
                      </w14:textFill>
                    </w:rPr>
                  </w:pPr>
                  <w:r>
                    <w:rPr>
                      <w:rFonts w:hint="eastAsia"/>
                      <w:b/>
                      <w:bCs w:val="0"/>
                      <w:color w:val="000000" w:themeColor="text1"/>
                      <w14:textFill>
                        <w14:solidFill>
                          <w14:schemeClr w14:val="tx1"/>
                        </w14:solidFill>
                      </w14:textFill>
                    </w:rPr>
                    <w:t>设置原则</w:t>
                  </w:r>
                </w:p>
              </w:tc>
              <w:tc>
                <w:tcPr>
                  <w:tcW w:w="3234" w:type="dxa"/>
                  <w:vAlign w:val="center"/>
                </w:tcPr>
                <w:p w14:paraId="10BE22D3">
                  <w:pPr>
                    <w:pStyle w:val="128"/>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b/>
                      <w:bCs w:val="0"/>
                      <w:color w:val="000000" w:themeColor="text1"/>
                      <w14:textFill>
                        <w14:solidFill>
                          <w14:schemeClr w14:val="tx1"/>
                        </w14:solidFill>
                      </w14:textFill>
                    </w:rPr>
                  </w:pPr>
                  <w:r>
                    <w:rPr>
                      <w:rFonts w:hint="eastAsia"/>
                      <w:b/>
                      <w:bCs w:val="0"/>
                      <w:color w:val="000000" w:themeColor="text1"/>
                      <w14:textFill>
                        <w14:solidFill>
                          <w14:schemeClr w14:val="tx1"/>
                        </w14:solidFill>
                      </w14:textFill>
                    </w:rPr>
                    <w:t>本项目情况</w:t>
                  </w:r>
                </w:p>
              </w:tc>
              <w:tc>
                <w:tcPr>
                  <w:tcW w:w="697" w:type="dxa"/>
                  <w:vAlign w:val="center"/>
                </w:tcPr>
                <w:p w14:paraId="55F1DF1C">
                  <w:pPr>
                    <w:pStyle w:val="128"/>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b/>
                      <w:bCs w:val="0"/>
                      <w:color w:val="000000" w:themeColor="text1"/>
                      <w14:textFill>
                        <w14:solidFill>
                          <w14:schemeClr w14:val="tx1"/>
                        </w14:solidFill>
                      </w14:textFill>
                    </w:rPr>
                  </w:pPr>
                  <w:r>
                    <w:rPr>
                      <w:rFonts w:hint="eastAsia"/>
                      <w:b/>
                      <w:bCs w:val="0"/>
                      <w:color w:val="000000" w:themeColor="text1"/>
                      <w14:textFill>
                        <w14:solidFill>
                          <w14:schemeClr w14:val="tx1"/>
                        </w14:solidFill>
                      </w14:textFill>
                    </w:rPr>
                    <w:t>设置与否</w:t>
                  </w:r>
                </w:p>
              </w:tc>
            </w:tr>
            <w:tr w14:paraId="7A2D7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976" w:type="dxa"/>
                  <w:vAlign w:val="center"/>
                </w:tcPr>
                <w:p w14:paraId="50A6088D">
                  <w:pPr>
                    <w:pStyle w:val="128"/>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大气</w:t>
                  </w:r>
                </w:p>
              </w:tc>
              <w:tc>
                <w:tcPr>
                  <w:tcW w:w="2379" w:type="dxa"/>
                  <w:vAlign w:val="center"/>
                </w:tcPr>
                <w:p w14:paraId="4D68EF19">
                  <w:pPr>
                    <w:pStyle w:val="128"/>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排放废气中含有有毒有害污染物、二噁英、苯并芘、氰化物、氯气且厂外500m范围内有环境空气保护目标的建设项目</w:t>
                  </w:r>
                </w:p>
              </w:tc>
              <w:tc>
                <w:tcPr>
                  <w:tcW w:w="3234" w:type="dxa"/>
                  <w:vAlign w:val="center"/>
                </w:tcPr>
                <w:p w14:paraId="6E44626A">
                  <w:pPr>
                    <w:pStyle w:val="128"/>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eastAsia"/>
                      <w:color w:val="000000" w:themeColor="text1"/>
                      <w:sz w:val="21"/>
                      <w:szCs w:val="21"/>
                      <w:lang w:eastAsia="zh-CN"/>
                      <w14:textFill>
                        <w14:solidFill>
                          <w14:schemeClr w14:val="tx1"/>
                        </w14:solidFill>
                      </w14:textFill>
                    </w:rPr>
                  </w:pPr>
                  <w:r>
                    <w:rPr>
                      <w:color w:val="000000" w:themeColor="text1"/>
                      <w14:textFill>
                        <w14:solidFill>
                          <w14:schemeClr w14:val="tx1"/>
                        </w14:solidFill>
                      </w14:textFill>
                    </w:rPr>
                    <w:t>项目排放</w:t>
                  </w:r>
                  <w:r>
                    <w:rPr>
                      <w:color w:val="000000" w:themeColor="text1"/>
                      <w:sz w:val="21"/>
                      <w:szCs w:val="21"/>
                      <w14:textFill>
                        <w14:solidFill>
                          <w14:schemeClr w14:val="tx1"/>
                        </w14:solidFill>
                      </w14:textFill>
                    </w:rPr>
                    <w:t>废气主要为</w:t>
                  </w:r>
                  <w:r>
                    <w:rPr>
                      <w:rFonts w:hint="default" w:ascii="Times New Roman" w:hAnsi="Times New Roman" w:cs="Times New Roman" w:eastAsiaTheme="minorEastAsia"/>
                      <w:bCs/>
                      <w:color w:val="000000" w:themeColor="text1"/>
                      <w:sz w:val="21"/>
                      <w:szCs w:val="21"/>
                      <w:highlight w:val="none"/>
                      <w:shd w:val="clear" w:color="auto" w:fill="auto"/>
                      <w:lang w:val="en-US" w:eastAsia="zh-CN"/>
                      <w14:textFill>
                        <w14:solidFill>
                          <w14:schemeClr w14:val="tx1"/>
                        </w14:solidFill>
                      </w14:textFill>
                    </w:rPr>
                    <w:t>非甲烷总烃</w:t>
                  </w:r>
                  <w:r>
                    <w:rPr>
                      <w:rFonts w:hint="eastAsia" w:ascii="Times New Roman" w:hAnsi="Times New Roman" w:cs="Times New Roman" w:eastAsiaTheme="minorEastAsia"/>
                      <w:bCs/>
                      <w:color w:val="000000" w:themeColor="text1"/>
                      <w:sz w:val="21"/>
                      <w:szCs w:val="21"/>
                      <w:highlight w:val="none"/>
                      <w:shd w:val="clear" w:color="auto" w:fill="auto"/>
                      <w:lang w:val="en-US" w:eastAsia="zh-CN"/>
                      <w14:textFill>
                        <w14:solidFill>
                          <w14:schemeClr w14:val="tx1"/>
                        </w14:solidFill>
                      </w14:textFill>
                    </w:rPr>
                    <w:t>、</w:t>
                  </w:r>
                  <w:r>
                    <w:rPr>
                      <w:rFonts w:hint="default" w:ascii="Times New Roman" w:hAnsi="Times New Roman" w:cs="Times New Roman" w:eastAsiaTheme="minorEastAsia"/>
                      <w:bCs/>
                      <w:color w:val="000000" w:themeColor="text1"/>
                      <w:sz w:val="21"/>
                      <w:szCs w:val="21"/>
                      <w:highlight w:val="none"/>
                      <w:shd w:val="clear" w:color="auto" w:fill="auto"/>
                      <w:lang w:val="en-US" w:eastAsia="zh-CN"/>
                      <w14:textFill>
                        <w14:solidFill>
                          <w14:schemeClr w14:val="tx1"/>
                        </w14:solidFill>
                      </w14:textFill>
                    </w:rPr>
                    <w:t>甲苯、乙苯、苯乙烯、</w:t>
                  </w:r>
                  <w:r>
                    <w:rPr>
                      <w:rFonts w:hint="eastAsia" w:ascii="Times New Roman" w:hAnsi="Times New Roman" w:cs="Times New Roman" w:eastAsiaTheme="minorEastAsia"/>
                      <w:bCs/>
                      <w:color w:val="000000" w:themeColor="text1"/>
                      <w:sz w:val="21"/>
                      <w:szCs w:val="21"/>
                      <w:highlight w:val="none"/>
                      <w:shd w:val="clear" w:color="auto" w:fill="auto"/>
                      <w:lang w:val="en-US" w:eastAsia="zh-CN"/>
                      <w14:textFill>
                        <w14:solidFill>
                          <w14:schemeClr w14:val="tx1"/>
                        </w14:solidFill>
                      </w14:textFill>
                    </w:rPr>
                    <w:t>颗粒物、二氧化硫、氮氧化物</w:t>
                  </w:r>
                  <w:r>
                    <w:rPr>
                      <w:rFonts w:hint="eastAsia"/>
                      <w:color w:val="000000" w:themeColor="text1"/>
                      <w:sz w:val="21"/>
                      <w:szCs w:val="21"/>
                      <w:lang w:eastAsia="zh-CN"/>
                      <w14:textFill>
                        <w14:solidFill>
                          <w14:schemeClr w14:val="tx1"/>
                        </w14:solidFill>
                      </w14:textFill>
                    </w:rPr>
                    <w:t>。</w:t>
                  </w:r>
                </w:p>
                <w:p w14:paraId="1C14BAB1">
                  <w:pPr>
                    <w:pStyle w:val="128"/>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color w:val="000000" w:themeColor="text1"/>
                      <w14:textFill>
                        <w14:solidFill>
                          <w14:schemeClr w14:val="tx1"/>
                        </w14:solidFill>
                      </w14:textFill>
                    </w:rPr>
                  </w:pPr>
                  <w:r>
                    <w:rPr>
                      <w:rFonts w:hint="eastAsia"/>
                      <w:color w:val="000000" w:themeColor="text1"/>
                      <w:sz w:val="21"/>
                      <w:szCs w:val="21"/>
                      <w:lang w:eastAsia="zh-CN"/>
                      <w14:textFill>
                        <w14:solidFill>
                          <w14:schemeClr w14:val="tx1"/>
                        </w14:solidFill>
                      </w14:textFill>
                    </w:rPr>
                    <w:t>不涉及</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《有毒有害大气污染物名录》</w:t>
                  </w:r>
                  <w:r>
                    <w:rPr>
                      <w:rFonts w:hint="eastAsia" w:cs="Times New Roman"/>
                      <w:color w:val="000000" w:themeColor="text1"/>
                      <w:sz w:val="21"/>
                      <w:szCs w:val="21"/>
                      <w:lang w:val="en-US" w:eastAsia="zh-CN"/>
                      <w14:textFill>
                        <w14:solidFill>
                          <w14:schemeClr w14:val="tx1"/>
                        </w14:solidFill>
                      </w14:textFill>
                    </w:rPr>
                    <w:t>中</w:t>
                  </w:r>
                  <w:r>
                    <w:rPr>
                      <w:rFonts w:hint="eastAsia"/>
                      <w:color w:val="000000" w:themeColor="text1"/>
                      <w:sz w:val="21"/>
                      <w:szCs w:val="21"/>
                      <w14:textFill>
                        <w14:solidFill>
                          <w14:schemeClr w14:val="tx1"/>
                        </w14:solidFill>
                      </w14:textFill>
                    </w:rPr>
                    <w:t>有毒有害污染物、</w:t>
                  </w:r>
                  <w:r>
                    <w:rPr>
                      <w:rFonts w:hint="eastAsia"/>
                      <w:color w:val="000000" w:themeColor="text1"/>
                      <w:sz w:val="21"/>
                      <w:szCs w:val="21"/>
                      <w:lang w:eastAsia="zh-CN"/>
                      <w14:textFill>
                        <w14:solidFill>
                          <w14:schemeClr w14:val="tx1"/>
                        </w14:solidFill>
                      </w14:textFill>
                    </w:rPr>
                    <w:t>不涉</w:t>
                  </w:r>
                  <w:r>
                    <w:rPr>
                      <w:rFonts w:hint="eastAsia"/>
                      <w:color w:val="000000" w:themeColor="text1"/>
                      <w:lang w:eastAsia="zh-CN"/>
                      <w14:textFill>
                        <w14:solidFill>
                          <w14:schemeClr w14:val="tx1"/>
                        </w14:solidFill>
                      </w14:textFill>
                    </w:rPr>
                    <w:t>及</w:t>
                  </w:r>
                  <w:r>
                    <w:rPr>
                      <w:rFonts w:hint="eastAsia"/>
                      <w:color w:val="000000" w:themeColor="text1"/>
                      <w14:textFill>
                        <w14:solidFill>
                          <w14:schemeClr w14:val="tx1"/>
                        </w14:solidFill>
                      </w14:textFill>
                    </w:rPr>
                    <w:t>二噁英、苯并芘、氰化物、氯气</w:t>
                  </w:r>
                  <w:r>
                    <w:rPr>
                      <w:rFonts w:hint="eastAsia"/>
                      <w:color w:val="000000" w:themeColor="text1"/>
                      <w:lang w:eastAsia="zh-CN"/>
                      <w14:textFill>
                        <w14:solidFill>
                          <w14:schemeClr w14:val="tx1"/>
                        </w14:solidFill>
                      </w14:textFill>
                    </w:rPr>
                    <w:t>。</w:t>
                  </w:r>
                </w:p>
              </w:tc>
              <w:tc>
                <w:tcPr>
                  <w:tcW w:w="697" w:type="dxa"/>
                  <w:vAlign w:val="center"/>
                </w:tcPr>
                <w:p w14:paraId="6EFC9EC9">
                  <w:pPr>
                    <w:pStyle w:val="128"/>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否</w:t>
                  </w:r>
                </w:p>
              </w:tc>
            </w:tr>
            <w:tr w14:paraId="436A3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dxa"/>
                  <w:vAlign w:val="center"/>
                </w:tcPr>
                <w:p w14:paraId="1C195F82">
                  <w:pPr>
                    <w:pStyle w:val="128"/>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地表水</w:t>
                  </w:r>
                </w:p>
              </w:tc>
              <w:tc>
                <w:tcPr>
                  <w:tcW w:w="2379" w:type="dxa"/>
                  <w:vAlign w:val="center"/>
                </w:tcPr>
                <w:p w14:paraId="5293D204">
                  <w:pPr>
                    <w:pStyle w:val="128"/>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新增工业废水直排建设项目（槽罐车外运污水处理厂的除外）；新增废水直排的污水集中处理厂</w:t>
                  </w:r>
                </w:p>
              </w:tc>
              <w:tc>
                <w:tcPr>
                  <w:tcW w:w="3234" w:type="dxa"/>
                  <w:vAlign w:val="center"/>
                </w:tcPr>
                <w:p w14:paraId="0F709EA2">
                  <w:pPr>
                    <w:pStyle w:val="128"/>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不涉及废水外排。</w:t>
                  </w:r>
                </w:p>
              </w:tc>
              <w:tc>
                <w:tcPr>
                  <w:tcW w:w="697" w:type="dxa"/>
                  <w:vAlign w:val="center"/>
                </w:tcPr>
                <w:p w14:paraId="7A132E48">
                  <w:pPr>
                    <w:pStyle w:val="128"/>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14:paraId="60760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dxa"/>
                  <w:vAlign w:val="center"/>
                </w:tcPr>
                <w:p w14:paraId="5D001424">
                  <w:pPr>
                    <w:pStyle w:val="128"/>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w:t>
                  </w:r>
                </w:p>
              </w:tc>
              <w:tc>
                <w:tcPr>
                  <w:tcW w:w="2379" w:type="dxa"/>
                  <w:vAlign w:val="center"/>
                </w:tcPr>
                <w:p w14:paraId="6D9F7762">
                  <w:pPr>
                    <w:pStyle w:val="128"/>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有毒有害和易燃易爆危险物质存储量超过临界量的建设项目</w:t>
                  </w:r>
                </w:p>
              </w:tc>
              <w:tc>
                <w:tcPr>
                  <w:tcW w:w="3234" w:type="dxa"/>
                  <w:vAlign w:val="center"/>
                </w:tcPr>
                <w:p w14:paraId="2B65C110">
                  <w:pPr>
                    <w:pStyle w:val="128"/>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项目涉及有毒有害和易燃易爆危险物质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总量与其临界量的比值Q=</w:t>
                  </w:r>
                  <w:r>
                    <w:rPr>
                      <w:rFonts w:hint="eastAsia" w:cs="Times New Roman"/>
                      <w:color w:val="000000" w:themeColor="text1"/>
                      <w:sz w:val="21"/>
                      <w:szCs w:val="21"/>
                      <w:lang w:val="en-US" w:eastAsia="zh-CN"/>
                      <w14:textFill>
                        <w14:solidFill>
                          <w14:schemeClr w14:val="tx1"/>
                        </w14:solidFill>
                      </w14:textFill>
                    </w:rPr>
                    <w:t>0.001972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小于1，</w:t>
                  </w:r>
                </w:p>
                <w:p w14:paraId="76ECA1C0">
                  <w:pPr>
                    <w:pStyle w:val="128"/>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最大暂存量未超过临界量。</w:t>
                  </w:r>
                </w:p>
              </w:tc>
              <w:tc>
                <w:tcPr>
                  <w:tcW w:w="697" w:type="dxa"/>
                  <w:vAlign w:val="center"/>
                </w:tcPr>
                <w:p w14:paraId="1760575B">
                  <w:pPr>
                    <w:pStyle w:val="128"/>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否</w:t>
                  </w:r>
                </w:p>
              </w:tc>
            </w:tr>
            <w:tr w14:paraId="33DAC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dxa"/>
                  <w:vAlign w:val="center"/>
                </w:tcPr>
                <w:p w14:paraId="77A494F8">
                  <w:pPr>
                    <w:pStyle w:val="128"/>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生态</w:t>
                  </w:r>
                </w:p>
              </w:tc>
              <w:tc>
                <w:tcPr>
                  <w:tcW w:w="2379" w:type="dxa"/>
                  <w:vAlign w:val="center"/>
                </w:tcPr>
                <w:p w14:paraId="69C8D446">
                  <w:pPr>
                    <w:pStyle w:val="128"/>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取水口下游500m范围有重要水生生物的自然产卵场、索饵场、越冬场和洄游通道的新增河道取水的污染类建设项目</w:t>
                  </w:r>
                </w:p>
              </w:tc>
              <w:tc>
                <w:tcPr>
                  <w:tcW w:w="3234" w:type="dxa"/>
                  <w:vAlign w:val="center"/>
                </w:tcPr>
                <w:p w14:paraId="0646A1E8">
                  <w:pPr>
                    <w:pStyle w:val="128"/>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不涉及</w:t>
                  </w:r>
                </w:p>
              </w:tc>
              <w:tc>
                <w:tcPr>
                  <w:tcW w:w="697" w:type="dxa"/>
                  <w:vAlign w:val="center"/>
                </w:tcPr>
                <w:p w14:paraId="37472AE3">
                  <w:pPr>
                    <w:pStyle w:val="128"/>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否</w:t>
                  </w:r>
                </w:p>
              </w:tc>
            </w:tr>
            <w:tr w14:paraId="6F939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dxa"/>
                  <w:vAlign w:val="center"/>
                </w:tcPr>
                <w:p w14:paraId="1F1F6BD8">
                  <w:pPr>
                    <w:pStyle w:val="128"/>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海洋</w:t>
                  </w:r>
                </w:p>
              </w:tc>
              <w:tc>
                <w:tcPr>
                  <w:tcW w:w="2379" w:type="dxa"/>
                  <w:vAlign w:val="center"/>
                </w:tcPr>
                <w:p w14:paraId="49C217D2">
                  <w:pPr>
                    <w:pStyle w:val="128"/>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直接向海洋排放污染物的海洋工程建设项目</w:t>
                  </w:r>
                </w:p>
              </w:tc>
              <w:tc>
                <w:tcPr>
                  <w:tcW w:w="3234" w:type="dxa"/>
                  <w:vAlign w:val="center"/>
                </w:tcPr>
                <w:p w14:paraId="6AAE222E">
                  <w:pPr>
                    <w:pStyle w:val="128"/>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不涉及</w:t>
                  </w:r>
                </w:p>
              </w:tc>
              <w:tc>
                <w:tcPr>
                  <w:tcW w:w="697" w:type="dxa"/>
                  <w:vAlign w:val="center"/>
                </w:tcPr>
                <w:p w14:paraId="75FFB833">
                  <w:pPr>
                    <w:pStyle w:val="128"/>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否</w:t>
                  </w:r>
                </w:p>
              </w:tc>
            </w:tr>
            <w:tr w14:paraId="3B512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dxa"/>
                  <w:vAlign w:val="center"/>
                </w:tcPr>
                <w:p w14:paraId="3E300081">
                  <w:pPr>
                    <w:pStyle w:val="128"/>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地下水</w:t>
                  </w:r>
                </w:p>
              </w:tc>
              <w:tc>
                <w:tcPr>
                  <w:tcW w:w="2379" w:type="dxa"/>
                  <w:vAlign w:val="center"/>
                </w:tcPr>
                <w:p w14:paraId="7C0BEF3A">
                  <w:pPr>
                    <w:pStyle w:val="128"/>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涉及集中式饮用水水源和热水、矿泉水、温泉等特殊地下水资源保护区</w:t>
                  </w:r>
                </w:p>
              </w:tc>
              <w:tc>
                <w:tcPr>
                  <w:tcW w:w="3234" w:type="dxa"/>
                  <w:vAlign w:val="center"/>
                </w:tcPr>
                <w:p w14:paraId="7217C6AC">
                  <w:pPr>
                    <w:pStyle w:val="128"/>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项目选址不涉及集中式饮用水水源和热水、矿泉水、温泉等特殊地下水资源保护区</w:t>
                  </w:r>
                </w:p>
              </w:tc>
              <w:tc>
                <w:tcPr>
                  <w:tcW w:w="697" w:type="dxa"/>
                  <w:vAlign w:val="center"/>
                </w:tcPr>
                <w:p w14:paraId="4A316A72">
                  <w:pPr>
                    <w:pStyle w:val="128"/>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否</w:t>
                  </w:r>
                </w:p>
              </w:tc>
            </w:tr>
            <w:tr w14:paraId="5731E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6" w:type="dxa"/>
                  <w:gridSpan w:val="4"/>
                  <w:vAlign w:val="center"/>
                </w:tcPr>
                <w:p w14:paraId="4279B545">
                  <w:pPr>
                    <w:pStyle w:val="128"/>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 169）附录B、附录C.</w:t>
                  </w:r>
                </w:p>
              </w:tc>
            </w:tr>
          </w:tbl>
          <w:p w14:paraId="11C93229">
            <w:pPr>
              <w:pageBreakBefore w:val="0"/>
              <w:kinsoku/>
              <w:overflowPunct/>
              <w:topLinePunct w:val="0"/>
              <w:bidi w:val="0"/>
              <w:adjustRightInd w:val="0"/>
              <w:snapToGrid w:val="0"/>
              <w:spacing w:line="356" w:lineRule="auto"/>
              <w:ind w:left="0" w:leftChars="0" w:right="0"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由上表可知，本项目不设置专项评价。</w:t>
            </w:r>
          </w:p>
        </w:tc>
      </w:tr>
      <w:tr w14:paraId="6D07F4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239" w:type="dxa"/>
            <w:vAlign w:val="center"/>
          </w:tcPr>
          <w:p w14:paraId="6058EA5B">
            <w:pPr>
              <w:pageBreakBefore w:val="0"/>
              <w:kinsoku/>
              <w:overflowPunct/>
              <w:topLinePunct w:val="0"/>
              <w:autoSpaceDE w:val="0"/>
              <w:autoSpaceDN w:val="0"/>
              <w:bidi w:val="0"/>
              <w:adjustRightInd w:val="0"/>
              <w:snapToGrid w:val="0"/>
              <w:ind w:left="0" w:leftChars="0" w:right="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规划情况</w:t>
            </w:r>
          </w:p>
        </w:tc>
        <w:tc>
          <w:tcPr>
            <w:tcW w:w="7590" w:type="dxa"/>
            <w:gridSpan w:val="4"/>
            <w:vAlign w:val="center"/>
          </w:tcPr>
          <w:p w14:paraId="4BEB0570">
            <w:pPr>
              <w:keepNext w:val="0"/>
              <w:keepLines w:val="0"/>
              <w:pageBreakBefore w:val="0"/>
              <w:widowControl w:val="0"/>
              <w:kinsoku/>
              <w:wordWrap/>
              <w:overflowPunct/>
              <w:topLinePunct w:val="0"/>
              <w:bidi w:val="0"/>
              <w:adjustRightInd/>
              <w:snapToGrid/>
              <w:spacing w:line="360" w:lineRule="auto"/>
              <w:jc w:val="left"/>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w:t>
            </w:r>
            <w:r>
              <w:rPr>
                <w:rFonts w:hint="eastAsia" w:ascii="Times New Roman" w:hAnsi="Times New Roman" w:eastAsia="宋体" w:cs="Times New Roman"/>
                <w:color w:val="000000" w:themeColor="text1"/>
                <w:sz w:val="24"/>
                <w:lang w:eastAsia="zh-CN"/>
                <w14:textFill>
                  <w14:solidFill>
                    <w14:schemeClr w14:val="tx1"/>
                  </w14:solidFill>
                </w14:textFill>
              </w:rPr>
              <w:t>产业园区</w:t>
            </w:r>
            <w:r>
              <w:rPr>
                <w:rFonts w:hint="default" w:ascii="Times New Roman" w:hAnsi="Times New Roman" w:eastAsia="宋体" w:cs="Times New Roman"/>
                <w:color w:val="000000" w:themeColor="text1"/>
                <w:sz w:val="24"/>
                <w14:textFill>
                  <w14:solidFill>
                    <w14:schemeClr w14:val="tx1"/>
                  </w14:solidFill>
                </w14:textFill>
              </w:rPr>
              <w:t>规划文</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件名称</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：《云南红塔产业园区总体规划修编（2021-2035年）》</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w:t>
            </w:r>
          </w:p>
          <w:p w14:paraId="7C848B77">
            <w:pPr>
              <w:keepNext w:val="0"/>
              <w:keepLines w:val="0"/>
              <w:pageBreakBefore w:val="0"/>
              <w:widowControl w:val="0"/>
              <w:kinsoku/>
              <w:wordWrap/>
              <w:overflowPunct/>
              <w:topLinePunct w:val="0"/>
              <w:bidi w:val="0"/>
              <w:adjustRightInd/>
              <w:snapToGrid/>
              <w:spacing w:line="360" w:lineRule="auto"/>
              <w:jc w:val="left"/>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2、规划审查机关：</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玉溪市人民政府；</w:t>
            </w:r>
          </w:p>
          <w:p w14:paraId="1E3DDF4F">
            <w:pPr>
              <w:keepNext w:val="0"/>
              <w:keepLines w:val="0"/>
              <w:pageBreakBefore w:val="0"/>
              <w:widowControl w:val="0"/>
              <w:kinsoku/>
              <w:wordWrap/>
              <w:overflowPunct/>
              <w:topLinePunct w:val="0"/>
              <w:bidi w:val="0"/>
              <w:adjustRightInd/>
              <w:snapToGrid/>
              <w:spacing w:line="360" w:lineRule="auto"/>
              <w:jc w:val="left"/>
              <w:textAlignment w:val="auto"/>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3、审批文件名称及文号：</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玉政复〔2023〕21号文件</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w:t>
            </w:r>
          </w:p>
        </w:tc>
      </w:tr>
      <w:tr w14:paraId="563003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239" w:type="dxa"/>
            <w:vAlign w:val="center"/>
          </w:tcPr>
          <w:p w14:paraId="7E1731B3">
            <w:pPr>
              <w:pageBreakBefore w:val="0"/>
              <w:kinsoku/>
              <w:overflowPunct/>
              <w:topLinePunct w:val="0"/>
              <w:bidi w:val="0"/>
              <w:adjustRightInd w:val="0"/>
              <w:snapToGrid w:val="0"/>
              <w:ind w:left="0" w:leftChars="0" w:right="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规划环境影响评价情况</w:t>
            </w:r>
          </w:p>
        </w:tc>
        <w:tc>
          <w:tcPr>
            <w:tcW w:w="7590" w:type="dxa"/>
            <w:gridSpan w:val="4"/>
            <w:vAlign w:val="center"/>
          </w:tcPr>
          <w:p w14:paraId="08E9ABE1">
            <w:pPr>
              <w:keepNext w:val="0"/>
              <w:keepLines w:val="0"/>
              <w:pageBreakBefore w:val="0"/>
              <w:widowControl w:val="0"/>
              <w:kinsoku/>
              <w:wordWrap/>
              <w:overflowPunct/>
              <w:topLinePunct w:val="0"/>
              <w:bidi w:val="0"/>
              <w:adjustRightInd/>
              <w:snapToGrid/>
              <w:spacing w:line="360" w:lineRule="auto"/>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1、规划环评文件名称：《云南红塔产业园区总体规划修编（2021-2035年）环境影响报告书》；</w:t>
            </w:r>
          </w:p>
          <w:p w14:paraId="4F572EEB">
            <w:pPr>
              <w:keepNext w:val="0"/>
              <w:keepLines w:val="0"/>
              <w:pageBreakBefore w:val="0"/>
              <w:widowControl w:val="0"/>
              <w:kinsoku/>
              <w:wordWrap/>
              <w:overflowPunct/>
              <w:topLinePunct w:val="0"/>
              <w:bidi w:val="0"/>
              <w:adjustRightInd/>
              <w:snapToGrid/>
              <w:spacing w:line="360" w:lineRule="auto"/>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w:t>
            </w:r>
            <w:r>
              <w:rPr>
                <w:rFonts w:hint="eastAsia" w:ascii="Times New Roman" w:hAnsi="Times New Roman" w:eastAsia="宋体" w:cs="Times New Roman"/>
                <w:color w:val="000000" w:themeColor="text1"/>
                <w:sz w:val="24"/>
                <w:lang w:eastAsia="zh-CN"/>
                <w14:textFill>
                  <w14:solidFill>
                    <w14:schemeClr w14:val="tx1"/>
                  </w14:solidFill>
                </w14:textFill>
              </w:rPr>
              <w:t>规划环评</w:t>
            </w:r>
            <w:r>
              <w:rPr>
                <w:rFonts w:hint="default" w:ascii="Times New Roman" w:hAnsi="Times New Roman" w:eastAsia="宋体" w:cs="Times New Roman"/>
                <w:color w:val="000000" w:themeColor="text1"/>
                <w:sz w:val="24"/>
                <w14:textFill>
                  <w14:solidFill>
                    <w14:schemeClr w14:val="tx1"/>
                  </w14:solidFill>
                </w14:textFill>
              </w:rPr>
              <w:t>审查机关：</w:t>
            </w:r>
            <w:r>
              <w:rPr>
                <w:rFonts w:hint="eastAsia" w:cs="Times New Roman"/>
                <w:color w:val="000000" w:themeColor="text1"/>
                <w:sz w:val="24"/>
                <w:lang w:val="en-US" w:eastAsia="zh-CN"/>
                <w14:textFill>
                  <w14:solidFill>
                    <w14:schemeClr w14:val="tx1"/>
                  </w14:solidFill>
                </w14:textFill>
              </w:rPr>
              <w:t>玉溪市生态环境局</w:t>
            </w:r>
            <w:r>
              <w:rPr>
                <w:rFonts w:hint="default" w:ascii="Times New Roman" w:hAnsi="Times New Roman" w:eastAsia="宋体" w:cs="Times New Roman"/>
                <w:color w:val="000000" w:themeColor="text1"/>
                <w:sz w:val="24"/>
                <w14:textFill>
                  <w14:solidFill>
                    <w14:schemeClr w14:val="tx1"/>
                  </w14:solidFill>
                </w14:textFill>
              </w:rPr>
              <w:t>；</w:t>
            </w:r>
          </w:p>
          <w:p w14:paraId="0D6D298B">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both"/>
              <w:textAlignment w:val="auto"/>
              <w:rPr>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3、审查文件名称及文号：</w:t>
            </w:r>
            <w:r>
              <w:rPr>
                <w:rFonts w:hint="eastAsia" w:cs="Times New Roman"/>
                <w:color w:val="000000" w:themeColor="text1"/>
                <w:sz w:val="24"/>
                <w:lang w:eastAsia="zh-CN"/>
                <w14:textFill>
                  <w14:solidFill>
                    <w14:schemeClr w14:val="tx1"/>
                  </w14:solidFill>
                </w14:textFill>
              </w:rPr>
              <w:t>玉溪市生态环境局</w:t>
            </w:r>
            <w:r>
              <w:rPr>
                <w:rFonts w:hint="eastAsia" w:ascii="Times New Roman" w:hAnsi="Times New Roman" w:eastAsia="宋体" w:cs="Times New Roman"/>
                <w:color w:val="000000" w:themeColor="text1"/>
                <w:sz w:val="24"/>
                <w:lang w:eastAsia="zh-CN"/>
                <w14:textFill>
                  <w14:solidFill>
                    <w14:schemeClr w14:val="tx1"/>
                  </w14:solidFill>
                </w14:textFill>
              </w:rPr>
              <w:t>关于</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云南红塔产业园区总体规划修编</w:t>
            </w:r>
            <w:r>
              <w:rPr>
                <w:rFonts w:hint="default" w:ascii="Times New Roman" w:hAnsi="Times New Roman" w:eastAsia="宋体" w:cs="Times New Roman"/>
                <w:color w:val="000000" w:themeColor="text1"/>
                <w:sz w:val="24"/>
                <w:lang w:val="en-US" w:eastAsia="zh-CN"/>
                <w14:textFill>
                  <w14:solidFill>
                    <w14:schemeClr w14:val="tx1"/>
                  </w14:solidFill>
                </w14:textFill>
              </w:rPr>
              <w:t>（2021-2035年）环境影响报告书</w:t>
            </w:r>
            <w:r>
              <w:rPr>
                <w:rFonts w:hint="default" w:ascii="Times New Roman" w:hAnsi="Times New Roman" w:eastAsia="宋体" w:cs="Times New Roman"/>
                <w:color w:val="000000" w:themeColor="text1"/>
                <w:sz w:val="24"/>
                <w14:textFill>
                  <w14:solidFill>
                    <w14:schemeClr w14:val="tx1"/>
                  </w14:solidFill>
                </w14:textFill>
              </w:rPr>
              <w:t>》审查意见的函（</w:t>
            </w:r>
            <w:r>
              <w:rPr>
                <w:rFonts w:hint="eastAsia" w:cs="Times New Roman"/>
                <w:color w:val="000000" w:themeColor="text1"/>
                <w:sz w:val="24"/>
                <w:lang w:val="en-US" w:eastAsia="zh-CN"/>
                <w14:textFill>
                  <w14:solidFill>
                    <w14:schemeClr w14:val="tx1"/>
                  </w14:solidFill>
                </w14:textFill>
              </w:rPr>
              <w:t>玉市环</w:t>
            </w:r>
            <w:r>
              <w:rPr>
                <w:rFonts w:hint="eastAsia" w:ascii="Times New Roman" w:hAnsi="Times New Roman" w:eastAsia="宋体" w:cs="Times New Roman"/>
                <w:color w:val="000000" w:themeColor="text1"/>
                <w:sz w:val="24"/>
                <w:lang w:val="en-US" w:eastAsia="zh-CN"/>
                <w14:textFill>
                  <w14:solidFill>
                    <w14:schemeClr w14:val="tx1"/>
                  </w14:solidFill>
                </w14:textFill>
              </w:rPr>
              <w:t>函</w:t>
            </w:r>
            <w:r>
              <w:rPr>
                <w:rFonts w:hint="default" w:ascii="Times New Roman" w:hAnsi="Times New Roman" w:eastAsia="宋体" w:cs="Times New Roman"/>
                <w:color w:val="000000" w:themeColor="text1"/>
                <w:sz w:val="24"/>
                <w:lang w:val="en-US" w:eastAsia="zh-CN"/>
                <w14:textFill>
                  <w14:solidFill>
                    <w14:schemeClr w14:val="tx1"/>
                  </w14:solidFill>
                </w14:textFill>
              </w:rPr>
              <w:t>〔20</w:t>
            </w: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27</w:t>
            </w:r>
            <w:r>
              <w:rPr>
                <w:rFonts w:hint="default" w:ascii="Times New Roman" w:hAnsi="Times New Roman" w:eastAsia="宋体" w:cs="Times New Roman"/>
                <w:color w:val="000000" w:themeColor="text1"/>
                <w:sz w:val="24"/>
                <w:lang w:val="en-US" w:eastAsia="zh-CN"/>
                <w14:textFill>
                  <w14:solidFill>
                    <w14:schemeClr w14:val="tx1"/>
                  </w14:solidFill>
                </w14:textFill>
              </w:rPr>
              <w:t>号</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w:t>
            </w:r>
          </w:p>
        </w:tc>
      </w:tr>
      <w:tr w14:paraId="6B3B5B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239" w:type="dxa"/>
            <w:vAlign w:val="center"/>
          </w:tcPr>
          <w:p w14:paraId="26BFFA68">
            <w:pPr>
              <w:pageBreakBefore w:val="0"/>
              <w:kinsoku/>
              <w:overflowPunct/>
              <w:topLinePunct w:val="0"/>
              <w:autoSpaceDE w:val="0"/>
              <w:autoSpaceDN w:val="0"/>
              <w:bidi w:val="0"/>
              <w:adjustRightInd w:val="0"/>
              <w:snapToGrid w:val="0"/>
              <w:ind w:left="0" w:leftChars="0" w:right="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规划及规划环境影响评价符合性分析</w:t>
            </w:r>
          </w:p>
        </w:tc>
        <w:tc>
          <w:tcPr>
            <w:tcW w:w="7590" w:type="dxa"/>
            <w:gridSpan w:val="4"/>
            <w:vAlign w:val="center"/>
          </w:tcPr>
          <w:p w14:paraId="3BCAE0B6">
            <w:pPr>
              <w:keepNext w:val="0"/>
              <w:keepLines w:val="0"/>
              <w:pageBreakBefore w:val="0"/>
              <w:widowControl/>
              <w:kinsoku/>
              <w:wordWrap/>
              <w:overflowPunct/>
              <w:topLinePunct w:val="0"/>
              <w:autoSpaceDE/>
              <w:autoSpaceDN/>
              <w:bidi w:val="0"/>
              <w:adjustRightInd/>
              <w:snapToGrid/>
              <w:spacing w:line="240" w:lineRule="auto"/>
              <w:ind w:firstLine="482" w:firstLineChars="200"/>
              <w:textAlignment w:val="auto"/>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1、</w:t>
            </w:r>
            <w:r>
              <w:rPr>
                <w:rFonts w:hint="eastAsia" w:cs="Times New Roman"/>
                <w:b/>
                <w:bCs/>
                <w:color w:val="000000" w:themeColor="text1"/>
                <w:sz w:val="24"/>
                <w:szCs w:val="24"/>
                <w:lang w:eastAsia="zh-CN"/>
                <w14:textFill>
                  <w14:solidFill>
                    <w14:schemeClr w14:val="tx1"/>
                  </w14:solidFill>
                </w14:textFill>
              </w:rPr>
              <w:t>与《</w:t>
            </w:r>
            <w:r>
              <w:rPr>
                <w:rFonts w:hint="eastAsia" w:ascii="Times New Roman" w:hAnsi="Times New Roman" w:eastAsia="宋体" w:cs="Times New Roman"/>
                <w:b/>
                <w:bCs/>
                <w:color w:val="000000" w:themeColor="text1"/>
                <w:sz w:val="24"/>
                <w:lang w:val="en-US" w:eastAsia="zh-CN"/>
                <w14:textFill>
                  <w14:solidFill>
                    <w14:schemeClr w14:val="tx1"/>
                  </w14:solidFill>
                </w14:textFill>
              </w:rPr>
              <w:t>云南红塔产业园区总体规划修编（2021-2035年）</w:t>
            </w:r>
            <w:r>
              <w:rPr>
                <w:rFonts w:hint="eastAsia" w:cs="Times New Roman"/>
                <w:b/>
                <w:bCs/>
                <w:color w:val="000000" w:themeColor="text1"/>
                <w:sz w:val="24"/>
                <w:szCs w:val="24"/>
                <w:lang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符合性分析</w:t>
            </w:r>
          </w:p>
          <w:p w14:paraId="79F8931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《云南红塔产业园区总体规划修编（2021-2035年）》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园区以产城融合发展为原则，考虑用地布局，采用</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两片十块，一带一环</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的规划结构模式</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园区总用地为</w:t>
            </w:r>
            <w:r>
              <w:rPr>
                <w:rFonts w:hint="eastAsia"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3.55</w:t>
            </w:r>
            <w:r>
              <w:rPr>
                <w:rFonts w:hint="eastAsia" w:cs="Times New Roman"/>
                <w:color w:val="000000" w:themeColor="text1"/>
                <w:sz w:val="24"/>
                <w:szCs w:val="24"/>
                <w:lang w:val="en-US" w:eastAsia="zh-CN"/>
                <w14:textFill>
                  <w14:solidFill>
                    <w14:schemeClr w14:val="tx1"/>
                  </w14:solidFill>
                </w14:textFill>
              </w:rPr>
              <w:t>km</w:t>
            </w:r>
            <w:r>
              <w:rPr>
                <w:rFonts w:hint="eastAsia" w:cs="Times New Roman"/>
                <w:color w:val="000000" w:themeColor="text1"/>
                <w:sz w:val="24"/>
                <w:szCs w:val="24"/>
                <w:vertAlign w:val="superscript"/>
                <w:lang w:val="en-US" w:eastAsia="zh-CN"/>
                <w14:textFill>
                  <w14:solidFill>
                    <w14:schemeClr w14:val="tx1"/>
                  </w14:solidFill>
                </w14:textFill>
              </w:rPr>
              <w:t>2</w:t>
            </w:r>
            <w:r>
              <w:rPr>
                <w:rFonts w:hint="eastAsia" w:cs="Times New Roman"/>
                <w:color w:val="000000" w:themeColor="text1"/>
                <w:sz w:val="24"/>
                <w:szCs w:val="24"/>
                <w:lang w:val="en-US" w:eastAsia="zh-CN"/>
                <w14:textFill>
                  <w14:solidFill>
                    <w14:schemeClr w14:val="tx1"/>
                  </w14:solidFill>
                </w14:textFill>
              </w:rPr>
              <w:t>。</w:t>
            </w:r>
          </w:p>
          <w:p w14:paraId="0CFAB18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两片：红塔片区、研和片区整合原红塔工业园区、原研和工业园区，形成园区的发展两片，做优先进装备制造、新能源电池、钢铁及压延加工、新材料、现代物流、现代建材产业、生物制药。 </w:t>
            </w:r>
          </w:p>
          <w:p w14:paraId="3E835FC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十块：即卧牛山地块、青龙山地块、莲池地块、观音山地块、大营街地块、研和地块一、研和地块二、研和地块三、研和地块四、双小地块。十地块分散布置于城市周边，与城市发展相互辅助、相互促进。 </w:t>
            </w:r>
          </w:p>
          <w:p w14:paraId="5677B8D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根据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《云南红塔产业园区总体规划修编（2021-2035年）》中“</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2.1.7.2产业定位</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，打造材料制造转型示范区及开放高端制造区。围绕高质量发展目标，坚持卷烟配套、装备制造等产业改造升级、新能源电池、新材料、生物医药等产业培育壮大</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双轮驱动</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，发展数控机床制造、金属冶炼及制品加工、现代物流等领域，形成组团特色，加快新旧动能转换，打造转型提升示范区、全国知名的</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专、精、特、新</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特色产业聚集区。</w:t>
            </w:r>
            <w:r>
              <w:rPr>
                <w:rFonts w:hint="eastAsia" w:cs="Times New Roman"/>
                <w:color w:val="000000" w:themeColor="text1"/>
                <w:sz w:val="24"/>
                <w:szCs w:val="24"/>
                <w:lang w:val="en-US" w:eastAsia="zh-CN"/>
                <w14:textFill>
                  <w14:solidFill>
                    <w14:schemeClr w14:val="tx1"/>
                  </w14:solidFill>
                </w14:textFill>
              </w:rPr>
              <w:t>”以及“</w:t>
            </w:r>
            <w:r>
              <w:rPr>
                <w:rFonts w:hint="eastAsia" w:cs="Times New Roman"/>
                <w:b/>
                <w:bCs/>
                <w:color w:val="000000" w:themeColor="text1"/>
                <w:sz w:val="24"/>
                <w:szCs w:val="24"/>
                <w:lang w:val="en-US" w:eastAsia="zh-CN"/>
                <w14:textFill>
                  <w14:solidFill>
                    <w14:schemeClr w14:val="tx1"/>
                  </w14:solidFill>
                </w14:textFill>
              </w:rPr>
              <w:t>表2.1.7-片区产业规划一览表，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研和片区依托载体：中国西南·玉溪国际物流港、钢制品深加工产业园、数控园；重点产业：数控机床制造、金属冶炼及制品加工、新能源电池、新能源新材料、现代物流；发展定位：特殊产业聚集区。</w:t>
            </w:r>
            <w:r>
              <w:rPr>
                <w:rFonts w:hint="eastAsia" w:cs="Times New Roman"/>
                <w:color w:val="000000" w:themeColor="text1"/>
                <w:sz w:val="24"/>
                <w:szCs w:val="24"/>
                <w:lang w:val="en-US" w:eastAsia="zh-CN"/>
                <w14:textFill>
                  <w14:solidFill>
                    <w14:schemeClr w14:val="tx1"/>
                  </w14:solidFill>
                </w14:textFill>
              </w:rPr>
              <w:t>”</w:t>
            </w:r>
          </w:p>
          <w:p w14:paraId="135E0C9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本项目位于峨山县双江街道办事处峨山县文邦包装制品有限公司内，根据《云南红塔产业园区总体规划修编（2021-2035年）》，属于云南红塔产业园区研和片区双小地块</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23D08CB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在峨山县文邦包装制品有限公司内进行，不新增用地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本项目为</w:t>
            </w:r>
            <w:r>
              <w:rPr>
                <w:rFonts w:hint="eastAsia"/>
                <w:color w:val="000000" w:themeColor="text1"/>
                <w:sz w:val="24"/>
                <w:lang w:val="en-US" w:eastAsia="zh-CN"/>
                <w14:textFill>
                  <w14:solidFill>
                    <w14:schemeClr w14:val="tx1"/>
                  </w14:solidFill>
                </w14:textFill>
              </w:rPr>
              <w:t>锅炉以及环保设施技改项目，原有2t/h燃煤锅炉拆除更换3t/h生物质锅炉；现有项目有机废气无组织排放，本项目新增“两级活性炭吸附装置”处理有机废气，有机废气经处理后通过排气筒排放。本项目属于现有项目生产线配套供热项目，本项目的建设对环境有正效益，能够降低现有项目污染物对外环境的影响，本项目的建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与园区发展定位不冲突。项目于2025年11月27日取得了峨山县发展和改革局</w:t>
            </w:r>
            <w:r>
              <w:rPr>
                <w:rFonts w:hint="eastAsia" w:eastAsia="宋体" w:cs="Times New Roman"/>
                <w:color w:val="000000" w:themeColor="text1"/>
                <w:sz w:val="24"/>
                <w:szCs w:val="24"/>
                <w:lang w:val="en-US" w:eastAsia="zh-CN"/>
                <w14:textFill>
                  <w14:solidFill>
                    <w14:schemeClr w14:val="tx1"/>
                  </w14:solidFill>
                </w14:textFill>
              </w:rPr>
              <w:t>核发的《云南省固定资产投资项目备案证》</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（备案号：</w:t>
            </w:r>
            <w:r>
              <w:rPr>
                <w:rFonts w:hint="eastAsia" w:eastAsia="宋体" w:cs="Times New Roman"/>
                <w:color w:val="000000" w:themeColor="text1"/>
                <w:sz w:val="24"/>
                <w:szCs w:val="24"/>
                <w:lang w:val="en-US" w:eastAsia="zh-CN"/>
                <w14:textFill>
                  <w14:solidFill>
                    <w14:schemeClr w14:val="tx1"/>
                  </w14:solidFill>
                </w14:textFill>
              </w:rPr>
              <w:t>2511-530426-04-02-334555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），同意</w:t>
            </w:r>
            <w:r>
              <w:rPr>
                <w:rFonts w:hint="eastAsia" w:eastAsia="宋体" w:cs="Times New Roman"/>
                <w:color w:val="000000" w:themeColor="text1"/>
                <w:sz w:val="24"/>
                <w:szCs w:val="24"/>
                <w:lang w:val="en-US" w:eastAsia="zh-CN"/>
                <w14:textFill>
                  <w14:solidFill>
                    <w14:schemeClr w14:val="tx1"/>
                  </w14:solidFill>
                </w14:textFill>
              </w:rPr>
              <w:t>项目建设。</w:t>
            </w:r>
          </w:p>
          <w:p w14:paraId="5FFABB8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综上，项目选址符合</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云南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红塔产业园区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总体规划修编（2021-2035年）》</w:t>
            </w:r>
            <w:r>
              <w:rPr>
                <w:rFonts w:hint="eastAsia" w:cs="Times New Roman"/>
                <w:color w:val="000000" w:themeColor="text1"/>
                <w:sz w:val="24"/>
                <w:szCs w:val="24"/>
                <w:lang w:val="en-US" w:eastAsia="zh-CN"/>
                <w14:textFill>
                  <w14:solidFill>
                    <w14:schemeClr w14:val="tx1"/>
                  </w14:solidFill>
                </w14:textFill>
              </w:rPr>
              <w:t>中</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园区总体规划及产业定位和布局。</w:t>
            </w:r>
          </w:p>
          <w:p w14:paraId="5D5648D6">
            <w:pPr>
              <w:widowControl/>
              <w:spacing w:line="360" w:lineRule="auto"/>
              <w:ind w:firstLine="482" w:firstLineChars="200"/>
              <w:rPr>
                <w:rFonts w:hint="eastAsia" w:cs="Times New Roman"/>
                <w:b/>
                <w:bCs/>
                <w:color w:val="000000" w:themeColor="text1"/>
                <w:kern w:val="0"/>
                <w:sz w:val="24"/>
                <w:szCs w:val="24"/>
                <w:lang w:val="en-US" w:eastAsia="zh-CN"/>
                <w14:textFill>
                  <w14:solidFill>
                    <w14:schemeClr w14:val="tx1"/>
                  </w14:solidFill>
                </w14:textFill>
              </w:rPr>
            </w:pPr>
            <w:r>
              <w:rPr>
                <w:rFonts w:hint="eastAsia" w:cs="Times New Roman"/>
                <w:b/>
                <w:bCs/>
                <w:color w:val="000000" w:themeColor="text1"/>
                <w:kern w:val="0"/>
                <w:sz w:val="24"/>
                <w:szCs w:val="24"/>
                <w:lang w:val="en-US" w:eastAsia="zh-CN"/>
                <w14:textFill>
                  <w14:solidFill>
                    <w14:schemeClr w14:val="tx1"/>
                  </w14:solidFill>
                </w14:textFill>
              </w:rPr>
              <w:t>2、与《</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云南红塔产业园区</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总体规划修编（2021-2035年）</w:t>
            </w:r>
            <w:r>
              <w:rPr>
                <w:rFonts w:hint="eastAsia" w:cs="Times New Roman"/>
                <w:b/>
                <w:bCs/>
                <w:color w:val="000000" w:themeColor="text1"/>
                <w:sz w:val="24"/>
                <w:szCs w:val="24"/>
                <w:lang w:val="en-US" w:eastAsia="zh-CN"/>
                <w14:textFill>
                  <w14:solidFill>
                    <w14:schemeClr w14:val="tx1"/>
                  </w14:solidFill>
                </w14:textFill>
              </w:rPr>
              <w:t>环境影响报告书</w:t>
            </w:r>
            <w:r>
              <w:rPr>
                <w:rFonts w:hint="eastAsia" w:cs="Times New Roman"/>
                <w:b/>
                <w:bCs/>
                <w:color w:val="000000" w:themeColor="text1"/>
                <w:kern w:val="0"/>
                <w:sz w:val="24"/>
                <w:szCs w:val="24"/>
                <w:lang w:val="en-US" w:eastAsia="zh-CN"/>
                <w14:textFill>
                  <w14:solidFill>
                    <w14:schemeClr w14:val="tx1"/>
                  </w14:solidFill>
                </w14:textFill>
              </w:rPr>
              <w:t>》规划区生态准入清单以及审查意见符合性分析</w:t>
            </w:r>
          </w:p>
          <w:p w14:paraId="409AC565">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表</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lang w:eastAsia="zh-CN"/>
                <w14:textFill>
                  <w14:solidFill>
                    <w14:schemeClr w14:val="tx1"/>
                  </w14:solidFill>
                </w14:textFill>
              </w:rPr>
              <w:t>项目与</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《云南红塔产业园区</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总体规划修编（2021-2035年）</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环境影响报告书》生态准入清单</w:t>
            </w:r>
            <w:r>
              <w:rPr>
                <w:rFonts w:hint="eastAsia" w:ascii="Times New Roman" w:hAnsi="Times New Roman" w:eastAsia="宋体" w:cs="Times New Roman"/>
                <w:b/>
                <w:bCs/>
                <w:color w:val="000000" w:themeColor="text1"/>
                <w:sz w:val="21"/>
                <w:szCs w:val="21"/>
                <w:lang w:eastAsia="zh-CN"/>
                <w14:textFill>
                  <w14:solidFill>
                    <w14:schemeClr w14:val="tx1"/>
                  </w14:solidFill>
                </w14:textFill>
              </w:rPr>
              <w:t>的对照分析</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3000"/>
              <w:gridCol w:w="3210"/>
              <w:gridCol w:w="641"/>
            </w:tblGrid>
            <w:tr w14:paraId="33912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13" w:type="dxa"/>
                  <w:gridSpan w:val="2"/>
                  <w:vAlign w:val="center"/>
                </w:tcPr>
                <w:p w14:paraId="18609E3D">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t>规划环评</w:t>
                  </w:r>
                  <w:r>
                    <w:rPr>
                      <w:rFonts w:hint="eastAsia" w:eastAsia="宋体" w:cs="Times New Roman"/>
                      <w:b/>
                      <w:bCs/>
                      <w:color w:val="000000" w:themeColor="text1"/>
                      <w:kern w:val="2"/>
                      <w:sz w:val="21"/>
                      <w:szCs w:val="21"/>
                      <w:lang w:val="en-US" w:eastAsia="zh-CN" w:bidi="ar-SA"/>
                      <w14:textFill>
                        <w14:solidFill>
                          <w14:schemeClr w14:val="tx1"/>
                        </w14:solidFill>
                      </w14:textFill>
                    </w:rPr>
                    <w:t>园区生态环境准入要求</w:t>
                  </w:r>
                </w:p>
              </w:tc>
              <w:tc>
                <w:tcPr>
                  <w:tcW w:w="3210" w:type="dxa"/>
                  <w:vAlign w:val="center"/>
                </w:tcPr>
                <w:p w14:paraId="04C5F68D">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t>本项目情况</w:t>
                  </w:r>
                </w:p>
              </w:tc>
              <w:tc>
                <w:tcPr>
                  <w:tcW w:w="641" w:type="dxa"/>
                  <w:vAlign w:val="center"/>
                </w:tcPr>
                <w:p w14:paraId="256D3279">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t>符合情况</w:t>
                  </w:r>
                </w:p>
              </w:tc>
            </w:tr>
            <w:tr w14:paraId="5EF7C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vMerge w:val="restart"/>
                  <w:vAlign w:val="center"/>
                </w:tcPr>
                <w:p w14:paraId="498D855B">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eastAsia="宋体" w:cs="Times New Roman"/>
                      <w:b/>
                      <w:bCs/>
                      <w:color w:val="000000" w:themeColor="text1"/>
                      <w:sz w:val="21"/>
                      <w:szCs w:val="21"/>
                      <w:vertAlign w:val="baseline"/>
                      <w:lang w:val="en-US" w:eastAsia="zh-CN"/>
                      <w14:textFill>
                        <w14:solidFill>
                          <w14:schemeClr w14:val="tx1"/>
                        </w14:solidFill>
                      </w14:textFill>
                    </w:rPr>
                    <w:t>研和片区空间布局</w:t>
                  </w:r>
                </w:p>
              </w:tc>
              <w:tc>
                <w:tcPr>
                  <w:tcW w:w="3000" w:type="dxa"/>
                  <w:vAlign w:val="center"/>
                </w:tcPr>
                <w:p w14:paraId="0D886EAF">
                  <w:pPr>
                    <w:keepNext w:val="0"/>
                    <w:keepLines w:val="0"/>
                    <w:widowControl/>
                    <w:suppressLineNumbers w:val="0"/>
                    <w:jc w:val="left"/>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Fonts w:hint="eastAsia" w:ascii="宋体" w:hAnsi="宋体" w:eastAsia="宋体" w:cs="宋体"/>
                      <w:color w:val="000000" w:themeColor="text1"/>
                      <w:kern w:val="0"/>
                      <w:sz w:val="21"/>
                      <w:szCs w:val="21"/>
                      <w:lang w:val="en-US" w:eastAsia="zh-CN" w:bidi="ar"/>
                      <w14:textFill>
                        <w14:solidFill>
                          <w14:schemeClr w14:val="tx1"/>
                        </w14:solidFill>
                      </w14:textFill>
                    </w:rPr>
                    <w:t>禁止不符合产业政策的企业入驻。</w:t>
                  </w:r>
                </w:p>
              </w:tc>
              <w:tc>
                <w:tcPr>
                  <w:tcW w:w="3210" w:type="dxa"/>
                  <w:vAlign w:val="center"/>
                </w:tcPr>
                <w:p w14:paraId="5038232A">
                  <w:pPr>
                    <w:keepNext w:val="0"/>
                    <w:keepLines w:val="0"/>
                    <w:pageBreakBefore w:val="0"/>
                    <w:widowControl/>
                    <w:suppressLineNumbers w:val="0"/>
                    <w:kinsoku/>
                    <w:wordWrap w:val="0"/>
                    <w:overflowPunct/>
                    <w:topLinePunct w:val="0"/>
                    <w:autoSpaceDE/>
                    <w:autoSpaceDN/>
                    <w:bidi w:val="0"/>
                    <w:adjustRightInd/>
                    <w:snapToGrid/>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项目于2025年11月27日取得了峨山县发展和改革局核发的《云南省固定资产投资项目备案证》（备案号：2511-530426-04-02-334555），同意项目建设。</w:t>
                  </w:r>
                </w:p>
                <w:p w14:paraId="606A17BF">
                  <w:pPr>
                    <w:keepNext w:val="0"/>
                    <w:keepLines w:val="0"/>
                    <w:pageBreakBefore w:val="0"/>
                    <w:widowControl/>
                    <w:suppressLineNumbers w:val="0"/>
                    <w:kinsoku/>
                    <w:wordWrap w:val="0"/>
                    <w:overflowPunct/>
                    <w:topLinePunct w:val="0"/>
                    <w:autoSpaceDE/>
                    <w:autoSpaceDN/>
                    <w:bidi w:val="0"/>
                    <w:adjustRightInd/>
                    <w:snapToGrid/>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olor w:val="000000" w:themeColor="text1"/>
                      <w:lang w:eastAsia="zh-CN"/>
                      <w14:textFill>
                        <w14:solidFill>
                          <w14:schemeClr w14:val="tx1"/>
                        </w14:solidFill>
                      </w14:textFill>
                    </w:rPr>
                    <w:t>项目不属于</w:t>
                  </w:r>
                  <w:r>
                    <w:rPr>
                      <w:rFonts w:hint="default" w:ascii="Times New Roman" w:hAnsi="Times New Roman" w:eastAsia="宋体" w:cs="Times New Roman"/>
                      <w:color w:val="000000" w:themeColor="text1"/>
                      <w:lang w:val="en-US" w:eastAsia="zh-CN"/>
                      <w14:textFill>
                        <w14:solidFill>
                          <w14:schemeClr w14:val="tx1"/>
                        </w14:solidFill>
                      </w14:textFill>
                    </w:rPr>
                    <w:t>《产业结构调整指导目录（2024年本）》</w:t>
                  </w:r>
                  <w:r>
                    <w:rPr>
                      <w:rFonts w:hint="eastAsia" w:cs="Times New Roman"/>
                      <w:color w:val="000000" w:themeColor="text1"/>
                      <w:lang w:val="en-US" w:eastAsia="zh-CN"/>
                      <w14:textFill>
                        <w14:solidFill>
                          <w14:schemeClr w14:val="tx1"/>
                        </w14:solidFill>
                      </w14:textFill>
                    </w:rPr>
                    <w:t>中所列的限制类、淘汰类生产工艺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p w14:paraId="15AFB6CA">
                  <w:pPr>
                    <w:keepNext w:val="0"/>
                    <w:keepLines w:val="0"/>
                    <w:pageBreakBefore w:val="0"/>
                    <w:widowControl/>
                    <w:suppressLineNumbers w:val="0"/>
                    <w:kinsoku/>
                    <w:wordWrap w:val="0"/>
                    <w:overflowPunct/>
                    <w:topLinePunct w:val="0"/>
                    <w:autoSpaceDE/>
                    <w:autoSpaceDN/>
                    <w:bidi w:val="0"/>
                    <w:adjustRightInd/>
                    <w:snapToGrid/>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项目符合《云南红塔产业园区总体规划修编（2021-2035年）》中园区总体规划及产业定位和布局</w:t>
                  </w:r>
                </w:p>
              </w:tc>
              <w:tc>
                <w:tcPr>
                  <w:tcW w:w="641" w:type="dxa"/>
                  <w:vAlign w:val="center"/>
                </w:tcPr>
                <w:p w14:paraId="75CC4AFD">
                  <w:pPr>
                    <w:keepNext w:val="0"/>
                    <w:keepLines w:val="0"/>
                    <w:pageBreakBefore w:val="0"/>
                    <w:widowControl/>
                    <w:suppressLineNumbers w:val="0"/>
                    <w:kinsoku/>
                    <w:wordWrap w:val="0"/>
                    <w:overflowPunct/>
                    <w:topLinePunct w:val="0"/>
                    <w:autoSpaceDE/>
                    <w:autoSpaceDN/>
                    <w:bidi w:val="0"/>
                    <w:adjustRightInd/>
                    <w:snapToGrid/>
                    <w:jc w:val="left"/>
                    <w:textAlignment w:val="auto"/>
                    <w:rPr>
                      <w:rFonts w:hint="default"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符合</w:t>
                  </w:r>
                </w:p>
              </w:tc>
            </w:tr>
            <w:tr w14:paraId="48894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vMerge w:val="continue"/>
                  <w:vAlign w:val="center"/>
                </w:tcPr>
                <w:p w14:paraId="39EB7AA3">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3000" w:type="dxa"/>
                  <w:vAlign w:val="center"/>
                </w:tcPr>
                <w:p w14:paraId="2D93596F">
                  <w:pPr>
                    <w:keepNext w:val="0"/>
                    <w:keepLines w:val="0"/>
                    <w:widowControl/>
                    <w:suppressLineNumbers w:val="0"/>
                    <w:jc w:val="left"/>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Fonts w:hint="eastAsia" w:ascii="宋体" w:hAnsi="宋体" w:eastAsia="宋体" w:cs="宋体"/>
                      <w:color w:val="000000" w:themeColor="text1"/>
                      <w:kern w:val="0"/>
                      <w:sz w:val="21"/>
                      <w:szCs w:val="21"/>
                      <w:lang w:val="en-US" w:eastAsia="zh-CN" w:bidi="ar"/>
                      <w14:textFill>
                        <w14:solidFill>
                          <w14:schemeClr w14:val="tx1"/>
                        </w14:solidFill>
                      </w14:textFill>
                    </w:rPr>
                    <w:t>在玉溪大河、石邑河水质达标前，研和片区禁止引入高废水产生的项目。</w:t>
                  </w:r>
                </w:p>
              </w:tc>
              <w:tc>
                <w:tcPr>
                  <w:tcW w:w="3210" w:type="dxa"/>
                  <w:vAlign w:val="center"/>
                </w:tcPr>
                <w:p w14:paraId="35E74D00">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本项目锅炉排水及软水制备废水产生量为</w:t>
                  </w:r>
                  <w:r>
                    <w:rPr>
                      <w:rFonts w:hint="eastAsia" w:cs="Times New Roman"/>
                      <w:b w:val="0"/>
                      <w:bCs w:val="0"/>
                      <w:color w:val="000000" w:themeColor="text1"/>
                      <w:kern w:val="2"/>
                      <w:sz w:val="21"/>
                      <w:szCs w:val="21"/>
                      <w:lang w:val="en-US" w:eastAsia="zh-CN" w:bidi="ar-SA"/>
                      <w14:textFill>
                        <w14:solidFill>
                          <w14:schemeClr w14:val="tx1"/>
                        </w14:solidFill>
                      </w14:textFill>
                    </w:rPr>
                    <w:t>1.034</w:t>
                  </w: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m</w:t>
                  </w:r>
                  <w:r>
                    <w:rPr>
                      <w:rFonts w:hint="eastAsia" w:ascii="Times New Roman" w:hAnsi="Times New Roman" w:eastAsia="宋体" w:cs="Times New Roman"/>
                      <w:b w:val="0"/>
                      <w:bCs w:val="0"/>
                      <w:color w:val="000000" w:themeColor="text1"/>
                      <w:kern w:val="2"/>
                      <w:sz w:val="21"/>
                      <w:szCs w:val="21"/>
                      <w:vertAlign w:val="superscript"/>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/d，项目废水产生量不大。</w:t>
                  </w:r>
                </w:p>
                <w:p w14:paraId="2F2AA85B">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发泡工段蒸汽冷凝水用于生物质锅炉损耗补充水，不外排。</w:t>
                  </w:r>
                  <w:r>
                    <w:rPr>
                      <w:rFonts w:hint="eastAsia" w:eastAsia="宋体" w:cs="Times New Roman"/>
                      <w:b w:val="0"/>
                      <w:bCs w:val="0"/>
                      <w:color w:val="000000" w:themeColor="text1"/>
                      <w:kern w:val="2"/>
                      <w:sz w:val="21"/>
                      <w:szCs w:val="21"/>
                      <w:lang w:val="en-US" w:eastAsia="zh-CN" w:bidi="ar-SA"/>
                      <w14:textFill>
                        <w14:solidFill>
                          <w14:schemeClr w14:val="tx1"/>
                        </w14:solidFill>
                      </w14:textFill>
                    </w:rPr>
                    <w:t>压模环节蒸汽加热成型后多余蒸汽排出，自然蒸发</w:t>
                  </w: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w:t>
                  </w:r>
                </w:p>
                <w:p w14:paraId="67C333B2">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生活污水经隔油池、化粪池处理后进入一体化生活污水处理设施，经处理达标后，晴天回用于厂区绿化，不外排，雨天暂存于</w:t>
                  </w:r>
                  <w:r>
                    <w:rPr>
                      <w:rFonts w:hint="eastAsia" w:cs="Times New Roman"/>
                      <w:b w:val="0"/>
                      <w:bCs w:val="0"/>
                      <w:color w:val="000000" w:themeColor="text1"/>
                      <w:kern w:val="2"/>
                      <w:sz w:val="21"/>
                      <w:szCs w:val="21"/>
                      <w:lang w:val="en-US" w:eastAsia="zh-CN" w:bidi="ar-SA"/>
                      <w14:textFill>
                        <w14:solidFill>
                          <w14:schemeClr w14:val="tx1"/>
                        </w14:solidFill>
                      </w14:textFill>
                    </w:rPr>
                    <w:t>中水池</w:t>
                  </w: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，留待晴天使用，不外排。</w:t>
                  </w:r>
                </w:p>
              </w:tc>
              <w:tc>
                <w:tcPr>
                  <w:tcW w:w="641" w:type="dxa"/>
                  <w:vAlign w:val="center"/>
                </w:tcPr>
                <w:p w14:paraId="4F4A662B">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符合</w:t>
                  </w:r>
                </w:p>
              </w:tc>
            </w:tr>
            <w:tr w14:paraId="7E078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vMerge w:val="continue"/>
                  <w:vAlign w:val="center"/>
                </w:tcPr>
                <w:p w14:paraId="430D3D5A">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3000" w:type="dxa"/>
                  <w:vAlign w:val="center"/>
                </w:tcPr>
                <w:p w14:paraId="3D37B68F">
                  <w:pPr>
                    <w:keepNext w:val="0"/>
                    <w:keepLines w:val="0"/>
                    <w:widowControl/>
                    <w:suppressLineNumbers w:val="0"/>
                    <w:jc w:val="left"/>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w:t>
                  </w:r>
                  <w:r>
                    <w:rPr>
                      <w:rFonts w:hint="eastAsia" w:ascii="宋体" w:hAnsi="宋体" w:eastAsia="宋体" w:cs="宋体"/>
                      <w:color w:val="000000" w:themeColor="text1"/>
                      <w:kern w:val="0"/>
                      <w:sz w:val="21"/>
                      <w:szCs w:val="21"/>
                      <w:lang w:val="en-US" w:eastAsia="zh-CN" w:bidi="ar"/>
                      <w14:textFill>
                        <w14:solidFill>
                          <w14:schemeClr w14:val="tx1"/>
                        </w14:solidFill>
                      </w14:textFill>
                    </w:rPr>
                    <w:t>研和片区地块二位于岩溶含水层分布区，含水层天然防污性能弱，地下水环境较脆弱。禁止新增金属冶炼产能，慎重布局危险化学品仓储设施和污水处理设施等对地下水存在较大环境风险的设施。</w:t>
                  </w:r>
                </w:p>
              </w:tc>
              <w:tc>
                <w:tcPr>
                  <w:tcW w:w="3210" w:type="dxa"/>
                  <w:vAlign w:val="center"/>
                </w:tcPr>
                <w:p w14:paraId="744EF7B2">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z w:val="21"/>
                      <w:szCs w:val="21"/>
                      <w:vertAlign w:val="baseline"/>
                      <w:lang w:val="en-US" w:eastAsia="zh-CN"/>
                      <w14:textFill>
                        <w14:solidFill>
                          <w14:schemeClr w14:val="tx1"/>
                        </w14:solidFill>
                      </w14:textFill>
                    </w:rPr>
                    <w:t>本项目不涉及</w:t>
                  </w: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研和片区地块二</w:t>
                  </w:r>
                </w:p>
              </w:tc>
              <w:tc>
                <w:tcPr>
                  <w:tcW w:w="641" w:type="dxa"/>
                  <w:vAlign w:val="center"/>
                </w:tcPr>
                <w:p w14:paraId="5BD33082">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符合</w:t>
                  </w:r>
                </w:p>
              </w:tc>
            </w:tr>
            <w:tr w14:paraId="2A97D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vMerge w:val="continue"/>
                  <w:vAlign w:val="center"/>
                </w:tcPr>
                <w:p w14:paraId="3F0EB48B">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3000" w:type="dxa"/>
                  <w:vAlign w:val="center"/>
                </w:tcPr>
                <w:p w14:paraId="4B95A8D3">
                  <w:pPr>
                    <w:keepNext w:val="0"/>
                    <w:keepLines w:val="0"/>
                    <w:widowControl/>
                    <w:suppressLineNumbers w:val="0"/>
                    <w:jc w:val="left"/>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4.</w:t>
                  </w:r>
                  <w:r>
                    <w:rPr>
                      <w:rFonts w:hint="eastAsia" w:ascii="宋体" w:hAnsi="宋体" w:eastAsia="宋体" w:cs="宋体"/>
                      <w:color w:val="000000" w:themeColor="text1"/>
                      <w:kern w:val="0"/>
                      <w:sz w:val="21"/>
                      <w:szCs w:val="21"/>
                      <w:lang w:val="en-US" w:eastAsia="zh-CN" w:bidi="ar"/>
                      <w14:textFill>
                        <w14:solidFill>
                          <w14:schemeClr w14:val="tx1"/>
                        </w14:solidFill>
                      </w14:textFill>
                    </w:rPr>
                    <w:t>研和工业园区与周边居住区间需保留足够的防护距离。</w:t>
                  </w:r>
                </w:p>
              </w:tc>
              <w:tc>
                <w:tcPr>
                  <w:tcW w:w="3210" w:type="dxa"/>
                  <w:vAlign w:val="center"/>
                </w:tcPr>
                <w:p w14:paraId="5663EF2E">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b w:val="0"/>
                      <w:bCs w:val="0"/>
                      <w:color w:val="000000" w:themeColor="text1"/>
                      <w:kern w:val="0"/>
                      <w:sz w:val="21"/>
                      <w:szCs w:val="21"/>
                      <w:lang w:val="en-US" w:eastAsia="zh-CN" w:bidi="ar"/>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项目运营期各大气污染物均能够做到达标排放，厂界无组织排放无超标点，无需设置大气防护距离</w:t>
                  </w:r>
                </w:p>
              </w:tc>
              <w:tc>
                <w:tcPr>
                  <w:tcW w:w="641" w:type="dxa"/>
                  <w:vAlign w:val="center"/>
                </w:tcPr>
                <w:p w14:paraId="479AFC7B">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符合</w:t>
                  </w:r>
                </w:p>
              </w:tc>
            </w:tr>
            <w:tr w14:paraId="71BC7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vMerge w:val="continue"/>
                  <w:vAlign w:val="center"/>
                </w:tcPr>
                <w:p w14:paraId="4AF9E84C">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3000" w:type="dxa"/>
                  <w:vAlign w:val="center"/>
                </w:tcPr>
                <w:p w14:paraId="76C26E06">
                  <w:pPr>
                    <w:keepNext w:val="0"/>
                    <w:keepLines w:val="0"/>
                    <w:widowControl/>
                    <w:suppressLineNumbers w:val="0"/>
                    <w:jc w:val="left"/>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5.</w:t>
                  </w:r>
                  <w:r>
                    <w:rPr>
                      <w:rFonts w:hint="eastAsia" w:ascii="宋体" w:hAnsi="宋体" w:eastAsia="宋体" w:cs="宋体"/>
                      <w:color w:val="000000" w:themeColor="text1"/>
                      <w:kern w:val="0"/>
                      <w:sz w:val="21"/>
                      <w:szCs w:val="21"/>
                      <w:lang w:val="en-US" w:eastAsia="zh-CN" w:bidi="ar"/>
                      <w14:textFill>
                        <w14:solidFill>
                          <w14:schemeClr w14:val="tx1"/>
                        </w14:solidFill>
                      </w14:textFill>
                    </w:rPr>
                    <w:t>与组团规划功能不相符的现有企业不应再行扩建，切实淘汰区域内不符合产业政策和落后产能的企业。</w:t>
                  </w:r>
                </w:p>
              </w:tc>
              <w:tc>
                <w:tcPr>
                  <w:tcW w:w="3210" w:type="dxa"/>
                  <w:vAlign w:val="center"/>
                </w:tcPr>
                <w:p w14:paraId="488A9D1F">
                  <w:pPr>
                    <w:keepNext w:val="0"/>
                    <w:keepLines w:val="0"/>
                    <w:pageBreakBefore w:val="0"/>
                    <w:widowControl/>
                    <w:suppressLineNumbers w:val="0"/>
                    <w:kinsoku/>
                    <w:wordWrap w:val="0"/>
                    <w:overflowPunct/>
                    <w:topLinePunct w:val="0"/>
                    <w:autoSpaceDE/>
                    <w:autoSpaceDN/>
                    <w:bidi w:val="0"/>
                    <w:adjustRightInd/>
                    <w:snapToGrid/>
                    <w:jc w:val="left"/>
                    <w:textAlignment w:val="auto"/>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项目不属于《产业结构调整指导目录（2024年本）》中所列的限制类、淘汰类生产工艺。</w:t>
                  </w:r>
                </w:p>
                <w:p w14:paraId="1F10414A">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项目符合</w:t>
                  </w:r>
                  <w:r>
                    <w:rPr>
                      <w:rFonts w:hint="default" w:ascii="宋体" w:hAnsi="宋体" w:eastAsia="宋体" w:cs="宋体"/>
                      <w:color w:val="000000" w:themeColor="text1"/>
                      <w:kern w:val="0"/>
                      <w:sz w:val="21"/>
                      <w:szCs w:val="21"/>
                      <w:lang w:val="en-US" w:eastAsia="zh-CN" w:bidi="ar"/>
                      <w14:textFill>
                        <w14:solidFill>
                          <w14:schemeClr w14:val="tx1"/>
                        </w14:solidFill>
                      </w14:textFill>
                    </w:rPr>
                    <w:t>《</w:t>
                  </w:r>
                  <w:r>
                    <w:rPr>
                      <w:rFonts w:hint="eastAsia" w:ascii="宋体" w:hAnsi="宋体" w:eastAsia="宋体" w:cs="宋体"/>
                      <w:color w:val="000000" w:themeColor="text1"/>
                      <w:kern w:val="0"/>
                      <w:sz w:val="21"/>
                      <w:szCs w:val="21"/>
                      <w:lang w:val="en-US" w:eastAsia="zh-CN" w:bidi="ar"/>
                      <w14:textFill>
                        <w14:solidFill>
                          <w14:schemeClr w14:val="tx1"/>
                        </w14:solidFill>
                      </w14:textFill>
                    </w:rPr>
                    <w:t>云南红塔产业园区</w:t>
                  </w:r>
                  <w:r>
                    <w:rPr>
                      <w:rFonts w:hint="default" w:ascii="宋体" w:hAnsi="宋体" w:eastAsia="宋体" w:cs="宋体"/>
                      <w:color w:val="000000" w:themeColor="text1"/>
                      <w:kern w:val="0"/>
                      <w:sz w:val="21"/>
                      <w:szCs w:val="21"/>
                      <w:lang w:val="en-US" w:eastAsia="zh-CN" w:bidi="ar"/>
                      <w14:textFill>
                        <w14:solidFill>
                          <w14:schemeClr w14:val="tx1"/>
                        </w14:solidFill>
                      </w14:textFill>
                    </w:rPr>
                    <w:t>总体规划修编（2021-2035年）》</w:t>
                  </w:r>
                  <w:r>
                    <w:rPr>
                      <w:rFonts w:hint="eastAsia" w:ascii="宋体" w:hAnsi="宋体" w:eastAsia="宋体" w:cs="宋体"/>
                      <w:color w:val="000000" w:themeColor="text1"/>
                      <w:kern w:val="0"/>
                      <w:sz w:val="21"/>
                      <w:szCs w:val="21"/>
                      <w:lang w:val="en-US" w:eastAsia="zh-CN" w:bidi="ar"/>
                      <w14:textFill>
                        <w14:solidFill>
                          <w14:schemeClr w14:val="tx1"/>
                        </w14:solidFill>
                      </w14:textFill>
                    </w:rPr>
                    <w:t>中园区总体规划及产业定位和布局</w:t>
                  </w:r>
                </w:p>
              </w:tc>
              <w:tc>
                <w:tcPr>
                  <w:tcW w:w="641" w:type="dxa"/>
                  <w:vAlign w:val="center"/>
                </w:tcPr>
                <w:p w14:paraId="2320BA45">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符合</w:t>
                  </w:r>
                </w:p>
              </w:tc>
            </w:tr>
            <w:tr w14:paraId="0E9E9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vMerge w:val="continue"/>
                  <w:vAlign w:val="center"/>
                </w:tcPr>
                <w:p w14:paraId="3D36387D">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3000" w:type="dxa"/>
                  <w:vAlign w:val="center"/>
                </w:tcPr>
                <w:p w14:paraId="778A68D0">
                  <w:pPr>
                    <w:keepNext w:val="0"/>
                    <w:keepLines w:val="0"/>
                    <w:widowControl/>
                    <w:suppressLineNumbers w:val="0"/>
                    <w:jc w:val="left"/>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6.</w:t>
                  </w:r>
                  <w:r>
                    <w:rPr>
                      <w:rFonts w:hint="eastAsia" w:ascii="宋体" w:hAnsi="宋体" w:eastAsia="宋体" w:cs="宋体"/>
                      <w:color w:val="000000" w:themeColor="text1"/>
                      <w:kern w:val="0"/>
                      <w:sz w:val="21"/>
                      <w:szCs w:val="21"/>
                      <w:lang w:val="en-US" w:eastAsia="zh-CN" w:bidi="ar"/>
                      <w14:textFill>
                        <w14:solidFill>
                          <w14:schemeClr w14:val="tx1"/>
                        </w14:solidFill>
                      </w14:textFill>
                    </w:rPr>
                    <w:t>禁止布局金属表面处理及热加工项目（涉及重金属废气、废水排放的项目）</w:t>
                  </w:r>
                </w:p>
              </w:tc>
              <w:tc>
                <w:tcPr>
                  <w:tcW w:w="3210" w:type="dxa"/>
                  <w:vAlign w:val="center"/>
                </w:tcPr>
                <w:p w14:paraId="0692D762">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不涉及金属表面处理及热加工项目</w:t>
                  </w:r>
                </w:p>
              </w:tc>
              <w:tc>
                <w:tcPr>
                  <w:tcW w:w="641" w:type="dxa"/>
                  <w:vAlign w:val="center"/>
                </w:tcPr>
                <w:p w14:paraId="77EA9DB9">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符合</w:t>
                  </w:r>
                </w:p>
              </w:tc>
            </w:tr>
            <w:tr w14:paraId="2854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vMerge w:val="continue"/>
                  <w:vAlign w:val="center"/>
                </w:tcPr>
                <w:p w14:paraId="09E9F966">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3000" w:type="dxa"/>
                  <w:vAlign w:val="center"/>
                </w:tcPr>
                <w:p w14:paraId="44479A79">
                  <w:pPr>
                    <w:keepNext w:val="0"/>
                    <w:keepLines w:val="0"/>
                    <w:widowControl/>
                    <w:suppressLineNumbers w:val="0"/>
                    <w:jc w:val="left"/>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7.</w:t>
                  </w:r>
                  <w:r>
                    <w:rPr>
                      <w:rFonts w:hint="eastAsia" w:ascii="宋体" w:hAnsi="宋体" w:eastAsia="宋体" w:cs="宋体"/>
                      <w:color w:val="000000" w:themeColor="text1"/>
                      <w:kern w:val="0"/>
                      <w:sz w:val="21"/>
                      <w:szCs w:val="21"/>
                      <w:lang w:val="en-US" w:eastAsia="zh-CN" w:bidi="ar"/>
                      <w14:textFill>
                        <w14:solidFill>
                          <w14:schemeClr w14:val="tx1"/>
                        </w14:solidFill>
                      </w14:textFill>
                    </w:rPr>
                    <w:t>金属冶炼禁止布局有色金属冶炼，禁止新增粗钢、生铁冶炼产能，金属冶炼及制品加工行业尽量布局完善产业链，促进园区金属冶炼行业转型升级。</w:t>
                  </w:r>
                </w:p>
              </w:tc>
              <w:tc>
                <w:tcPr>
                  <w:tcW w:w="3210" w:type="dxa"/>
                  <w:vAlign w:val="center"/>
                </w:tcPr>
                <w:p w14:paraId="16F5FFD7">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不涉及</w:t>
                  </w:r>
                  <w:r>
                    <w:rPr>
                      <w:rFonts w:hint="eastAsia" w:ascii="宋体" w:hAnsi="宋体" w:eastAsia="宋体" w:cs="宋体"/>
                      <w:color w:val="000000" w:themeColor="text1"/>
                      <w:kern w:val="0"/>
                      <w:sz w:val="21"/>
                      <w:szCs w:val="21"/>
                      <w:lang w:val="en-US" w:eastAsia="zh-CN" w:bidi="ar"/>
                      <w14:textFill>
                        <w14:solidFill>
                          <w14:schemeClr w14:val="tx1"/>
                        </w14:solidFill>
                      </w14:textFill>
                    </w:rPr>
                    <w:t>有色金属冶炼</w:t>
                  </w:r>
                </w:p>
              </w:tc>
              <w:tc>
                <w:tcPr>
                  <w:tcW w:w="641" w:type="dxa"/>
                  <w:vAlign w:val="center"/>
                </w:tcPr>
                <w:p w14:paraId="4FB01583">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符合</w:t>
                  </w:r>
                </w:p>
              </w:tc>
            </w:tr>
            <w:tr w14:paraId="6BA66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vMerge w:val="restart"/>
                  <w:vAlign w:val="center"/>
                </w:tcPr>
                <w:p w14:paraId="3EF67301">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eastAsia="宋体" w:cs="Times New Roman"/>
                      <w:b/>
                      <w:bCs/>
                      <w:color w:val="000000" w:themeColor="text1"/>
                      <w:sz w:val="21"/>
                      <w:szCs w:val="21"/>
                      <w:vertAlign w:val="baseline"/>
                      <w:lang w:val="en-US" w:eastAsia="zh-CN"/>
                      <w14:textFill>
                        <w14:solidFill>
                          <w14:schemeClr w14:val="tx1"/>
                        </w14:solidFill>
                      </w14:textFill>
                    </w:rPr>
                    <w:t>研和片区污染物排放管控</w:t>
                  </w:r>
                </w:p>
              </w:tc>
              <w:tc>
                <w:tcPr>
                  <w:tcW w:w="3000" w:type="dxa"/>
                  <w:vAlign w:val="center"/>
                </w:tcPr>
                <w:p w14:paraId="26DCBC07">
                  <w:pPr>
                    <w:keepNext w:val="0"/>
                    <w:keepLines w:val="0"/>
                    <w:widowControl/>
                    <w:suppressLineNumbers w:val="0"/>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Fonts w:hint="eastAsia" w:ascii="宋体" w:hAnsi="宋体" w:eastAsia="宋体" w:cs="宋体"/>
                      <w:color w:val="000000" w:themeColor="text1"/>
                      <w:kern w:val="0"/>
                      <w:sz w:val="21"/>
                      <w:szCs w:val="21"/>
                      <w:lang w:val="en-US" w:eastAsia="zh-CN" w:bidi="ar"/>
                      <w14:textFill>
                        <w14:solidFill>
                          <w14:schemeClr w14:val="tx1"/>
                        </w14:solidFill>
                      </w14:textFill>
                    </w:rPr>
                    <w:t>新改扩建项目排放区域大气环境超标污染因子的，在区域环境质量不能稳定达标前，须做到</w:t>
                  </w:r>
                  <w:r>
                    <w:rPr>
                      <w:rFonts w:hint="eastAsia" w:cs="Times New Roman"/>
                      <w:color w:val="000000" w:themeColor="text1"/>
                      <w:kern w:val="0"/>
                      <w:sz w:val="21"/>
                      <w:szCs w:val="21"/>
                      <w:lang w:val="en-US" w:eastAsia="zh-CN" w:bidi="ar"/>
                      <w14:textFill>
                        <w14:solidFill>
                          <w14:schemeClr w14:val="tx1"/>
                        </w14:solidFill>
                      </w14:textFill>
                    </w:rPr>
                    <w:t>“</w:t>
                  </w:r>
                  <w:r>
                    <w:rPr>
                      <w:rFonts w:hint="eastAsia" w:ascii="宋体" w:hAnsi="宋体" w:eastAsia="宋体" w:cs="宋体"/>
                      <w:color w:val="000000" w:themeColor="text1"/>
                      <w:kern w:val="0"/>
                      <w:sz w:val="21"/>
                      <w:szCs w:val="21"/>
                      <w:lang w:val="en-US" w:eastAsia="zh-CN" w:bidi="ar"/>
                      <w14:textFill>
                        <w14:solidFill>
                          <w14:schemeClr w14:val="tx1"/>
                        </w14:solidFill>
                      </w14:textFill>
                    </w:rPr>
                    <w:t>增产不增污</w:t>
                  </w:r>
                  <w:r>
                    <w:rPr>
                      <w:rFonts w:hint="eastAsia" w:cs="Times New Roman"/>
                      <w:color w:val="000000" w:themeColor="text1"/>
                      <w:kern w:val="0"/>
                      <w:sz w:val="21"/>
                      <w:szCs w:val="21"/>
                      <w:lang w:val="en-US" w:eastAsia="zh-CN" w:bidi="ar"/>
                      <w14:textFill>
                        <w14:solidFill>
                          <w14:schemeClr w14:val="tx1"/>
                        </w14:solidFill>
                      </w14:textFill>
                    </w:rPr>
                    <w:t>”</w:t>
                  </w:r>
                  <w:r>
                    <w:rPr>
                      <w:rFonts w:hint="eastAsia" w:ascii="宋体" w:hAnsi="宋体" w:eastAsia="宋体" w:cs="宋体"/>
                      <w:color w:val="000000" w:themeColor="text1"/>
                      <w:kern w:val="0"/>
                      <w:sz w:val="21"/>
                      <w:szCs w:val="21"/>
                      <w:lang w:val="en-US" w:eastAsia="zh-CN" w:bidi="ar"/>
                      <w14:textFill>
                        <w14:solidFill>
                          <w14:schemeClr w14:val="tx1"/>
                        </w14:solidFill>
                      </w14:textFill>
                    </w:rPr>
                    <w:t>，废气污染物排放必须实施</w:t>
                  </w:r>
                  <w:r>
                    <w:rPr>
                      <w:rFonts w:hint="eastAsia" w:cs="Times New Roman"/>
                      <w:color w:val="000000" w:themeColor="text1"/>
                      <w:kern w:val="0"/>
                      <w:sz w:val="21"/>
                      <w:szCs w:val="21"/>
                      <w:lang w:val="en-US" w:eastAsia="zh-CN" w:bidi="ar"/>
                      <w14:textFill>
                        <w14:solidFill>
                          <w14:schemeClr w14:val="tx1"/>
                        </w14:solidFill>
                      </w14:textFill>
                    </w:rPr>
                    <w:t>“</w:t>
                  </w:r>
                  <w:r>
                    <w:rPr>
                      <w:rFonts w:hint="eastAsia" w:ascii="宋体" w:hAnsi="宋体" w:eastAsia="宋体" w:cs="宋体"/>
                      <w:color w:val="000000" w:themeColor="text1"/>
                      <w:kern w:val="0"/>
                      <w:sz w:val="21"/>
                      <w:szCs w:val="21"/>
                      <w:lang w:val="en-US" w:eastAsia="zh-CN" w:bidi="ar"/>
                      <w14:textFill>
                        <w14:solidFill>
                          <w14:schemeClr w14:val="tx1"/>
                        </w14:solidFill>
                      </w14:textFill>
                    </w:rPr>
                    <w:t>区域倍量削减替代</w:t>
                  </w:r>
                  <w:r>
                    <w:rPr>
                      <w:rFonts w:hint="eastAsia" w:cs="Times New Roman"/>
                      <w:color w:val="000000" w:themeColor="text1"/>
                      <w:kern w:val="0"/>
                      <w:sz w:val="21"/>
                      <w:szCs w:val="21"/>
                      <w:lang w:val="en-US" w:eastAsia="zh-CN" w:bidi="ar"/>
                      <w14:textFill>
                        <w14:solidFill>
                          <w14:schemeClr w14:val="tx1"/>
                        </w14:solidFill>
                      </w14:textFill>
                    </w:rPr>
                    <w:t>”</w:t>
                  </w:r>
                  <w:r>
                    <w:rPr>
                      <w:rFonts w:hint="eastAsia" w:ascii="宋体" w:hAnsi="宋体" w:eastAsia="宋体" w:cs="宋体"/>
                      <w:color w:val="000000" w:themeColor="text1"/>
                      <w:kern w:val="0"/>
                      <w:sz w:val="21"/>
                      <w:szCs w:val="21"/>
                      <w:lang w:val="en-US" w:eastAsia="zh-CN" w:bidi="ar"/>
                      <w14:textFill>
                        <w14:solidFill>
                          <w14:schemeClr w14:val="tx1"/>
                        </w14:solidFill>
                      </w14:textFill>
                    </w:rPr>
                    <w:t>。</w:t>
                  </w:r>
                </w:p>
              </w:tc>
              <w:tc>
                <w:tcPr>
                  <w:tcW w:w="3210" w:type="dxa"/>
                  <w:vAlign w:val="center"/>
                </w:tcPr>
                <w:p w14:paraId="0F3F284B">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z w:val="21"/>
                      <w:szCs w:val="21"/>
                      <w:vertAlign w:val="baseline"/>
                      <w:lang w:val="en-US" w:eastAsia="zh-CN"/>
                      <w14:textFill>
                        <w14:solidFill>
                          <w14:schemeClr w14:val="tx1"/>
                        </w14:solidFill>
                      </w14:textFill>
                    </w:rPr>
                    <w:t>本项目不涉及</w:t>
                  </w: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区域大气环境超标</w:t>
                  </w:r>
                </w:p>
              </w:tc>
              <w:tc>
                <w:tcPr>
                  <w:tcW w:w="641" w:type="dxa"/>
                  <w:vAlign w:val="center"/>
                </w:tcPr>
                <w:p w14:paraId="220F5F03">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符合</w:t>
                  </w:r>
                </w:p>
              </w:tc>
            </w:tr>
            <w:tr w14:paraId="7083D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vMerge w:val="continue"/>
                  <w:vAlign w:val="center"/>
                </w:tcPr>
                <w:p w14:paraId="62DA49B5">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3000" w:type="dxa"/>
                  <w:vAlign w:val="center"/>
                </w:tcPr>
                <w:p w14:paraId="3B8F09FC">
                  <w:pPr>
                    <w:keepNext w:val="0"/>
                    <w:keepLines w:val="0"/>
                    <w:widowControl/>
                    <w:suppressLineNumbers w:val="0"/>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Fonts w:hint="eastAsia" w:ascii="宋体" w:hAnsi="宋体" w:eastAsia="宋体" w:cs="宋体"/>
                      <w:color w:val="000000" w:themeColor="text1"/>
                      <w:kern w:val="0"/>
                      <w:sz w:val="21"/>
                      <w:szCs w:val="21"/>
                      <w:lang w:val="en-US" w:eastAsia="zh-CN" w:bidi="ar"/>
                      <w14:textFill>
                        <w14:solidFill>
                          <w14:schemeClr w14:val="tx1"/>
                        </w14:solidFill>
                      </w14:textFill>
                    </w:rPr>
                    <w:t>在区域水环境质量不能稳定达标前，排放受纳水体超标污染因子的新建、扩建项目，实行区域内现有污染源</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1.5-2</w:t>
                  </w:r>
                  <w:r>
                    <w:rPr>
                      <w:rFonts w:hint="eastAsia" w:ascii="宋体" w:hAnsi="宋体" w:eastAsia="宋体" w:cs="宋体"/>
                      <w:color w:val="000000" w:themeColor="text1"/>
                      <w:kern w:val="0"/>
                      <w:sz w:val="21"/>
                      <w:szCs w:val="21"/>
                      <w:lang w:val="en-US" w:eastAsia="zh-CN" w:bidi="ar"/>
                      <w14:textFill>
                        <w14:solidFill>
                          <w14:schemeClr w14:val="tx1"/>
                        </w14:solidFill>
                      </w14:textFill>
                    </w:rPr>
                    <w:t>倍的削减替代。</w:t>
                  </w:r>
                </w:p>
              </w:tc>
              <w:tc>
                <w:tcPr>
                  <w:tcW w:w="3210" w:type="dxa"/>
                  <w:vAlign w:val="center"/>
                </w:tcPr>
                <w:p w14:paraId="72B15B42">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z w:val="21"/>
                      <w:szCs w:val="21"/>
                      <w:vertAlign w:val="baseline"/>
                      <w:lang w:val="en-US" w:eastAsia="zh-CN"/>
                      <w14:textFill>
                        <w14:solidFill>
                          <w14:schemeClr w14:val="tx1"/>
                        </w14:solidFill>
                      </w14:textFill>
                    </w:rPr>
                    <w:t>本项目生活污水经化粪池处理后进入一体化生活污水处理设施，处理达标后用于厂区绿化，不外排。</w:t>
                  </w:r>
                </w:p>
                <w:p w14:paraId="30AC6777">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本项目软水制备废水及生物质锅炉排污水</w:t>
                  </w:r>
                  <w:r>
                    <w:rPr>
                      <w:rFonts w:hint="eastAsia" w:eastAsia="宋体" w:cs="Times New Roman"/>
                      <w:color w:val="000000" w:themeColor="text1"/>
                      <w:kern w:val="2"/>
                      <w:sz w:val="21"/>
                      <w:szCs w:val="21"/>
                      <w:lang w:val="en-US" w:eastAsia="zh-CN" w:bidi="ar-SA"/>
                      <w14:textFill>
                        <w14:solidFill>
                          <w14:schemeClr w14:val="tx1"/>
                        </w14:solidFill>
                      </w14:textFill>
                    </w:rPr>
                    <w:t>经收集处理后回用于厂区洒水降尘</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，不外排。发泡工段蒸汽冷凝水用于生物质锅炉损耗补充水，不外排。</w:t>
                  </w:r>
                  <w:r>
                    <w:rPr>
                      <w:rFonts w:hint="eastAsia" w:eastAsia="宋体" w:cs="Times New Roman"/>
                      <w:color w:val="000000" w:themeColor="text1"/>
                      <w:kern w:val="2"/>
                      <w:sz w:val="21"/>
                      <w:szCs w:val="21"/>
                      <w:lang w:val="en-US" w:eastAsia="zh-CN" w:bidi="ar-SA"/>
                      <w14:textFill>
                        <w14:solidFill>
                          <w14:schemeClr w14:val="tx1"/>
                        </w14:solidFill>
                      </w14:textFill>
                    </w:rPr>
                    <w:t>流化干燥、烘干环节蒸汽自然蒸发</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eastAsia="宋体" w:cs="Times New Roman"/>
                      <w:color w:val="000000" w:themeColor="text1"/>
                      <w:kern w:val="2"/>
                      <w:sz w:val="21"/>
                      <w:szCs w:val="21"/>
                      <w:lang w:val="en-US" w:eastAsia="zh-CN" w:bidi="ar-SA"/>
                      <w14:textFill>
                        <w14:solidFill>
                          <w14:schemeClr w14:val="tx1"/>
                        </w14:solidFill>
                      </w14:textFill>
                    </w:rPr>
                    <w:t>压模环节蒸汽加热成型后多余蒸汽排出，自然蒸发</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641" w:type="dxa"/>
                  <w:vAlign w:val="center"/>
                </w:tcPr>
                <w:p w14:paraId="4887EF1D">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符合</w:t>
                  </w:r>
                </w:p>
              </w:tc>
            </w:tr>
            <w:tr w14:paraId="4FF18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vMerge w:val="continue"/>
                  <w:vAlign w:val="center"/>
                </w:tcPr>
                <w:p w14:paraId="4243268A">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3000" w:type="dxa"/>
                  <w:vAlign w:val="center"/>
                </w:tcPr>
                <w:p w14:paraId="5121CD3F">
                  <w:pPr>
                    <w:keepNext w:val="0"/>
                    <w:keepLines w:val="0"/>
                    <w:widowControl/>
                    <w:suppressLineNumbers w:val="0"/>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w:t>
                  </w:r>
                  <w:r>
                    <w:rPr>
                      <w:rFonts w:hint="eastAsia" w:ascii="宋体" w:hAnsi="宋体" w:eastAsia="宋体" w:cs="宋体"/>
                      <w:color w:val="000000" w:themeColor="text1"/>
                      <w:kern w:val="0"/>
                      <w:sz w:val="21"/>
                      <w:szCs w:val="21"/>
                      <w:lang w:val="en-US" w:eastAsia="zh-CN" w:bidi="ar"/>
                      <w14:textFill>
                        <w14:solidFill>
                          <w14:schemeClr w14:val="tx1"/>
                        </w14:solidFill>
                      </w14:textFill>
                    </w:rPr>
                    <w:t>新增金属冶炼项目排放水平需满足超低排放要求。</w:t>
                  </w:r>
                </w:p>
              </w:tc>
              <w:tc>
                <w:tcPr>
                  <w:tcW w:w="3210" w:type="dxa"/>
                  <w:vAlign w:val="center"/>
                </w:tcPr>
                <w:p w14:paraId="782B89D9">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z w:val="21"/>
                      <w:szCs w:val="21"/>
                      <w:vertAlign w:val="baseline"/>
                      <w:lang w:val="en-US" w:eastAsia="zh-CN"/>
                      <w14:textFill>
                        <w14:solidFill>
                          <w14:schemeClr w14:val="tx1"/>
                        </w14:solidFill>
                      </w14:textFill>
                    </w:rPr>
                    <w:t>本项目不涉及金属冶炼项目</w:t>
                  </w:r>
                </w:p>
              </w:tc>
              <w:tc>
                <w:tcPr>
                  <w:tcW w:w="641" w:type="dxa"/>
                  <w:vAlign w:val="center"/>
                </w:tcPr>
                <w:p w14:paraId="560289BD">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符合</w:t>
                  </w:r>
                </w:p>
              </w:tc>
            </w:tr>
            <w:tr w14:paraId="3DC06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vMerge w:val="restart"/>
                  <w:vAlign w:val="center"/>
                </w:tcPr>
                <w:p w14:paraId="43BE1243">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eastAsia="宋体" w:cs="Times New Roman"/>
                      <w:b/>
                      <w:bCs/>
                      <w:color w:val="000000" w:themeColor="text1"/>
                      <w:sz w:val="21"/>
                      <w:szCs w:val="21"/>
                      <w:vertAlign w:val="baseline"/>
                      <w:lang w:val="en-US" w:eastAsia="zh-CN"/>
                      <w14:textFill>
                        <w14:solidFill>
                          <w14:schemeClr w14:val="tx1"/>
                        </w14:solidFill>
                      </w14:textFill>
                    </w:rPr>
                    <w:t>研和片区环境风险防控</w:t>
                  </w:r>
                </w:p>
              </w:tc>
              <w:tc>
                <w:tcPr>
                  <w:tcW w:w="3000" w:type="dxa"/>
                  <w:vAlign w:val="center"/>
                </w:tcPr>
                <w:p w14:paraId="36487F02">
                  <w:pPr>
                    <w:keepNext w:val="0"/>
                    <w:keepLines w:val="0"/>
                    <w:widowControl/>
                    <w:suppressLineNumbers w:val="0"/>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Fonts w:hint="eastAsia" w:ascii="宋体" w:hAnsi="宋体" w:eastAsia="宋体" w:cs="宋体"/>
                      <w:color w:val="000000" w:themeColor="text1"/>
                      <w:kern w:val="0"/>
                      <w:sz w:val="21"/>
                      <w:szCs w:val="21"/>
                      <w:lang w:val="en-US" w:eastAsia="zh-CN" w:bidi="ar"/>
                      <w14:textFill>
                        <w14:solidFill>
                          <w14:schemeClr w14:val="tx1"/>
                        </w14:solidFill>
                      </w14:textFill>
                    </w:rPr>
                    <w:t>岩溶发育区域，应严格分区防渗要求。区域设置地下水监测井定期监测，防止事故情况下污染区域地下水。</w:t>
                  </w:r>
                </w:p>
              </w:tc>
              <w:tc>
                <w:tcPr>
                  <w:tcW w:w="3210" w:type="dxa"/>
                  <w:vAlign w:val="center"/>
                </w:tcPr>
                <w:p w14:paraId="20B8B942">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kern w:val="2"/>
                      <w:sz w:val="21"/>
                      <w:szCs w:val="21"/>
                      <w:lang w:val="en-US" w:eastAsia="zh-CN" w:bidi="ar-SA"/>
                      <w14:textFill>
                        <w14:solidFill>
                          <w14:schemeClr w14:val="tx1"/>
                        </w14:solidFill>
                      </w14:textFill>
                    </w:rPr>
                    <w:t>本项目不位于岩溶发育区域，</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w:t>
                  </w:r>
                  <w:r>
                    <w:rPr>
                      <w:rFonts w:hint="eastAsia" w:eastAsia="宋体" w:cs="Times New Roman"/>
                      <w:color w:val="000000" w:themeColor="text1"/>
                      <w:kern w:val="2"/>
                      <w:sz w:val="21"/>
                      <w:szCs w:val="21"/>
                      <w:lang w:val="en-US" w:eastAsia="zh-CN" w:bidi="ar-SA"/>
                      <w14:textFill>
                        <w14:solidFill>
                          <w14:schemeClr w14:val="tx1"/>
                        </w14:solidFill>
                      </w14:textFill>
                    </w:rPr>
                    <w:t>设置有分区防渗措施。</w:t>
                  </w:r>
                </w:p>
              </w:tc>
              <w:tc>
                <w:tcPr>
                  <w:tcW w:w="641" w:type="dxa"/>
                  <w:vAlign w:val="center"/>
                </w:tcPr>
                <w:p w14:paraId="30DE04E6">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kern w:val="2"/>
                      <w:sz w:val="21"/>
                      <w:szCs w:val="21"/>
                      <w:lang w:val="en-US" w:eastAsia="zh-CN" w:bidi="ar-SA"/>
                      <w14:textFill>
                        <w14:solidFill>
                          <w14:schemeClr w14:val="tx1"/>
                        </w14:solidFill>
                      </w14:textFill>
                    </w:rPr>
                    <w:t>符合</w:t>
                  </w:r>
                </w:p>
              </w:tc>
            </w:tr>
            <w:tr w14:paraId="20588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vMerge w:val="continue"/>
                  <w:vAlign w:val="center"/>
                </w:tcPr>
                <w:p w14:paraId="451B1740">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3000" w:type="dxa"/>
                  <w:vAlign w:val="center"/>
                </w:tcPr>
                <w:p w14:paraId="367837FF">
                  <w:pPr>
                    <w:keepNext w:val="0"/>
                    <w:keepLines w:val="0"/>
                    <w:widowControl/>
                    <w:suppressLineNumbers w:val="0"/>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Fonts w:hint="eastAsia" w:ascii="宋体" w:hAnsi="宋体" w:eastAsia="宋体" w:cs="宋体"/>
                      <w:color w:val="000000" w:themeColor="text1"/>
                      <w:kern w:val="0"/>
                      <w:sz w:val="21"/>
                      <w:szCs w:val="21"/>
                      <w:lang w:val="en-US" w:eastAsia="zh-CN" w:bidi="ar"/>
                      <w14:textFill>
                        <w14:solidFill>
                          <w14:schemeClr w14:val="tx1"/>
                        </w14:solidFill>
                      </w14:textFill>
                    </w:rPr>
                    <w:t>规划布局中注意与村庄规划发展区保持必要的环境防护距离。居民集中区不宜布置重大危险源。</w:t>
                  </w:r>
                </w:p>
              </w:tc>
              <w:tc>
                <w:tcPr>
                  <w:tcW w:w="3210" w:type="dxa"/>
                  <w:vAlign w:val="center"/>
                </w:tcPr>
                <w:p w14:paraId="51DC2D3F">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kern w:val="2"/>
                      <w:sz w:val="21"/>
                      <w:szCs w:val="21"/>
                      <w:lang w:val="en-US" w:eastAsia="zh-CN" w:bidi="ar-SA"/>
                      <w14:textFill>
                        <w14:solidFill>
                          <w14:schemeClr w14:val="tx1"/>
                        </w14:solidFill>
                      </w14:textFill>
                    </w:rPr>
                    <w:t>本项目不构成重大危险源</w:t>
                  </w:r>
                </w:p>
              </w:tc>
              <w:tc>
                <w:tcPr>
                  <w:tcW w:w="641" w:type="dxa"/>
                  <w:vAlign w:val="center"/>
                </w:tcPr>
                <w:p w14:paraId="7549F905">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kern w:val="2"/>
                      <w:sz w:val="21"/>
                      <w:szCs w:val="21"/>
                      <w:lang w:val="en-US" w:eastAsia="zh-CN" w:bidi="ar-SA"/>
                      <w14:textFill>
                        <w14:solidFill>
                          <w14:schemeClr w14:val="tx1"/>
                        </w14:solidFill>
                      </w14:textFill>
                    </w:rPr>
                    <w:t>符合</w:t>
                  </w:r>
                </w:p>
              </w:tc>
            </w:tr>
            <w:tr w14:paraId="14F5E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vMerge w:val="continue"/>
                  <w:vAlign w:val="center"/>
                </w:tcPr>
                <w:p w14:paraId="3BE08C11">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3000" w:type="dxa"/>
                  <w:vAlign w:val="center"/>
                </w:tcPr>
                <w:p w14:paraId="282FEDC9">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制定突发环境事件应急预案，完善风险管理机制，加强风险控制防范。配备完善的风险防范措施。</w:t>
                  </w:r>
                </w:p>
              </w:tc>
              <w:tc>
                <w:tcPr>
                  <w:tcW w:w="3210" w:type="dxa"/>
                  <w:vAlign w:val="center"/>
                </w:tcPr>
                <w:p w14:paraId="5B6DF0D2">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本项目针对存在的环境风险采取了相应的风险防范措施，</w:t>
                  </w:r>
                </w:p>
                <w:p w14:paraId="6D0C3B28">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公司已于2024年完成应急预案修编并于2024年7月11日取得《企业事业单位突发环境事件应急预案备案表》（备案编号530426-2024-020-L）。</w:t>
                  </w:r>
                </w:p>
                <w:p w14:paraId="592D33C3">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本项目建成后及时修编突发环境事件应急预案，在当地生态环境主管部门进行备案后定期进行相关的培训和演练。</w:t>
                  </w:r>
                </w:p>
              </w:tc>
              <w:tc>
                <w:tcPr>
                  <w:tcW w:w="641" w:type="dxa"/>
                  <w:vAlign w:val="center"/>
                </w:tcPr>
                <w:p w14:paraId="7CC0B885">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kern w:val="2"/>
                      <w:sz w:val="21"/>
                      <w:szCs w:val="21"/>
                      <w:lang w:val="en-US" w:eastAsia="zh-CN" w:bidi="ar-SA"/>
                      <w14:textFill>
                        <w14:solidFill>
                          <w14:schemeClr w14:val="tx1"/>
                        </w14:solidFill>
                      </w14:textFill>
                    </w:rPr>
                    <w:t>符合</w:t>
                  </w:r>
                </w:p>
              </w:tc>
            </w:tr>
            <w:tr w14:paraId="2D419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vMerge w:val="continue"/>
                  <w:vAlign w:val="center"/>
                </w:tcPr>
                <w:p w14:paraId="4CF03AAD">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3000" w:type="dxa"/>
                  <w:vAlign w:val="center"/>
                </w:tcPr>
                <w:p w14:paraId="4ABADF20">
                  <w:pPr>
                    <w:keepNext w:val="0"/>
                    <w:keepLines w:val="0"/>
                    <w:widowControl/>
                    <w:suppressLineNumbers w:val="0"/>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4.</w:t>
                  </w:r>
                  <w:r>
                    <w:rPr>
                      <w:rFonts w:hint="eastAsia" w:ascii="宋体" w:hAnsi="宋体" w:eastAsia="宋体" w:cs="宋体"/>
                      <w:color w:val="000000" w:themeColor="text1"/>
                      <w:kern w:val="0"/>
                      <w:sz w:val="21"/>
                      <w:szCs w:val="21"/>
                      <w:lang w:val="en-US" w:eastAsia="zh-CN" w:bidi="ar"/>
                      <w14:textFill>
                        <w14:solidFill>
                          <w14:schemeClr w14:val="tx1"/>
                        </w14:solidFill>
                      </w14:textFill>
                    </w:rPr>
                    <w:t>重污染企业周边合理设置环境防护距离，保障居民生活环境的安全。</w:t>
                  </w:r>
                </w:p>
              </w:tc>
              <w:tc>
                <w:tcPr>
                  <w:tcW w:w="3210" w:type="dxa"/>
                  <w:vAlign w:val="center"/>
                </w:tcPr>
                <w:p w14:paraId="6F6529A1">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z w:val="21"/>
                      <w:szCs w:val="21"/>
                      <w:vertAlign w:val="baseline"/>
                      <w:lang w:val="en-US" w:eastAsia="zh-CN"/>
                      <w14:textFill>
                        <w14:solidFill>
                          <w14:schemeClr w14:val="tx1"/>
                        </w14:solidFill>
                      </w14:textFill>
                    </w:rPr>
                    <w:t>本项目不属于重污染企业</w:t>
                  </w:r>
                </w:p>
              </w:tc>
              <w:tc>
                <w:tcPr>
                  <w:tcW w:w="641" w:type="dxa"/>
                  <w:vAlign w:val="center"/>
                </w:tcPr>
                <w:p w14:paraId="46A082B3">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kern w:val="2"/>
                      <w:sz w:val="21"/>
                      <w:szCs w:val="21"/>
                      <w:lang w:val="en-US" w:eastAsia="zh-CN" w:bidi="ar-SA"/>
                      <w14:textFill>
                        <w14:solidFill>
                          <w14:schemeClr w14:val="tx1"/>
                        </w14:solidFill>
                      </w14:textFill>
                    </w:rPr>
                    <w:t>符合</w:t>
                  </w:r>
                </w:p>
              </w:tc>
            </w:tr>
            <w:tr w14:paraId="792B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vMerge w:val="restart"/>
                  <w:vAlign w:val="center"/>
                </w:tcPr>
                <w:p w14:paraId="72C78243">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eastAsia="宋体" w:cs="Times New Roman"/>
                      <w:b/>
                      <w:bCs/>
                      <w:color w:val="000000" w:themeColor="text1"/>
                      <w:sz w:val="21"/>
                      <w:szCs w:val="21"/>
                      <w:vertAlign w:val="baseline"/>
                      <w:lang w:val="en-US" w:eastAsia="zh-CN"/>
                      <w14:textFill>
                        <w14:solidFill>
                          <w14:schemeClr w14:val="tx1"/>
                        </w14:solidFill>
                      </w14:textFill>
                    </w:rPr>
                    <w:t>研和片区资源开发效率要求</w:t>
                  </w:r>
                </w:p>
              </w:tc>
              <w:tc>
                <w:tcPr>
                  <w:tcW w:w="3000" w:type="dxa"/>
                  <w:vAlign w:val="center"/>
                </w:tcPr>
                <w:p w14:paraId="70EBA930">
                  <w:pPr>
                    <w:keepNext w:val="0"/>
                    <w:keepLines w:val="0"/>
                    <w:widowControl/>
                    <w:suppressLineNumbers w:val="0"/>
                    <w:jc w:val="left"/>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1.2030</w:t>
                  </w:r>
                  <w:r>
                    <w:rPr>
                      <w:rFonts w:hint="eastAsia" w:ascii="宋体" w:hAnsi="宋体" w:eastAsia="宋体" w:cs="宋体"/>
                      <w:color w:val="000000" w:themeColor="text1"/>
                      <w:kern w:val="0"/>
                      <w:sz w:val="21"/>
                      <w:szCs w:val="21"/>
                      <w:lang w:val="en-US" w:eastAsia="zh-CN" w:bidi="ar"/>
                      <w14:textFill>
                        <w14:solidFill>
                          <w14:schemeClr w14:val="tx1"/>
                        </w14:solidFill>
                      </w14:textFill>
                    </w:rPr>
                    <w:t>年，玉溪市用水总量控制在</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12.81</w:t>
                  </w:r>
                  <w:r>
                    <w:rPr>
                      <w:rFonts w:hint="eastAsia" w:ascii="宋体" w:hAnsi="宋体" w:eastAsia="宋体" w:cs="宋体"/>
                      <w:color w:val="000000" w:themeColor="text1"/>
                      <w:kern w:val="0"/>
                      <w:sz w:val="21"/>
                      <w:szCs w:val="21"/>
                      <w:lang w:val="en-US" w:eastAsia="zh-CN" w:bidi="ar"/>
                      <w14:textFill>
                        <w14:solidFill>
                          <w14:schemeClr w14:val="tx1"/>
                        </w14:solidFill>
                      </w14:textFill>
                    </w:rPr>
                    <w:t>亿</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r>
                    <w:rPr>
                      <w:rFonts w:hint="eastAsia" w:ascii="宋体" w:hAnsi="宋体" w:eastAsia="宋体" w:cs="宋体"/>
                      <w:color w:val="000000" w:themeColor="text1"/>
                      <w:kern w:val="0"/>
                      <w:sz w:val="21"/>
                      <w:szCs w:val="21"/>
                      <w:lang w:val="en-US" w:eastAsia="zh-CN" w:bidi="ar"/>
                      <w14:textFill>
                        <w14:solidFill>
                          <w14:schemeClr w14:val="tx1"/>
                        </w14:solidFill>
                      </w14:textFill>
                    </w:rPr>
                    <w:t>以内，水资源利用效率和效益接近同期国内先进水平，万元</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GDP</w:t>
                  </w:r>
                  <w:r>
                    <w:rPr>
                      <w:rFonts w:hint="eastAsia" w:ascii="宋体" w:hAnsi="宋体" w:eastAsia="宋体" w:cs="宋体"/>
                      <w:color w:val="000000" w:themeColor="text1"/>
                      <w:kern w:val="0"/>
                      <w:sz w:val="21"/>
                      <w:szCs w:val="21"/>
                      <w:lang w:val="en-US" w:eastAsia="zh-CN" w:bidi="ar"/>
                      <w14:textFill>
                        <w14:solidFill>
                          <w14:schemeClr w14:val="tx1"/>
                        </w14:solidFill>
                      </w14:textFill>
                    </w:rPr>
                    <w:t>用水量降低到</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30m</w:t>
                  </w:r>
                  <w:r>
                    <w:rPr>
                      <w:rFonts w:hint="eastAsia"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r>
                    <w:rPr>
                      <w:rFonts w:hint="eastAsia" w:ascii="宋体" w:hAnsi="宋体" w:eastAsia="宋体" w:cs="宋体"/>
                      <w:color w:val="000000" w:themeColor="text1"/>
                      <w:kern w:val="0"/>
                      <w:sz w:val="21"/>
                      <w:szCs w:val="21"/>
                      <w:lang w:val="en-US" w:eastAsia="zh-CN" w:bidi="ar"/>
                      <w14:textFill>
                        <w14:solidFill>
                          <w14:schemeClr w14:val="tx1"/>
                        </w14:solidFill>
                      </w14:textFill>
                    </w:rPr>
                    <w:t>以下，主要河流生态需水量保证率达到</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90%</w:t>
                  </w:r>
                  <w:r>
                    <w:rPr>
                      <w:rFonts w:hint="eastAsia" w:ascii="宋体" w:hAnsi="宋体" w:eastAsia="宋体" w:cs="宋体"/>
                      <w:color w:val="000000" w:themeColor="text1"/>
                      <w:kern w:val="0"/>
                      <w:sz w:val="21"/>
                      <w:szCs w:val="21"/>
                      <w:lang w:val="en-US" w:eastAsia="zh-CN" w:bidi="ar"/>
                      <w14:textFill>
                        <w14:solidFill>
                          <w14:schemeClr w14:val="tx1"/>
                        </w14:solidFill>
                      </w14:textFill>
                    </w:rPr>
                    <w:t>以上。</w:t>
                  </w:r>
                </w:p>
              </w:tc>
              <w:tc>
                <w:tcPr>
                  <w:tcW w:w="3210" w:type="dxa"/>
                  <w:vAlign w:val="center"/>
                </w:tcPr>
                <w:p w14:paraId="2A335757">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z w:val="21"/>
                      <w:szCs w:val="21"/>
                      <w:vertAlign w:val="baseline"/>
                      <w:lang w:val="en-US" w:eastAsia="zh-CN"/>
                      <w14:textFill>
                        <w14:solidFill>
                          <w14:schemeClr w14:val="tx1"/>
                        </w14:solidFill>
                      </w14:textFill>
                    </w:rPr>
                    <w:t>本项目用水由市政供水管网供给，不涉及河道取水。</w:t>
                  </w:r>
                </w:p>
              </w:tc>
              <w:tc>
                <w:tcPr>
                  <w:tcW w:w="641" w:type="dxa"/>
                  <w:vAlign w:val="center"/>
                </w:tcPr>
                <w:p w14:paraId="4D9DA8C3">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kern w:val="2"/>
                      <w:sz w:val="21"/>
                      <w:szCs w:val="21"/>
                      <w:lang w:val="en-US" w:eastAsia="zh-CN" w:bidi="ar-SA"/>
                      <w14:textFill>
                        <w14:solidFill>
                          <w14:schemeClr w14:val="tx1"/>
                        </w14:solidFill>
                      </w14:textFill>
                    </w:rPr>
                    <w:t>符合</w:t>
                  </w:r>
                </w:p>
              </w:tc>
            </w:tr>
            <w:tr w14:paraId="4682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vMerge w:val="continue"/>
                  <w:vAlign w:val="center"/>
                </w:tcPr>
                <w:p w14:paraId="556DBF45">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3000" w:type="dxa"/>
                  <w:vAlign w:val="center"/>
                </w:tcPr>
                <w:p w14:paraId="3F2C5DB7">
                  <w:pPr>
                    <w:keepNext w:val="0"/>
                    <w:keepLines w:val="0"/>
                    <w:widowControl/>
                    <w:suppressLineNumbers w:val="0"/>
                    <w:jc w:val="left"/>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Fonts w:hint="eastAsia" w:ascii="宋体" w:hAnsi="宋体" w:eastAsia="宋体" w:cs="宋体"/>
                      <w:color w:val="000000" w:themeColor="text1"/>
                      <w:kern w:val="0"/>
                      <w:sz w:val="21"/>
                      <w:szCs w:val="21"/>
                      <w:lang w:val="en-US" w:eastAsia="zh-CN" w:bidi="ar"/>
                      <w14:textFill>
                        <w14:solidFill>
                          <w14:schemeClr w14:val="tx1"/>
                        </w14:solidFill>
                      </w14:textFill>
                    </w:rPr>
                    <w:t>玉溪市高污染燃料禁燃区内：禁止销售、燃用高污染燃料。禁止新建、扩建使用高污染燃料的锅炉、炉窑、炉灶等燃烧设施。禁燃区已建成各类高污染燃料的锅炉、炉窑、炉灶等燃烧设施，应当按照国家、省、州要求淘汰或改用清洁能源。</w:t>
                  </w:r>
                </w:p>
              </w:tc>
              <w:tc>
                <w:tcPr>
                  <w:tcW w:w="3210" w:type="dxa"/>
                  <w:vAlign w:val="center"/>
                </w:tcPr>
                <w:p w14:paraId="4B859ECF">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z w:val="21"/>
                      <w:szCs w:val="21"/>
                      <w:vertAlign w:val="baseline"/>
                      <w:lang w:val="en-US" w:eastAsia="zh-CN"/>
                      <w14:textFill>
                        <w14:solidFill>
                          <w14:schemeClr w14:val="tx1"/>
                        </w14:solidFill>
                      </w14:textFill>
                    </w:rPr>
                    <w:t>本项目位于云南红塔工业园区研和片区双小地块，不涉及玉溪市高污染燃料禁燃区。</w:t>
                  </w:r>
                </w:p>
              </w:tc>
              <w:tc>
                <w:tcPr>
                  <w:tcW w:w="641" w:type="dxa"/>
                  <w:vAlign w:val="center"/>
                </w:tcPr>
                <w:p w14:paraId="36E3E6DE">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符合</w:t>
                  </w:r>
                </w:p>
              </w:tc>
            </w:tr>
            <w:tr w14:paraId="1A5F5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vMerge w:val="continue"/>
                  <w:vAlign w:val="center"/>
                </w:tcPr>
                <w:p w14:paraId="72362888">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3000" w:type="dxa"/>
                  <w:vAlign w:val="center"/>
                </w:tcPr>
                <w:p w14:paraId="6BE463C4">
                  <w:pPr>
                    <w:keepNext w:val="0"/>
                    <w:keepLines w:val="0"/>
                    <w:widowControl/>
                    <w:suppressLineNumbers w:val="0"/>
                    <w:jc w:val="left"/>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w:t>
                  </w:r>
                  <w:r>
                    <w:rPr>
                      <w:rFonts w:hint="eastAsia" w:ascii="宋体" w:hAnsi="宋体" w:eastAsia="宋体" w:cs="宋体"/>
                      <w:color w:val="000000" w:themeColor="text1"/>
                      <w:kern w:val="0"/>
                      <w:sz w:val="21"/>
                      <w:szCs w:val="21"/>
                      <w:lang w:val="en-US" w:eastAsia="zh-CN" w:bidi="ar"/>
                      <w14:textFill>
                        <w14:solidFill>
                          <w14:schemeClr w14:val="tx1"/>
                        </w14:solidFill>
                      </w14:textFill>
                    </w:rPr>
                    <w:t>入驻企业工业用水鼓励优先使用再生水，禁止取用地下水作为生产用水。</w:t>
                  </w:r>
                </w:p>
              </w:tc>
              <w:tc>
                <w:tcPr>
                  <w:tcW w:w="3210" w:type="dxa"/>
                  <w:vAlign w:val="center"/>
                </w:tcPr>
                <w:p w14:paraId="2797E71B">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z w:val="21"/>
                      <w:szCs w:val="21"/>
                      <w:vertAlign w:val="baseline"/>
                      <w:lang w:val="en-US" w:eastAsia="zh-CN"/>
                      <w14:textFill>
                        <w14:solidFill>
                          <w14:schemeClr w14:val="tx1"/>
                        </w14:solidFill>
                      </w14:textFill>
                    </w:rPr>
                    <w:t>本项目用水由市政供水管网供给，不涉及取用地下水。</w:t>
                  </w:r>
                </w:p>
              </w:tc>
              <w:tc>
                <w:tcPr>
                  <w:tcW w:w="641" w:type="dxa"/>
                  <w:vAlign w:val="center"/>
                </w:tcPr>
                <w:p w14:paraId="56FFA106">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符合</w:t>
                  </w:r>
                </w:p>
              </w:tc>
            </w:tr>
            <w:tr w14:paraId="32034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vMerge w:val="continue"/>
                  <w:vAlign w:val="center"/>
                </w:tcPr>
                <w:p w14:paraId="12A5D504">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3000" w:type="dxa"/>
                  <w:vAlign w:val="center"/>
                </w:tcPr>
                <w:p w14:paraId="1B22E96F">
                  <w:pPr>
                    <w:keepNext w:val="0"/>
                    <w:keepLines w:val="0"/>
                    <w:widowControl/>
                    <w:suppressLineNumbers w:val="0"/>
                    <w:jc w:val="left"/>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4.</w:t>
                  </w:r>
                  <w:r>
                    <w:rPr>
                      <w:rFonts w:hint="eastAsia" w:ascii="宋体" w:hAnsi="宋体" w:eastAsia="宋体" w:cs="宋体"/>
                      <w:color w:val="000000" w:themeColor="text1"/>
                      <w:kern w:val="0"/>
                      <w:sz w:val="21"/>
                      <w:szCs w:val="21"/>
                      <w:lang w:val="en-US" w:eastAsia="zh-CN" w:bidi="ar"/>
                      <w14:textFill>
                        <w14:solidFill>
                          <w14:schemeClr w14:val="tx1"/>
                        </w14:solidFill>
                      </w14:textFill>
                    </w:rPr>
                    <w:t>入驻</w:t>
                  </w:r>
                  <w:r>
                    <w:rPr>
                      <w:rFonts w:hint="eastAsia" w:cs="Times New Roman"/>
                      <w:color w:val="000000" w:themeColor="text1"/>
                      <w:kern w:val="0"/>
                      <w:sz w:val="21"/>
                      <w:szCs w:val="21"/>
                      <w:lang w:val="en-US" w:eastAsia="zh-CN" w:bidi="ar"/>
                      <w14:textFill>
                        <w14:solidFill>
                          <w14:schemeClr w14:val="tx1"/>
                        </w14:solidFill>
                      </w14:textFill>
                    </w:rPr>
                    <w:t>“</w:t>
                  </w:r>
                  <w:r>
                    <w:rPr>
                      <w:rFonts w:hint="eastAsia" w:ascii="宋体" w:hAnsi="宋体" w:eastAsia="宋体" w:cs="宋体"/>
                      <w:color w:val="000000" w:themeColor="text1"/>
                      <w:kern w:val="0"/>
                      <w:sz w:val="21"/>
                      <w:szCs w:val="21"/>
                      <w:lang w:val="en-US" w:eastAsia="zh-CN" w:bidi="ar"/>
                      <w14:textFill>
                        <w14:solidFill>
                          <w14:schemeClr w14:val="tx1"/>
                        </w14:solidFill>
                      </w14:textFill>
                    </w:rPr>
                    <w:t>两高</w:t>
                  </w:r>
                  <w:r>
                    <w:rPr>
                      <w:rFonts w:hint="eastAsia" w:cs="Times New Roman"/>
                      <w:color w:val="000000" w:themeColor="text1"/>
                      <w:kern w:val="0"/>
                      <w:sz w:val="21"/>
                      <w:szCs w:val="21"/>
                      <w:lang w:val="en-US" w:eastAsia="zh-CN" w:bidi="ar"/>
                      <w14:textFill>
                        <w14:solidFill>
                          <w14:schemeClr w14:val="tx1"/>
                        </w14:solidFill>
                      </w14:textFill>
                    </w:rPr>
                    <w:t>”</w:t>
                  </w:r>
                  <w:r>
                    <w:rPr>
                      <w:rFonts w:hint="eastAsia" w:ascii="宋体" w:hAnsi="宋体" w:eastAsia="宋体" w:cs="宋体"/>
                      <w:color w:val="000000" w:themeColor="text1"/>
                      <w:kern w:val="0"/>
                      <w:sz w:val="21"/>
                      <w:szCs w:val="21"/>
                      <w:lang w:val="en-US" w:eastAsia="zh-CN" w:bidi="ar"/>
                      <w14:textFill>
                        <w14:solidFill>
                          <w14:schemeClr w14:val="tx1"/>
                        </w14:solidFill>
                      </w14:textFill>
                    </w:rPr>
                    <w:t>项目清洁生产水平应达到国内先进水平，能耗水平应达到行业标杆水平。</w:t>
                  </w:r>
                </w:p>
              </w:tc>
              <w:tc>
                <w:tcPr>
                  <w:tcW w:w="3210" w:type="dxa"/>
                  <w:vAlign w:val="center"/>
                </w:tcPr>
                <w:p w14:paraId="178A001A">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z w:val="21"/>
                      <w:szCs w:val="21"/>
                      <w:vertAlign w:val="baseline"/>
                      <w:lang w:val="en-US" w:eastAsia="zh-CN"/>
                      <w14:textFill>
                        <w14:solidFill>
                          <w14:schemeClr w14:val="tx1"/>
                        </w14:solidFill>
                      </w14:textFill>
                    </w:rPr>
                    <w:t>本项目不属于两高项目</w:t>
                  </w:r>
                </w:p>
              </w:tc>
              <w:tc>
                <w:tcPr>
                  <w:tcW w:w="641" w:type="dxa"/>
                  <w:vAlign w:val="center"/>
                </w:tcPr>
                <w:p w14:paraId="0D5F38EC">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符合</w:t>
                  </w:r>
                </w:p>
              </w:tc>
            </w:tr>
          </w:tbl>
          <w:p w14:paraId="04C3E478">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表1</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 项目与《云南红塔产业园区</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总体规划修编（2021-2035年）</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环境影响报告书》审查意见对照分析</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04"/>
              <w:gridCol w:w="2967"/>
              <w:gridCol w:w="555"/>
            </w:tblGrid>
            <w:tr w14:paraId="7BB3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04" w:type="dxa"/>
                  <w:noWrap w:val="0"/>
                  <w:vAlign w:val="center"/>
                </w:tcPr>
                <w:p w14:paraId="17FFA3C2">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t>规划环评结论及审查意见</w:t>
                  </w:r>
                </w:p>
              </w:tc>
              <w:tc>
                <w:tcPr>
                  <w:tcW w:w="2967" w:type="dxa"/>
                  <w:noWrap w:val="0"/>
                  <w:vAlign w:val="center"/>
                </w:tcPr>
                <w:p w14:paraId="5A28C345">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t>本项目情况</w:t>
                  </w:r>
                </w:p>
              </w:tc>
              <w:tc>
                <w:tcPr>
                  <w:tcW w:w="555" w:type="dxa"/>
                  <w:noWrap w:val="0"/>
                  <w:vAlign w:val="center"/>
                </w:tcPr>
                <w:p w14:paraId="0A95D768">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t>符合情况</w:t>
                  </w:r>
                </w:p>
              </w:tc>
            </w:tr>
            <w:tr w14:paraId="14257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04" w:type="dxa"/>
                  <w:noWrap w:val="0"/>
                  <w:vAlign w:val="center"/>
                </w:tcPr>
                <w:p w14:paraId="69B78F71">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加强《规划》引导，坚持绿色低碳高质量发展理念，</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结合生态环境分区管控要求，区域统筹保护好生态空间</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。落实国</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家、区域发展战略，坚持生态优先、集约高效，以生态环境质量改善为核心，做好与国土空间规划和</w:t>
                  </w:r>
                  <w:r>
                    <w:rPr>
                      <w:rFonts w:hint="eastAsia" w:eastAsia="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三线一单</w:t>
                  </w:r>
                  <w:r>
                    <w:rPr>
                      <w:rFonts w:hint="eastAsia" w:eastAsia="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（生态保护红线、环境质量底线、资源利用上线、生态环境准入清单）生态环境分区管控体系的协调衔接，产业园区应与红塔区、峨山县</w:t>
                  </w:r>
                  <w:r>
                    <w:rPr>
                      <w:rFonts w:hint="eastAsia" w:eastAsia="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三区三线</w:t>
                  </w:r>
                  <w:r>
                    <w:rPr>
                      <w:rFonts w:hint="eastAsia" w:eastAsia="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充分衔接，符合</w:t>
                  </w:r>
                  <w:r>
                    <w:rPr>
                      <w:rFonts w:hint="eastAsia" w:eastAsia="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三区三线</w:t>
                  </w:r>
                  <w:r>
                    <w:rPr>
                      <w:rFonts w:hint="eastAsia" w:eastAsia="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规划管控要求。按国家生态工业示范园区标准推进《规划》实施，进一步优化《规划》的布局和发展规模</w:t>
                  </w:r>
                </w:p>
              </w:tc>
              <w:tc>
                <w:tcPr>
                  <w:tcW w:w="2967" w:type="dxa"/>
                  <w:noWrap w:val="0"/>
                  <w:vAlign w:val="center"/>
                </w:tcPr>
                <w:p w14:paraId="32DC97C8">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本项目符合国家产业政策要求；符合国土空间管控和生态环境专项规划要求；符合《玉溪市生态环境局</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关于印发玉溪市生态环境分区管控动态更新调整方案（2023 年）的通知</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》（玉市环〔2024〕40号）要求。</w:t>
                  </w:r>
                </w:p>
              </w:tc>
              <w:tc>
                <w:tcPr>
                  <w:tcW w:w="555" w:type="dxa"/>
                  <w:noWrap w:val="0"/>
                  <w:vAlign w:val="center"/>
                </w:tcPr>
                <w:p w14:paraId="24B467E8">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符合</w:t>
                  </w:r>
                </w:p>
              </w:tc>
            </w:tr>
            <w:tr w14:paraId="2D0B8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04" w:type="dxa"/>
                  <w:noWrap w:val="0"/>
                  <w:vAlign w:val="center"/>
                </w:tcPr>
                <w:p w14:paraId="58652D19">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进一步优化规划区空间布局，加强空间管控，严格对环境敏感区的保护，严禁不符合管控要求的各类开发和建设活动。规划区严格限制《环境保护综合名录》中</w:t>
                  </w:r>
                  <w:r>
                    <w:rPr>
                      <w:rFonts w:hint="eastAsia" w:eastAsia="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高污染、高环境风险产品名录</w:t>
                  </w:r>
                  <w:r>
                    <w:rPr>
                      <w:rFonts w:hint="eastAsia" w:eastAsia="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的企业入驻，其中大营街地块禁止上述企业入驻、禁止引入高污染燃料企业，禁止新建、扩建三类工业用地布局的项目。青龙山地块应优化布局，企业与红塔山自然保护区保持一定缓冲距离</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2967" w:type="dxa"/>
                  <w:noWrap w:val="0"/>
                  <w:vAlign w:val="center"/>
                </w:tcPr>
                <w:p w14:paraId="54BA3B67">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本项目不属于</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高污染、高环境</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项目。</w:t>
                  </w:r>
                </w:p>
              </w:tc>
              <w:tc>
                <w:tcPr>
                  <w:tcW w:w="555" w:type="dxa"/>
                  <w:noWrap w:val="0"/>
                  <w:vAlign w:val="center"/>
                </w:tcPr>
                <w:p w14:paraId="67B25DFE">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符合</w:t>
                  </w:r>
                </w:p>
              </w:tc>
            </w:tr>
            <w:tr w14:paraId="10CC7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04" w:type="dxa"/>
                  <w:noWrap w:val="0"/>
                  <w:vAlign w:val="center"/>
                </w:tcPr>
                <w:p w14:paraId="3A9EA6A1">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研和片区禁止布局有色金属冶炼行业。研和片区地块二和地块四、观音山地块位于岩溶含水层分布区，含水层天然防污性能弱，地下水环境较脆弱，在岩溶强发育、天窗、漏斗等分布区域，禁止布局危险化学品仓储设施和涉及酸洗、电镀等表面处理的工业项目等对地下水存在较大环境风险的设施。</w:t>
                  </w:r>
                </w:p>
              </w:tc>
              <w:tc>
                <w:tcPr>
                  <w:tcW w:w="2967" w:type="dxa"/>
                  <w:noWrap w:val="0"/>
                  <w:vAlign w:val="center"/>
                </w:tcPr>
                <w:p w14:paraId="6C7901BB">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本项目不属于</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有色金属冶炼行业</w:t>
                  </w:r>
                  <w:r>
                    <w:rPr>
                      <w:rFonts w:hint="eastAsia" w:eastAsia="宋体" w:cs="Times New Roman"/>
                      <w:color w:val="000000" w:themeColor="text1"/>
                      <w:kern w:val="2"/>
                      <w:sz w:val="21"/>
                      <w:szCs w:val="21"/>
                      <w:lang w:val="en-US" w:eastAsia="zh-CN" w:bidi="ar-SA"/>
                      <w14:textFill>
                        <w14:solidFill>
                          <w14:schemeClr w14:val="tx1"/>
                        </w14:solidFill>
                      </w14:textFill>
                    </w:rPr>
                    <w:t>。</w:t>
                  </w:r>
                </w:p>
                <w:p w14:paraId="4AA17794">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kern w:val="2"/>
                      <w:sz w:val="21"/>
                      <w:szCs w:val="21"/>
                      <w:lang w:val="en-US" w:eastAsia="zh-CN" w:bidi="ar-SA"/>
                      <w14:textFill>
                        <w14:solidFill>
                          <w14:schemeClr w14:val="tx1"/>
                        </w14:solidFill>
                      </w14:textFill>
                    </w:rPr>
                    <w:t>本项目位于研和片区双小地块，不涉及</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岩溶含水层分布区</w:t>
                  </w:r>
                  <w:r>
                    <w:rPr>
                      <w:rFonts w:hint="eastAsia" w:eastAsia="宋体" w:cs="Times New Roman"/>
                      <w:color w:val="000000" w:themeColor="text1"/>
                      <w:kern w:val="2"/>
                      <w:sz w:val="21"/>
                      <w:szCs w:val="21"/>
                      <w:lang w:val="en-US" w:eastAsia="zh-CN" w:bidi="ar-SA"/>
                      <w14:textFill>
                        <w14:solidFill>
                          <w14:schemeClr w14:val="tx1"/>
                        </w14:solidFill>
                      </w14:textFill>
                    </w:rPr>
                    <w:t>。</w:t>
                  </w:r>
                </w:p>
              </w:tc>
              <w:tc>
                <w:tcPr>
                  <w:tcW w:w="555" w:type="dxa"/>
                  <w:noWrap w:val="0"/>
                  <w:vAlign w:val="center"/>
                </w:tcPr>
                <w:p w14:paraId="2BA7B4E7">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符合</w:t>
                  </w:r>
                </w:p>
              </w:tc>
            </w:tr>
            <w:tr w14:paraId="37B2F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04" w:type="dxa"/>
                  <w:noWrap w:val="0"/>
                  <w:vAlign w:val="center"/>
                </w:tcPr>
                <w:p w14:paraId="30CB8A5B">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严守环境质量底线，严格环境管控。根据</w:t>
                  </w:r>
                  <w:r>
                    <w:rPr>
                      <w:rFonts w:hint="eastAsia" w:eastAsia="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三线一单</w:t>
                  </w:r>
                  <w:r>
                    <w:rPr>
                      <w:rFonts w:hint="eastAsia" w:eastAsia="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国家和云南省有关大气污染防治行动的相关要求，制定大气污染物总量管控要求，合理确定产业规模、布局、建设时序。采用先进的生产工艺路线、装备、清洁能源与原料，从源头上控制污染物的产生。入驻企业要采用先进高效的污染防治措施，重点做好外排废气中颗粒物削减、脱硫脱硝，挥发性有机物、异味等特征污染物的减排工作，大气污染物排放水平应达到国内先进水平，必要时对规划区开发强度及布局产业规模进行控制，重点行业建设项目应实行主要污染物区域削减。</w:t>
                  </w:r>
                </w:p>
                <w:p w14:paraId="0FA109EA">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高度重视规划区废水收集、处理、回用、排放的环境管理。规划区实施</w:t>
                  </w:r>
                  <w:r>
                    <w:rPr>
                      <w:rFonts w:hint="eastAsia" w:eastAsia="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雨污分流</w:t>
                  </w:r>
                  <w:r>
                    <w:rPr>
                      <w:rFonts w:hint="eastAsia" w:eastAsia="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因地制宜建设初期雨水收集处理系统，配合红塔区等相关政府部门，加强玉溪大河等河道的水环境综合整治与生态修复工程。加快推进污水处理厂、再生水处理设施及配套管网建设和改造。区域水环境质量未达到水质目标前，建设项目实行流域内主要污染物倍量削减，除城镇污水处理厂入河排污口外，严格控制新设、改设或者扩大排污口。</w:t>
                  </w:r>
                </w:p>
              </w:tc>
              <w:tc>
                <w:tcPr>
                  <w:tcW w:w="2967" w:type="dxa"/>
                  <w:noWrap w:val="0"/>
                  <w:vAlign w:val="center"/>
                </w:tcPr>
                <w:p w14:paraId="3065D486">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w:t>
                  </w:r>
                  <w:r>
                    <w:rPr>
                      <w:rFonts w:hint="eastAsia" w:eastAsia="宋体" w:cs="Times New Roman"/>
                      <w:color w:val="000000" w:themeColor="text1"/>
                      <w:sz w:val="21"/>
                      <w:szCs w:val="21"/>
                      <w:lang w:val="en-US" w:eastAsia="zh-CN"/>
                      <w14:textFill>
                        <w14:solidFill>
                          <w14:schemeClr w14:val="tx1"/>
                        </w14:solidFill>
                      </w14:textFill>
                    </w:rPr>
                    <w:t>云南红塔产业园区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研和片区双小地块，</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根据《云南红塔产业园区总体规划修编（2021-2035年）环境影响报告书》可知，整个工业园区未占用生态保护红线，本项目位于园区范围内，因此本项目用地不涉及生态保护红</w:t>
                  </w:r>
                  <w:r>
                    <w:rPr>
                      <w:rFonts w:hint="eastAsia" w:eastAsia="宋体" w:cs="Times New Roman"/>
                      <w:color w:val="000000" w:themeColor="text1"/>
                      <w:sz w:val="21"/>
                      <w:szCs w:val="21"/>
                      <w:lang w:val="en-US" w:eastAsia="zh-CN"/>
                      <w14:textFill>
                        <w14:solidFill>
                          <w14:schemeClr w14:val="tx1"/>
                        </w14:solidFill>
                      </w14:textFill>
                    </w:rPr>
                    <w:t>线。</w:t>
                  </w:r>
                </w:p>
                <w:p w14:paraId="6C04FEBF">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锅炉废气经收集后进入“低氮燃烧+旋风除尘+布袋除尘”处理达标后</w:t>
                  </w:r>
                  <w:r>
                    <w:rPr>
                      <w:rFonts w:hint="eastAsia" w:eastAsia="宋体" w:cs="Times New Roman"/>
                      <w:color w:val="000000" w:themeColor="text1"/>
                      <w:sz w:val="21"/>
                      <w:szCs w:val="21"/>
                      <w:lang w:val="en-US" w:eastAsia="zh-CN"/>
                      <w14:textFill>
                        <w14:solidFill>
                          <w14:schemeClr w14:val="tx1"/>
                        </w14:solidFill>
                      </w14:textFill>
                    </w:rPr>
                    <w:t>通过依托</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现有</w:t>
                  </w:r>
                  <w:r>
                    <w:rPr>
                      <w:rFonts w:hint="eastAsia" w:eastAsia="宋体" w:cs="Times New Roman"/>
                      <w:color w:val="000000" w:themeColor="text1"/>
                      <w:sz w:val="21"/>
                      <w:szCs w:val="21"/>
                      <w:lang w:val="en-US" w:eastAsia="zh-CN"/>
                      <w14:textFill>
                        <w14:solidFill>
                          <w14:schemeClr w14:val="tx1"/>
                        </w14:solidFill>
                      </w14:textFill>
                    </w:rPr>
                    <w:t>30m</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高排气筒DA001排放。有机废气经收集后进入1套“两级活性炭吸附装置”处理，处理后通过15m高排气筒DA002排放。</w:t>
                  </w:r>
                </w:p>
                <w:p w14:paraId="6606F47D">
                  <w:pP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生活污水经隔油池、化粪池预处理后进入自建生活污水处理设施处理达《城市污水再生利用 城市杂用水水质》（GB/T18920-2020）中绿化标准后用于厂区绿化。</w:t>
                  </w:r>
                </w:p>
                <w:p w14:paraId="2447368F">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本项目软水制备废水及生物质锅炉排污水</w:t>
                  </w:r>
                  <w:r>
                    <w:rPr>
                      <w:rFonts w:hint="eastAsia" w:eastAsia="宋体" w:cs="Times New Roman"/>
                      <w:color w:val="000000" w:themeColor="text1"/>
                      <w:kern w:val="2"/>
                      <w:sz w:val="21"/>
                      <w:szCs w:val="21"/>
                      <w:lang w:val="en-US" w:eastAsia="zh-CN" w:bidi="ar-SA"/>
                      <w14:textFill>
                        <w14:solidFill>
                          <w14:schemeClr w14:val="tx1"/>
                        </w14:solidFill>
                      </w14:textFill>
                    </w:rPr>
                    <w:t>经收集处理后回用于厂区洒水降尘</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，不外排。发泡工段蒸汽冷凝水用于生物质锅炉损耗补充水，不外排。</w:t>
                  </w:r>
                  <w:r>
                    <w:rPr>
                      <w:rFonts w:hint="eastAsia" w:eastAsia="宋体" w:cs="Times New Roman"/>
                      <w:color w:val="000000" w:themeColor="text1"/>
                      <w:kern w:val="2"/>
                      <w:sz w:val="21"/>
                      <w:szCs w:val="21"/>
                      <w:lang w:val="en-US" w:eastAsia="zh-CN" w:bidi="ar-SA"/>
                      <w14:textFill>
                        <w14:solidFill>
                          <w14:schemeClr w14:val="tx1"/>
                        </w14:solidFill>
                      </w14:textFill>
                    </w:rPr>
                    <w:t>流化干燥、烘干环节蒸汽自然蒸发</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eastAsia="宋体" w:cs="Times New Roman"/>
                      <w:color w:val="000000" w:themeColor="text1"/>
                      <w:kern w:val="2"/>
                      <w:sz w:val="21"/>
                      <w:szCs w:val="21"/>
                      <w:lang w:val="en-US" w:eastAsia="zh-CN" w:bidi="ar-SA"/>
                      <w14:textFill>
                        <w14:solidFill>
                          <w14:schemeClr w14:val="tx1"/>
                        </w14:solidFill>
                      </w14:textFill>
                    </w:rPr>
                    <w:t>压模环节蒸汽加热成型后多余蒸汽排出，自然蒸发</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555" w:type="dxa"/>
                  <w:noWrap w:val="0"/>
                  <w:vAlign w:val="center"/>
                </w:tcPr>
                <w:p w14:paraId="5A608C14">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符合</w:t>
                  </w:r>
                </w:p>
              </w:tc>
            </w:tr>
            <w:tr w14:paraId="79DA5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04" w:type="dxa"/>
                  <w:noWrap w:val="0"/>
                  <w:vAlign w:val="center"/>
                </w:tcPr>
                <w:p w14:paraId="47CD482E">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项目建设应充分考虑对地下水环境的影响，优化布局，严格水文地质、工程地质勘察，合理规避地下暗河及落水洞发育区，做好地下水污染防治和监控，按相关规范要求采取针对性防渗措施。严格执行《地下水管理条例》中相关规定，在泉域保护范围以及岩溶强发育、存在较多落水洞和岩溶漏斗的区域内，不得新建、改建、扩建可能造成地下水污染的建设项目，确保区域地下水安</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全。</w:t>
                  </w:r>
                </w:p>
              </w:tc>
              <w:tc>
                <w:tcPr>
                  <w:tcW w:w="2967" w:type="dxa"/>
                  <w:noWrap w:val="0"/>
                  <w:vAlign w:val="center"/>
                </w:tcPr>
                <w:p w14:paraId="583A47CE">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项目</w:t>
                  </w:r>
                  <w:r>
                    <w:rPr>
                      <w:rFonts w:hint="eastAsia" w:eastAsia="宋体" w:cs="Times New Roman"/>
                      <w:color w:val="000000" w:themeColor="text1"/>
                      <w:kern w:val="2"/>
                      <w:sz w:val="21"/>
                      <w:szCs w:val="21"/>
                      <w:lang w:val="en-US" w:eastAsia="zh-CN" w:bidi="ar-SA"/>
                      <w14:textFill>
                        <w14:solidFill>
                          <w14:schemeClr w14:val="tx1"/>
                        </w14:solidFill>
                      </w14:textFill>
                    </w:rPr>
                    <w:t>生活污水、生产废水不外排。</w:t>
                  </w:r>
                </w:p>
                <w:p w14:paraId="79BD22BD">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kern w:val="2"/>
                      <w:sz w:val="21"/>
                      <w:szCs w:val="21"/>
                      <w:lang w:val="en-US" w:eastAsia="zh-CN" w:bidi="ar-SA"/>
                      <w14:textFill>
                        <w14:solidFill>
                          <w14:schemeClr w14:val="tx1"/>
                        </w14:solidFill>
                      </w14:textFill>
                    </w:rPr>
                    <w:t>项目</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对各贮存区按相关规范要求采取了分区防渗措施，地下水环境风险可控。</w:t>
                  </w:r>
                </w:p>
                <w:p w14:paraId="5C722758">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555" w:type="dxa"/>
                  <w:noWrap w:val="0"/>
                  <w:vAlign w:val="center"/>
                </w:tcPr>
                <w:p w14:paraId="768CE7A9">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符合</w:t>
                  </w:r>
                </w:p>
              </w:tc>
            </w:tr>
            <w:tr w14:paraId="4B7F2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04" w:type="dxa"/>
                  <w:noWrap w:val="0"/>
                  <w:vAlign w:val="center"/>
                </w:tcPr>
                <w:p w14:paraId="77E6F49D">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将土壤污染防治工作纳入规划区规划及相关环境保护规划，采取有效预防措施，防止、减少土壤污染。重视污染物通过大气—土壤一地下水等环境介质跨相输送、迁移和累积过程及影响，确保满足土壤环境管控要求。</w:t>
                  </w:r>
                </w:p>
              </w:tc>
              <w:tc>
                <w:tcPr>
                  <w:tcW w:w="2967" w:type="dxa"/>
                  <w:noWrap w:val="0"/>
                  <w:vAlign w:val="center"/>
                </w:tcPr>
                <w:p w14:paraId="00A05109">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本项目按相关规范要求采取了分区防渗措施，大气污染物产生量较少，经处理后达标排放，土壤环境影响可接受，满足土壤环境管控要求。</w:t>
                  </w:r>
                </w:p>
              </w:tc>
              <w:tc>
                <w:tcPr>
                  <w:tcW w:w="555" w:type="dxa"/>
                  <w:noWrap w:val="0"/>
                  <w:vAlign w:val="center"/>
                </w:tcPr>
                <w:p w14:paraId="36152F61">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符合</w:t>
                  </w:r>
                </w:p>
              </w:tc>
            </w:tr>
            <w:tr w14:paraId="2B633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04" w:type="dxa"/>
                  <w:noWrap w:val="0"/>
                  <w:vAlign w:val="center"/>
                </w:tcPr>
                <w:p w14:paraId="3CC55E67">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危险废物须按规定严格管控，积极推进工业固体废物综合利用，确实需要暂存或安全填埋处置的，暂存（处置）场的选址、建设必须按照相关要求严格落实污染防治措施。根据国家和地方碳达峰行动方案和节能减排工作要求，积极开展园区减污降碳协同管控，推广园区能源梯级利用等节能低碳技术，实现减污降碳协同增效目标。</w:t>
                  </w:r>
                </w:p>
              </w:tc>
              <w:tc>
                <w:tcPr>
                  <w:tcW w:w="2967" w:type="dxa"/>
                  <w:noWrap w:val="0"/>
                  <w:vAlign w:val="center"/>
                </w:tcPr>
                <w:p w14:paraId="13377EFB">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本项目产生危险废物暂存于</w:t>
                  </w:r>
                  <w:r>
                    <w:rPr>
                      <w:rFonts w:hint="eastAsia" w:eastAsia="宋体" w:cs="Times New Roman"/>
                      <w:color w:val="000000" w:themeColor="text1"/>
                      <w:kern w:val="2"/>
                      <w:sz w:val="21"/>
                      <w:szCs w:val="21"/>
                      <w:lang w:val="en-US" w:eastAsia="zh-CN" w:bidi="ar-SA"/>
                      <w14:textFill>
                        <w14:solidFill>
                          <w14:schemeClr w14:val="tx1"/>
                        </w14:solidFill>
                      </w14:textFill>
                    </w:rPr>
                    <w:t>危废贮存库</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，本环评要求</w:t>
                  </w:r>
                  <w:r>
                    <w:rPr>
                      <w:rFonts w:hint="eastAsia" w:eastAsia="宋体" w:cs="Times New Roman"/>
                      <w:color w:val="000000" w:themeColor="text1"/>
                      <w:kern w:val="2"/>
                      <w:sz w:val="21"/>
                      <w:szCs w:val="21"/>
                      <w:lang w:val="en-US" w:eastAsia="zh-CN" w:bidi="ar-SA"/>
                      <w14:textFill>
                        <w14:solidFill>
                          <w14:schemeClr w14:val="tx1"/>
                        </w14:solidFill>
                      </w14:textFill>
                    </w:rPr>
                    <w:t>危废贮存库</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按照《危险废物贮存污染控制标准》（</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GB18597-2023</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）中的相关要求建设，并严格落实污染防治措施，一般工业固体废物的储存严格按照《一般工业固体废物贮存和填埋污染控制标准》（</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GB18599-2020</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 的要求严格落实污染防治措施。</w:t>
                  </w:r>
                </w:p>
              </w:tc>
              <w:tc>
                <w:tcPr>
                  <w:tcW w:w="555" w:type="dxa"/>
                  <w:noWrap w:val="0"/>
                  <w:vAlign w:val="center"/>
                </w:tcPr>
                <w:p w14:paraId="607C9408">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符合</w:t>
                  </w:r>
                </w:p>
              </w:tc>
            </w:tr>
            <w:tr w14:paraId="26908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04" w:type="dxa"/>
                  <w:noWrap w:val="0"/>
                  <w:vAlign w:val="center"/>
                </w:tcPr>
                <w:p w14:paraId="11CE8954">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严格执行环境准入要求，加强入园项目生态环境准入管理。落实蓝天、碧水、净土保卫战有关管控要求，加强</w:t>
                  </w:r>
                  <w:r>
                    <w:rPr>
                      <w:rFonts w:hint="eastAsia" w:eastAsia="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两高</w:t>
                  </w:r>
                  <w:r>
                    <w:rPr>
                      <w:rFonts w:hint="eastAsia" w:eastAsia="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行业生态环境源头防控，引进项目的生产工艺、设备、污染物排放和资源利用等，应达到清洁生产国内先进水平。推进技术研发型、创新型产业发展，提升产业的技术水平和规划区的绿色低碳化水平。规划区招商引资、入园项目环评审批应严格执行生态环境准入要求。要以规划区的资源环境承载能力为基础，充分论证、有序发展，严禁引进工艺装备落后，不符合污染物排放总量控制要求的企业</w:t>
                  </w:r>
                </w:p>
              </w:tc>
              <w:tc>
                <w:tcPr>
                  <w:tcW w:w="2967" w:type="dxa"/>
                  <w:noWrap w:val="0"/>
                  <w:vAlign w:val="center"/>
                </w:tcPr>
                <w:p w14:paraId="5E71CFAA">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本项目为锅炉、环保设施改建项目，不属于“两高”项目，符合国家及云南省相关的现行产业政策，无落后的工艺及生产设备。项目运营期排放的各类污染物量较小，不属于不符合污染物总量排放要求的项目。</w:t>
                  </w:r>
                </w:p>
              </w:tc>
              <w:tc>
                <w:tcPr>
                  <w:tcW w:w="555" w:type="dxa"/>
                  <w:noWrap w:val="0"/>
                  <w:vAlign w:val="center"/>
                </w:tcPr>
                <w:p w14:paraId="24AC3CCC">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符合</w:t>
                  </w:r>
                </w:p>
              </w:tc>
            </w:tr>
            <w:tr w14:paraId="1B12D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04" w:type="dxa"/>
                  <w:noWrap w:val="0"/>
                  <w:vAlign w:val="center"/>
                </w:tcPr>
                <w:p w14:paraId="3E88369C">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建立健全区域环境风险防范和生态安全保障体系。加强园区内易导致环境风险的有毒有害和易燃易爆物质的生产、使用、贮运等管理，统筹考虑污染防治、生态恢复与建设、环境风险防范、环境管理等事宜；强化园区危险化学品储运的环境风险管理，制定建立厂区、园区、区域三级防控措施，强化环境监测与预警能力建设、环境风险应急与防范措施，建立应急响应联动机制和风险防控体系并编制应急预案，防范环境风险，避免事故废水排入园区外水体，保障区域环境安全。</w:t>
                  </w:r>
                </w:p>
              </w:tc>
              <w:tc>
                <w:tcPr>
                  <w:tcW w:w="2967" w:type="dxa"/>
                  <w:noWrap w:val="0"/>
                  <w:vAlign w:val="center"/>
                </w:tcPr>
                <w:p w14:paraId="50352100">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本项目针对存在的环境风险采取了相应的风险防范措施，</w:t>
                  </w:r>
                </w:p>
                <w:p w14:paraId="759E94DC">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公司已于2024年完成应急预案修编并于2024年7月11日取得《企业事业单位突发环境事件应急预案备案表》（备案编号530426-2024-020-L）。</w:t>
                  </w:r>
                </w:p>
                <w:p w14:paraId="334BFDA1">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本项目建成后及时修编突发环境事件应急预案，在当地生态环境主管部门进行备案后定期进行相关的培训和演练。</w:t>
                  </w:r>
                </w:p>
              </w:tc>
              <w:tc>
                <w:tcPr>
                  <w:tcW w:w="555" w:type="dxa"/>
                  <w:noWrap w:val="0"/>
                  <w:vAlign w:val="center"/>
                </w:tcPr>
                <w:p w14:paraId="7B825875">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bl>
          <w:p w14:paraId="1EE8AA05">
            <w:pPr>
              <w:pStyle w:val="51"/>
              <w:pageBreakBefore w:val="0"/>
              <w:kinsoku/>
              <w:overflowPunct/>
              <w:topLinePunct w:val="0"/>
              <w:bidi w:val="0"/>
              <w:ind w:left="0" w:leftChars="0" w:right="0" w:firstLine="480"/>
              <w:rPr>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由上表可以看出，本项目的建设符合《云南红塔产业园区</w:t>
            </w:r>
            <w:r>
              <w:rPr>
                <w:rFonts w:hint="default" w:ascii="Times New Roman" w:hAnsi="Times New Roman" w:eastAsia="宋体" w:cs="Times New Roman"/>
                <w:color w:val="000000" w:themeColor="text1"/>
                <w:lang w:val="en-US" w:eastAsia="zh-CN"/>
                <w14:textFill>
                  <w14:solidFill>
                    <w14:schemeClr w14:val="tx1"/>
                  </w14:solidFill>
                </w14:textFill>
              </w:rPr>
              <w:t>总体规划修编（2021-2035年）</w:t>
            </w:r>
            <w:r>
              <w:rPr>
                <w:rFonts w:hint="eastAsia" w:ascii="Times New Roman" w:hAnsi="Times New Roman" w:eastAsia="宋体" w:cs="Times New Roman"/>
                <w:color w:val="000000" w:themeColor="text1"/>
                <w:lang w:val="en-US" w:eastAsia="zh-CN"/>
                <w14:textFill>
                  <w14:solidFill>
                    <w14:schemeClr w14:val="tx1"/>
                  </w14:solidFill>
                </w14:textFill>
              </w:rPr>
              <w:t>环境影响报告书》规划环评及其审查意见的要求</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tc>
      </w:tr>
      <w:tr w14:paraId="0C5566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239" w:type="dxa"/>
            <w:vAlign w:val="center"/>
          </w:tcPr>
          <w:p w14:paraId="387FC505">
            <w:pPr>
              <w:pageBreakBefore w:val="0"/>
              <w:kinsoku/>
              <w:overflowPunct/>
              <w:topLinePunct w:val="0"/>
              <w:autoSpaceDE w:val="0"/>
              <w:autoSpaceDN w:val="0"/>
              <w:bidi w:val="0"/>
              <w:adjustRightInd w:val="0"/>
              <w:snapToGrid w:val="0"/>
              <w:ind w:left="0" w:leftChars="0" w:right="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其他符合性分析</w:t>
            </w:r>
          </w:p>
        </w:tc>
        <w:tc>
          <w:tcPr>
            <w:tcW w:w="7590" w:type="dxa"/>
            <w:gridSpan w:val="4"/>
            <w:vAlign w:val="center"/>
          </w:tcPr>
          <w:p w14:paraId="51776544">
            <w:pPr>
              <w:pStyle w:val="51"/>
              <w:keepNext w:val="0"/>
              <w:pageBreakBefore w:val="0"/>
              <w:kinsoku/>
              <w:overflowPunct/>
              <w:topLinePunct w:val="0"/>
              <w:bidi w:val="0"/>
              <w:ind w:left="0" w:leftChars="0" w:right="0" w:firstLine="48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1、产业政策符合性分析</w:t>
            </w:r>
          </w:p>
          <w:p w14:paraId="3A769B1B">
            <w:pPr>
              <w:pStyle w:val="51"/>
              <w:keepNext w:val="0"/>
              <w:pageBreakBefore w:val="0"/>
              <w:kinsoku/>
              <w:overflowPunct/>
              <w:topLinePunct w:val="0"/>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本项目主要</w:t>
            </w:r>
            <w:r>
              <w:rPr>
                <w:rFonts w:hint="eastAsia" w:ascii="Times New Roman" w:hAnsi="Times New Roman" w:eastAsia="宋体" w:cs="Times New Roman"/>
                <w:color w:val="000000" w:themeColor="text1"/>
                <w:lang w:val="en-US" w:eastAsia="zh-CN"/>
                <w14:textFill>
                  <w14:solidFill>
                    <w14:schemeClr w14:val="tx1"/>
                  </w14:solidFill>
                </w14:textFill>
              </w:rPr>
              <w:t>建设1台3t/h的生物质锅炉，</w:t>
            </w:r>
            <w:r>
              <w:rPr>
                <w:rFonts w:hint="default" w:ascii="Times New Roman" w:hAnsi="Times New Roman" w:eastAsia="宋体" w:cs="Times New Roman"/>
                <w:color w:val="000000" w:themeColor="text1"/>
                <w:lang w:val="en-US" w:eastAsia="zh-CN"/>
                <w14:textFill>
                  <w14:solidFill>
                    <w14:schemeClr w14:val="tx1"/>
                  </w14:solidFill>
                </w14:textFill>
              </w:rPr>
              <w:t>行业代码为</w:t>
            </w:r>
            <w:r>
              <w:rPr>
                <w:rFonts w:hint="eastAsia" w:ascii="Times New Roman" w:hAnsi="Times New Roman" w:eastAsia="宋体" w:cs="Times New Roman"/>
                <w:color w:val="000000" w:themeColor="text1"/>
                <w:sz w:val="24"/>
                <w:lang w:val="en-US" w:eastAsia="zh-CN"/>
                <w14:textFill>
                  <w14:solidFill>
                    <w14:schemeClr w14:val="tx1"/>
                  </w14:solidFill>
                </w14:textFill>
              </w:rPr>
              <w:t>D4430</w:t>
            </w:r>
            <w:r>
              <w:rPr>
                <w:rFonts w:ascii="Times New Roman" w:hAnsi="Times New Roman" w:eastAsia="宋体" w:cs="Times New Roman"/>
                <w:color w:val="000000" w:themeColor="text1"/>
                <w:sz w:val="24"/>
                <w:lang w:val="en-US" w:eastAsia="zh-CN"/>
                <w14:textFill>
                  <w14:solidFill>
                    <w14:schemeClr w14:val="tx1"/>
                  </w14:solidFill>
                </w14:textFill>
              </w:rPr>
              <w:t>热力生产和供应</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根据《产业结构调整指导目录（2024年本）》，</w:t>
            </w:r>
            <w:r>
              <w:rPr>
                <w:rFonts w:hint="eastAsia"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每小时2蒸吨及以下的生物质锅炉，属于淘汰类</w:t>
            </w:r>
            <w:r>
              <w:rPr>
                <w:rFonts w:hint="eastAsia" w:cs="Times New Roman"/>
                <w:color w:val="000000" w:themeColor="text1"/>
                <w:lang w:val="en-US" w:eastAsia="zh-CN"/>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每小时 35 蒸吨及以下固定炉排式生物质锅炉</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属于限制类</w:t>
            </w:r>
            <w:r>
              <w:rPr>
                <w:rFonts w:hint="eastAsia" w:cs="Times New Roman"/>
                <w:color w:val="000000" w:themeColor="text1"/>
                <w:lang w:val="en-US" w:eastAsia="zh-CN"/>
                <w14:textFill>
                  <w14:solidFill>
                    <w14:schemeClr w14:val="tx1"/>
                  </w14:solidFill>
                </w14:textFill>
              </w:rPr>
              <w:t>”。</w:t>
            </w:r>
            <w:r>
              <w:rPr>
                <w:rFonts w:hint="eastAsia" w:eastAsia="宋体"/>
                <w:color w:val="000000" w:themeColor="text1"/>
                <w:sz w:val="24"/>
                <w:shd w:val="clear" w:color="auto" w:fill="FFFFFF"/>
                <w:lang w:val="en-US" w:eastAsia="zh-CN"/>
                <w14:textFill>
                  <w14:solidFill>
                    <w14:schemeClr w14:val="tx1"/>
                  </w14:solidFill>
                </w14:textFill>
              </w:rPr>
              <w:t>本项目锅炉型号为DZL3</w:t>
            </w:r>
            <w:r>
              <w:rPr>
                <w:rFonts w:hint="default" w:eastAsia="宋体"/>
                <w:color w:val="000000" w:themeColor="text1"/>
                <w:sz w:val="24"/>
                <w:shd w:val="clear" w:color="auto" w:fill="FFFFFF"/>
                <w:lang w:val="en-US" w:eastAsia="zh-CN"/>
                <w14:textFill>
                  <w14:solidFill>
                    <w14:schemeClr w14:val="tx1"/>
                  </w14:solidFill>
                </w14:textFill>
              </w:rPr>
              <w:t>-1.25-SCIII</w:t>
            </w:r>
            <w:r>
              <w:rPr>
                <w:rFonts w:hint="eastAsia" w:eastAsia="宋体"/>
                <w:color w:val="000000" w:themeColor="text1"/>
                <w:sz w:val="24"/>
                <w:shd w:val="clear" w:color="auto" w:fill="FFFFFF"/>
                <w:lang w:val="en-US" w:eastAsia="zh-CN"/>
                <w14:textFill>
                  <w14:solidFill>
                    <w14:schemeClr w14:val="tx1"/>
                  </w14:solidFill>
                </w14:textFill>
              </w:rPr>
              <w:t>，根据《工业锅炉技术规范》（GB/T1921-2025）中附录D</w:t>
            </w:r>
            <w:r>
              <w:rPr>
                <w:rFonts w:hint="default" w:eastAsia="宋体"/>
                <w:color w:val="000000" w:themeColor="text1"/>
                <w:sz w:val="24"/>
                <w:shd w:val="clear" w:color="auto" w:fill="FFFFFF"/>
                <w:lang w:val="en-US" w:eastAsia="zh-CN"/>
                <w14:textFill>
                  <w14:solidFill>
                    <w14:schemeClr w14:val="tx1"/>
                  </w14:solidFill>
                </w14:textFill>
              </w:rPr>
              <w:t xml:space="preserve"> </w:t>
            </w:r>
            <w:r>
              <w:rPr>
                <w:rFonts w:hint="eastAsia" w:eastAsia="宋体"/>
                <w:color w:val="000000" w:themeColor="text1"/>
                <w:sz w:val="24"/>
                <w:shd w:val="clear" w:color="auto" w:fill="FFFFFF"/>
                <w:lang w:val="en-US" w:eastAsia="zh-CN"/>
                <w14:textFill>
                  <w14:solidFill>
                    <w14:schemeClr w14:val="tx1"/>
                  </w14:solidFill>
                </w14:textFill>
              </w:rPr>
              <w:t>工业锅炉型号编制方法，本项目锅炉为单锅筒纵置式链条炉排，额定蒸发量为3</w:t>
            </w:r>
            <w:r>
              <w:rPr>
                <w:rFonts w:hint="default" w:eastAsia="宋体"/>
                <w:color w:val="000000" w:themeColor="text1"/>
                <w:sz w:val="24"/>
                <w:shd w:val="clear" w:color="auto" w:fill="FFFFFF"/>
                <w:lang w:val="en-US" w:eastAsia="zh-CN"/>
                <w14:textFill>
                  <w14:solidFill>
                    <w14:schemeClr w14:val="tx1"/>
                  </w14:solidFill>
                </w14:textFill>
              </w:rPr>
              <w:t>t/h</w:t>
            </w:r>
            <w:r>
              <w:rPr>
                <w:rFonts w:hint="eastAsia" w:eastAsia="宋体"/>
                <w:color w:val="000000" w:themeColor="text1"/>
                <w:sz w:val="24"/>
                <w:shd w:val="clear" w:color="auto" w:fill="FFFFFF"/>
                <w:lang w:val="en-US" w:eastAsia="zh-CN"/>
                <w14:textFill>
                  <w14:solidFill>
                    <w14:schemeClr w14:val="tx1"/>
                  </w14:solidFill>
                </w14:textFill>
              </w:rPr>
              <w:t>，额定蒸汽压力位1.25</w:t>
            </w:r>
            <w:r>
              <w:rPr>
                <w:rFonts w:hint="default" w:eastAsia="宋体"/>
                <w:color w:val="000000" w:themeColor="text1"/>
                <w:sz w:val="24"/>
                <w:shd w:val="clear" w:color="auto" w:fill="FFFFFF"/>
                <w:lang w:val="en-US" w:eastAsia="zh-CN"/>
                <w14:textFill>
                  <w14:solidFill>
                    <w14:schemeClr w14:val="tx1"/>
                  </w14:solidFill>
                </w14:textFill>
              </w:rPr>
              <w:t>Mpa</w:t>
            </w:r>
            <w:r>
              <w:rPr>
                <w:rFonts w:hint="eastAsia" w:eastAsia="宋体"/>
                <w:color w:val="000000" w:themeColor="text1"/>
                <w:sz w:val="24"/>
                <w:shd w:val="clear" w:color="auto" w:fill="FFFFFF"/>
                <w:lang w:val="en-US" w:eastAsia="zh-CN"/>
                <w14:textFill>
                  <w14:solidFill>
                    <w14:schemeClr w14:val="tx1"/>
                  </w14:solidFill>
                </w14:textFill>
              </w:rPr>
              <w:t>，燃用生物质成型燃料的蒸汽锅</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炉。故本项目</w:t>
            </w:r>
            <w:r>
              <w:rPr>
                <w:rFonts w:hint="default" w:ascii="Times New Roman" w:hAnsi="Times New Roman" w:eastAsia="宋体" w:cs="Times New Roman"/>
                <w:color w:val="000000" w:themeColor="text1"/>
                <w:sz w:val="24"/>
                <w:shd w:val="clear" w:color="auto" w:fill="FFFFFF"/>
                <w:lang w:val="en-US" w:eastAsia="zh-CN"/>
                <w14:textFill>
                  <w14:solidFill>
                    <w14:schemeClr w14:val="tx1"/>
                  </w14:solidFill>
                </w14:textFill>
              </w:rPr>
              <w:t>拟采用的设备不属于限制类、淘汰类之列</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FFFFFF"/>
                <w:lang w:val="en-US" w:eastAsia="zh-CN"/>
                <w14:textFill>
                  <w14:solidFill>
                    <w14:schemeClr w14:val="tx1"/>
                  </w14:solidFill>
                </w14:textFill>
              </w:rPr>
              <w:t>因此，本项目</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符合国家和云南省现行相关产业政策</w:t>
            </w:r>
            <w:r>
              <w:rPr>
                <w:rFonts w:hint="default" w:ascii="Times New Roman" w:hAnsi="Times New Roman" w:eastAsia="宋体" w:cs="Times New Roman"/>
                <w:color w:val="000000" w:themeColor="text1"/>
                <w:sz w:val="24"/>
                <w:shd w:val="clear" w:color="auto" w:fill="FFFFFF"/>
                <w:lang w:val="en-US" w:eastAsia="zh-CN"/>
                <w14:textFill>
                  <w14:solidFill>
                    <w14:schemeClr w14:val="tx1"/>
                  </w14:solidFill>
                </w14:textFill>
              </w:rPr>
              <w:t>。</w:t>
            </w:r>
          </w:p>
          <w:p w14:paraId="444BF3CE">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项目于2025年11月27日取得了峨山县发展和改革局</w:t>
            </w:r>
            <w:r>
              <w:rPr>
                <w:rFonts w:hint="eastAsia" w:eastAsia="宋体" w:cs="Times New Roman"/>
                <w:color w:val="000000" w:themeColor="text1"/>
                <w:sz w:val="24"/>
                <w:szCs w:val="24"/>
                <w:lang w:val="en-US" w:eastAsia="zh-CN"/>
                <w14:textFill>
                  <w14:solidFill>
                    <w14:schemeClr w14:val="tx1"/>
                  </w14:solidFill>
                </w14:textFill>
              </w:rPr>
              <w:t>核发的《云南省固定资产投资项目备案证》</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（备案号：</w:t>
            </w:r>
            <w:r>
              <w:rPr>
                <w:rFonts w:hint="eastAsia" w:eastAsia="宋体" w:cs="Times New Roman"/>
                <w:color w:val="000000" w:themeColor="text1"/>
                <w:sz w:val="24"/>
                <w:szCs w:val="24"/>
                <w:lang w:val="en-US" w:eastAsia="zh-CN"/>
                <w14:textFill>
                  <w14:solidFill>
                    <w14:schemeClr w14:val="tx1"/>
                  </w14:solidFill>
                </w14:textFill>
              </w:rPr>
              <w:t>2511-530426-04-02-334555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），同意</w:t>
            </w:r>
            <w:r>
              <w:rPr>
                <w:rFonts w:hint="eastAsia" w:eastAsia="宋体" w:cs="Times New Roman"/>
                <w:color w:val="000000" w:themeColor="text1"/>
                <w:sz w:val="24"/>
                <w:szCs w:val="24"/>
                <w:lang w:val="en-US" w:eastAsia="zh-CN"/>
                <w14:textFill>
                  <w14:solidFill>
                    <w14:schemeClr w14:val="tx1"/>
                  </w14:solidFill>
                </w14:textFill>
              </w:rPr>
              <w:t>项目建设。</w:t>
            </w:r>
          </w:p>
          <w:p w14:paraId="47729DF6">
            <w:pPr>
              <w:pStyle w:val="51"/>
              <w:keepNext w:val="0"/>
              <w:pageBreakBefore w:val="0"/>
              <w:kinsoku/>
              <w:overflowPunct/>
              <w:topLinePunct w:val="0"/>
              <w:bidi w:val="0"/>
              <w:ind w:left="0" w:leftChars="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综上所述，项目符合国家和云南省的产业政策。</w:t>
            </w:r>
          </w:p>
          <w:p w14:paraId="064AB62A">
            <w:pPr>
              <w:pStyle w:val="32"/>
              <w:keepNext w:val="0"/>
              <w:pageBreakBefore w:val="0"/>
              <w:kinsoku/>
              <w:overflowPunct/>
              <w:topLinePunct w:val="0"/>
              <w:bidi w:val="0"/>
              <w:spacing w:after="0" w:line="360" w:lineRule="auto"/>
              <w:ind w:left="0" w:leftChars="0" w:right="0" w:firstLine="48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w:t>
            </w:r>
            <w:r>
              <w:rPr>
                <w:b/>
                <w:bCs/>
                <w:color w:val="000000" w:themeColor="text1"/>
                <w:sz w:val="24"/>
                <w14:textFill>
                  <w14:solidFill>
                    <w14:schemeClr w14:val="tx1"/>
                  </w14:solidFill>
                </w14:textFill>
              </w:rPr>
              <w:t>、项目选址合理性分析</w:t>
            </w:r>
          </w:p>
          <w:p w14:paraId="5C23B878">
            <w:pPr>
              <w:pStyle w:val="51"/>
              <w:keepNext w:val="0"/>
              <w:pageBreakBefore w:val="0"/>
              <w:kinsoku/>
              <w:overflowPunct/>
              <w:topLinePunct w:val="0"/>
              <w:bidi w:val="0"/>
              <w:ind w:left="0" w:leftChars="0" w:right="0" w:firstLine="480"/>
              <w:rPr>
                <w:rFonts w:hint="eastAsia"/>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位于</w:t>
            </w:r>
            <w:r>
              <w:rPr>
                <w:rFonts w:hint="eastAsia" w:cs="Times New Roman"/>
                <w:color w:val="000000" w:themeColor="text1"/>
                <w:lang w:val="en-US" w:eastAsia="zh-CN"/>
                <w14:textFill>
                  <w14:solidFill>
                    <w14:schemeClr w14:val="tx1"/>
                  </w14:solidFill>
                </w14:textFill>
              </w:rPr>
              <w:t>云南红塔产业园区</w:t>
            </w:r>
            <w:r>
              <w:rPr>
                <w:rFonts w:hint="eastAsia" w:ascii="Times New Roman" w:hAnsi="Times New Roman" w:eastAsia="宋体" w:cs="Times New Roman"/>
                <w:color w:val="000000" w:themeColor="text1"/>
                <w:lang w:val="en-US" w:eastAsia="zh-CN"/>
                <w14:textFill>
                  <w14:solidFill>
                    <w14:schemeClr w14:val="tx1"/>
                  </w14:solidFill>
                </w14:textFill>
              </w:rPr>
              <w:t>研和片区双小地块，</w:t>
            </w:r>
            <w:r>
              <w:rPr>
                <w:rFonts w:hint="eastAsia"/>
                <w:color w:val="000000" w:themeColor="text1"/>
                <w:sz w:val="24"/>
                <w14:textFill>
                  <w14:solidFill>
                    <w14:schemeClr w14:val="tx1"/>
                  </w14:solidFill>
                </w14:textFill>
              </w:rPr>
              <w:t>原云南省峨山恒丰钢铁公司闲置土地</w:t>
            </w:r>
            <w:r>
              <w:rPr>
                <w:rFonts w:hint="eastAsia"/>
                <w:color w:val="000000" w:themeColor="text1"/>
                <w:sz w:val="24"/>
                <w:lang w:eastAsia="zh-CN"/>
                <w14:textFill>
                  <w14:solidFill>
                    <w14:schemeClr w14:val="tx1"/>
                  </w14:solidFill>
                </w14:textFill>
              </w:rPr>
              <w:t>，公司于</w:t>
            </w:r>
            <w:r>
              <w:rPr>
                <w:rFonts w:hint="eastAsia"/>
                <w:color w:val="000000" w:themeColor="text1"/>
                <w:sz w:val="24"/>
                <w:lang w:val="en-US" w:eastAsia="zh-CN"/>
                <w14:textFill>
                  <w14:solidFill>
                    <w14:schemeClr w14:val="tx1"/>
                  </w14:solidFill>
                </w14:textFill>
              </w:rPr>
              <w:t>2017年与</w:t>
            </w:r>
            <w:r>
              <w:rPr>
                <w:rFonts w:hint="eastAsia"/>
                <w:color w:val="000000" w:themeColor="text1"/>
                <w:sz w:val="24"/>
                <w14:textFill>
                  <w14:solidFill>
                    <w14:schemeClr w14:val="tx1"/>
                  </w14:solidFill>
                </w14:textFill>
              </w:rPr>
              <w:t>云南省峨山恒丰钢铁公司</w:t>
            </w:r>
            <w:r>
              <w:rPr>
                <w:rFonts w:hint="eastAsia"/>
                <w:color w:val="000000" w:themeColor="text1"/>
                <w:sz w:val="24"/>
                <w:lang w:eastAsia="zh-CN"/>
                <w14:textFill>
                  <w14:solidFill>
                    <w14:schemeClr w14:val="tx1"/>
                  </w14:solidFill>
                </w14:textFill>
              </w:rPr>
              <w:t>签订租地协议，公司于该地块建设现有《峨山县文邦包装制品有限公司年产</w:t>
            </w:r>
            <w:r>
              <w:rPr>
                <w:rFonts w:hint="eastAsia"/>
                <w:color w:val="000000" w:themeColor="text1"/>
                <w:sz w:val="24"/>
                <w:lang w:val="en-US" w:eastAsia="zh-CN"/>
                <w14:textFill>
                  <w14:solidFill>
                    <w14:schemeClr w14:val="tx1"/>
                  </w14:solidFill>
                </w14:textFill>
              </w:rPr>
              <w:t>8万立方米建筑泡沫板材、50万件（套）泡沫包装制品技改搬迁项目</w:t>
            </w:r>
            <w:r>
              <w:rPr>
                <w:rFonts w:hint="eastAsia"/>
                <w:color w:val="000000" w:themeColor="text1"/>
                <w:sz w:val="24"/>
                <w:lang w:eastAsia="zh-CN"/>
                <w14:textFill>
                  <w14:solidFill>
                    <w14:schemeClr w14:val="tx1"/>
                  </w14:solidFill>
                </w14:textFill>
              </w:rPr>
              <w:t>》（以下简称“现有项目”），本项目属于锅炉以及环保设计技改项目，于公司现有地块上进行建设，不新增占地，现有项目各项环保手续齐全。</w:t>
            </w:r>
          </w:p>
          <w:p w14:paraId="22BEF2B4">
            <w:pPr>
              <w:pStyle w:val="51"/>
              <w:keepNext w:val="0"/>
              <w:pageBreakBefore w:val="0"/>
              <w:kinsoku/>
              <w:overflowPunct/>
              <w:topLinePunct w:val="0"/>
              <w:bidi w:val="0"/>
              <w:ind w:left="0" w:leftChars="0" w:right="0" w:firstLine="480"/>
              <w:rPr>
                <w:rFonts w:hint="default"/>
                <w:color w:val="000000" w:themeColor="text1"/>
                <w:sz w:val="24"/>
                <w:lang w:val="en-US" w:eastAsia="zh-CN"/>
                <w14:textFill>
                  <w14:solidFill>
                    <w14:schemeClr w14:val="tx1"/>
                  </w14:solidFill>
                </w14:textFill>
              </w:rPr>
            </w:pPr>
            <w:r>
              <w:rPr>
                <w:rFonts w:hint="eastAsia"/>
                <w:color w:val="000000" w:themeColor="text1"/>
                <w:sz w:val="24"/>
                <w:lang w:eastAsia="zh-CN"/>
                <w14:textFill>
                  <w14:solidFill>
                    <w14:schemeClr w14:val="tx1"/>
                  </w14:solidFill>
                </w14:textFill>
              </w:rPr>
              <w:t>公司现有项目于</w:t>
            </w:r>
            <w:r>
              <w:rPr>
                <w:rFonts w:hint="eastAsia"/>
                <w:color w:val="000000" w:themeColor="text1"/>
                <w:sz w:val="24"/>
                <w:lang w:val="en-US" w:eastAsia="zh-CN"/>
                <w14:textFill>
                  <w14:solidFill>
                    <w14:schemeClr w14:val="tx1"/>
                  </w14:solidFill>
                </w14:textFill>
              </w:rPr>
              <w:t>2017年11月委托编制</w:t>
            </w:r>
            <w:r>
              <w:rPr>
                <w:rFonts w:hint="eastAsia"/>
                <w:color w:val="000000" w:themeColor="text1"/>
                <w:sz w:val="24"/>
                <w:lang w:eastAsia="zh-CN"/>
                <w14:textFill>
                  <w14:solidFill>
                    <w14:schemeClr w14:val="tx1"/>
                  </w14:solidFill>
                </w14:textFill>
              </w:rPr>
              <w:t>《峨山县文邦包装制品有限公司年产</w:t>
            </w:r>
            <w:r>
              <w:rPr>
                <w:rFonts w:hint="eastAsia"/>
                <w:color w:val="000000" w:themeColor="text1"/>
                <w:sz w:val="24"/>
                <w:lang w:val="en-US" w:eastAsia="zh-CN"/>
                <w14:textFill>
                  <w14:solidFill>
                    <w14:schemeClr w14:val="tx1"/>
                  </w14:solidFill>
                </w14:textFill>
              </w:rPr>
              <w:t>8万立方米建筑泡沫板材、50万件（套）泡沫包装制品技改搬迁项目环境影响评价报告表</w:t>
            </w:r>
            <w:r>
              <w:rPr>
                <w:rFonts w:hint="eastAsia"/>
                <w:color w:val="000000" w:themeColor="text1"/>
                <w:sz w:val="24"/>
                <w:lang w:eastAsia="zh-CN"/>
                <w14:textFill>
                  <w14:solidFill>
                    <w14:schemeClr w14:val="tx1"/>
                  </w14:solidFill>
                </w14:textFill>
              </w:rPr>
              <w:t>》，并于</w:t>
            </w:r>
            <w:r>
              <w:rPr>
                <w:rFonts w:hint="eastAsia"/>
                <w:color w:val="000000" w:themeColor="text1"/>
                <w:sz w:val="24"/>
                <w:lang w:val="en-US" w:eastAsia="zh-CN"/>
                <w14:textFill>
                  <w14:solidFill>
                    <w14:schemeClr w14:val="tx1"/>
                  </w14:solidFill>
                </w14:textFill>
              </w:rPr>
              <w:t>2017年12月15日取得峨山县环境保护局（现玉溪市生态环境局峨山分局）关于</w:t>
            </w:r>
            <w:r>
              <w:rPr>
                <w:rFonts w:hint="eastAsia"/>
                <w:color w:val="000000" w:themeColor="text1"/>
                <w:sz w:val="24"/>
                <w:lang w:eastAsia="zh-CN"/>
                <w14:textFill>
                  <w14:solidFill>
                    <w14:schemeClr w14:val="tx1"/>
                  </w14:solidFill>
                </w14:textFill>
              </w:rPr>
              <w:t>《峨山县文邦包装制品有限公司年产</w:t>
            </w:r>
            <w:r>
              <w:rPr>
                <w:rFonts w:hint="eastAsia"/>
                <w:color w:val="000000" w:themeColor="text1"/>
                <w:sz w:val="24"/>
                <w:lang w:val="en-US" w:eastAsia="zh-CN"/>
                <w14:textFill>
                  <w14:solidFill>
                    <w14:schemeClr w14:val="tx1"/>
                  </w14:solidFill>
                </w14:textFill>
              </w:rPr>
              <w:t>8万立方米建筑泡沫板材、50万件（套）泡沫包装制品技改搬迁项目环境影响评价报告表的批复</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（峨山彝族自治县环境保护局文件，峨环审〔2017〕25号）；</w:t>
            </w:r>
            <w:r>
              <w:rPr>
                <w:rFonts w:hint="eastAsia" w:cs="Times New Roman"/>
                <w:color w:val="000000" w:themeColor="text1"/>
                <w:lang w:val="en-US" w:eastAsia="zh-CN"/>
                <w14:textFill>
                  <w14:solidFill>
                    <w14:schemeClr w14:val="tx1"/>
                  </w14:solidFill>
                </w14:textFill>
              </w:rPr>
              <w:t>“现有项目”委托编制《峨山县文邦</w:t>
            </w:r>
            <w:r>
              <w:rPr>
                <w:rFonts w:hint="default" w:cs="Times New Roman"/>
                <w:color w:val="000000" w:themeColor="text1"/>
                <w:lang w:val="en-US" w:eastAsia="zh-CN"/>
                <w14:textFill>
                  <w14:solidFill>
                    <w14:schemeClr w14:val="tx1"/>
                  </w14:solidFill>
                </w14:textFill>
              </w:rPr>
              <w:t>包装制品有限公司</w:t>
            </w:r>
            <w:r>
              <w:rPr>
                <w:rFonts w:hint="eastAsia" w:cs="Times New Roman"/>
                <w:color w:val="000000" w:themeColor="text1"/>
                <w:lang w:val="en-US" w:eastAsia="zh-CN"/>
                <w14:textFill>
                  <w14:solidFill>
                    <w14:schemeClr w14:val="tx1"/>
                  </w14:solidFill>
                </w14:textFill>
              </w:rPr>
              <w:t>年产8万立方米建筑泡沫板材、50万件（套）泡沫包装制品技改搬迁项目竣工环境保护验收监测报告表》，</w:t>
            </w:r>
            <w:r>
              <w:rPr>
                <w:rFonts w:hint="eastAsia"/>
                <w:color w:val="000000" w:themeColor="text1"/>
                <w:sz w:val="24"/>
                <w:lang w:val="en-US" w:eastAsia="zh-CN"/>
                <w14:textFill>
                  <w14:solidFill>
                    <w14:schemeClr w14:val="tx1"/>
                  </w14:solidFill>
                </w14:textFill>
              </w:rPr>
              <w:t>公司于2021年3月10日取得验收意见，并于2021年3月19日进行竣工环境保护验收公示后填报全国建设项目竣工环境保护验收信息系统，完成自主验收</w:t>
            </w:r>
            <w:r>
              <w:rPr>
                <w:rFonts w:hint="eastAsia" w:cs="Times New Roman"/>
                <w:color w:val="000000" w:themeColor="text1"/>
                <w:lang w:val="en-US" w:eastAsia="zh-CN"/>
                <w14:textFill>
                  <w14:solidFill>
                    <w14:schemeClr w14:val="tx1"/>
                  </w14:solidFill>
                </w14:textFill>
              </w:rPr>
              <w:t>（建设单位由于市场原因，仅建设泡沫板材生产线，泡沫包装制品生产线未建设，验收仅针对进行泡沫板材生产线验收）。</w:t>
            </w:r>
            <w:r>
              <w:rPr>
                <w:rFonts w:hint="eastAsia"/>
                <w:color w:val="000000" w:themeColor="text1"/>
                <w:sz w:val="24"/>
                <w:lang w:val="en-US" w:eastAsia="zh-CN"/>
                <w14:textFill>
                  <w14:solidFill>
                    <w14:schemeClr w14:val="tx1"/>
                  </w14:solidFill>
                </w14:textFill>
              </w:rPr>
              <w:t>公司于2025年4月15日于全国排污许可证管理信息平台-公开端完成延续并取得《固定污染源排污登记回执》（登记编</w:t>
            </w:r>
            <w:r>
              <w:rPr>
                <w:rFonts w:hint="eastAsia" w:ascii="Times New Roman" w:hAnsi="Times New Roman" w:eastAsia="宋体" w:cs="Times New Roman"/>
                <w:color w:val="000000" w:themeColor="text1"/>
                <w:sz w:val="24"/>
                <w:lang w:val="en-US" w:eastAsia="zh-CN"/>
                <w14:textFill>
                  <w14:solidFill>
                    <w14:schemeClr w14:val="tx1"/>
                  </w14:solidFill>
                </w14:textFill>
              </w:rPr>
              <w:t>号：91530426059499870K001X，登记类型：延续，有效期：2025年4月17日至2030年4月16日）。</w:t>
            </w:r>
          </w:p>
          <w:p w14:paraId="046F852C">
            <w:pPr>
              <w:pStyle w:val="51"/>
              <w:keepNext w:val="0"/>
              <w:keepLines w:val="0"/>
              <w:pageBreakBefore w:val="0"/>
              <w:widowControl w:val="0"/>
              <w:kinsoku/>
              <w:wordWrap w:val="0"/>
              <w:overflowPunct/>
              <w:topLinePunct w:val="0"/>
              <w:autoSpaceDE/>
              <w:autoSpaceDN/>
              <w:bidi w:val="0"/>
              <w:adjustRightInd/>
              <w:snapToGrid/>
              <w:ind w:left="0" w:leftChars="0" w:right="0" w:firstLine="480"/>
              <w:textAlignment w:val="auto"/>
              <w:rPr>
                <w:rFonts w:hint="eastAsia"/>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根据云南省生态环境分区管控公共服务查询平台（http://183.224.17.39:19272/sxydyn）查询结果，本项目属于峨山县产业园区重点管控单元，</w:t>
            </w:r>
            <w:r>
              <w:rPr>
                <w:rFonts w:hint="default" w:ascii="Times New Roman" w:hAnsi="Times New Roman" w:eastAsia="宋体" w:cs="Times New Roman"/>
                <w:color w:val="000000" w:themeColor="text1"/>
                <w:lang w:val="en-US" w:eastAsia="zh-CN"/>
                <w14:textFill>
                  <w14:solidFill>
                    <w14:schemeClr w14:val="tx1"/>
                  </w14:solidFill>
                </w14:textFill>
              </w:rPr>
              <w:t>管控单元编码为</w:t>
            </w:r>
            <w:r>
              <w:rPr>
                <w:color w:val="000000" w:themeColor="text1"/>
                <w14:textFill>
                  <w14:solidFill>
                    <w14:schemeClr w14:val="tx1"/>
                  </w14:solidFill>
                </w14:textFill>
              </w:rPr>
              <w:t>ZH53042620005</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6BBE1026">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项目于2025年11月27日取得了峨山县发展和改革局</w:t>
            </w:r>
            <w:r>
              <w:rPr>
                <w:rFonts w:hint="eastAsia" w:eastAsia="宋体" w:cs="Times New Roman"/>
                <w:color w:val="000000" w:themeColor="text1"/>
                <w:sz w:val="24"/>
                <w:szCs w:val="24"/>
                <w:lang w:val="en-US" w:eastAsia="zh-CN"/>
                <w14:textFill>
                  <w14:solidFill>
                    <w14:schemeClr w14:val="tx1"/>
                  </w14:solidFill>
                </w14:textFill>
              </w:rPr>
              <w:t>核发的《云南省固定资产投资项目备案证》</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（备案号：</w:t>
            </w:r>
            <w:r>
              <w:rPr>
                <w:rFonts w:hint="eastAsia" w:eastAsia="宋体" w:cs="Times New Roman"/>
                <w:color w:val="000000" w:themeColor="text1"/>
                <w:sz w:val="24"/>
                <w:szCs w:val="24"/>
                <w:lang w:val="en-US" w:eastAsia="zh-CN"/>
                <w14:textFill>
                  <w14:solidFill>
                    <w14:schemeClr w14:val="tx1"/>
                  </w14:solidFill>
                </w14:textFill>
              </w:rPr>
              <w:t>2511-530426-04-02-334555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），同意</w:t>
            </w:r>
            <w:r>
              <w:rPr>
                <w:rFonts w:hint="eastAsia" w:eastAsia="宋体" w:cs="Times New Roman"/>
                <w:color w:val="000000" w:themeColor="text1"/>
                <w:sz w:val="24"/>
                <w:szCs w:val="24"/>
                <w:lang w:val="en-US" w:eastAsia="zh-CN"/>
                <w14:textFill>
                  <w14:solidFill>
                    <w14:schemeClr w14:val="tx1"/>
                  </w14:solidFill>
                </w14:textFill>
              </w:rPr>
              <w:t>项目建设。</w:t>
            </w:r>
          </w:p>
          <w:p w14:paraId="54DAAA91">
            <w:pPr>
              <w:pStyle w:val="51"/>
              <w:keepNext w:val="0"/>
              <w:keepLines w:val="0"/>
              <w:pageBreakBefore w:val="0"/>
              <w:widowControl w:val="0"/>
              <w:kinsoku/>
              <w:wordWrap w:val="0"/>
              <w:overflowPunct/>
              <w:topLinePunct w:val="0"/>
              <w:autoSpaceDE/>
              <w:autoSpaceDN/>
              <w:bidi w:val="0"/>
              <w:adjustRightInd/>
              <w:snapToGrid/>
              <w:ind w:left="0" w:leftChars="0" w:right="0" w:firstLine="480"/>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本项目锅炉废气经“低氮燃烧+旋风除尘+布袋除尘”设施处理后通过</w:t>
            </w:r>
            <w:r>
              <w:rPr>
                <w:rFonts w:hint="eastAsia" w:cs="Times New Roman"/>
                <w:color w:val="000000" w:themeColor="text1"/>
                <w:sz w:val="24"/>
                <w:lang w:val="en-US" w:eastAsia="zh-CN"/>
                <w14:textFill>
                  <w14:solidFill>
                    <w14:schemeClr w14:val="tx1"/>
                  </w14:solidFill>
                </w14:textFill>
              </w:rPr>
              <w:t>30m</w:t>
            </w:r>
            <w:r>
              <w:rPr>
                <w:rFonts w:hint="eastAsia" w:ascii="Times New Roman" w:hAnsi="Times New Roman" w:eastAsia="宋体" w:cs="Times New Roman"/>
                <w:color w:val="000000" w:themeColor="text1"/>
                <w:sz w:val="24"/>
                <w:lang w:val="en-US" w:eastAsia="zh-CN"/>
                <w14:textFill>
                  <w14:solidFill>
                    <w14:schemeClr w14:val="tx1"/>
                  </w14:solidFill>
                </w14:textFill>
              </w:rPr>
              <w:t>高排气筒DA001排放；有机废气经收集后通过“两级活性炭吸附装置”处理后通过15m高排气筒DA002排放；生活污水经化粪池、隔油池收集后进入一体化生活污水处理设施处理达标后回用于绿化，不外排。生产废水不外排。</w:t>
            </w:r>
          </w:p>
          <w:p w14:paraId="190EFF5C">
            <w:pPr>
              <w:pStyle w:val="51"/>
              <w:keepNext w:val="0"/>
              <w:pageBreakBefore w:val="0"/>
              <w:kinsoku/>
              <w:overflowPunct/>
              <w:topLinePunct w:val="0"/>
              <w:bidi w:val="0"/>
              <w:ind w:left="0" w:leftChars="0" w:right="0" w:firstLine="480"/>
              <w:rPr>
                <w:rFonts w:hint="default"/>
                <w:color w:val="000000" w:themeColor="text1"/>
                <w:sz w:val="24"/>
                <w:lang w:val="en-US" w:eastAsia="zh-CN"/>
                <w14:textFill>
                  <w14:solidFill>
                    <w14:schemeClr w14:val="tx1"/>
                  </w14:solidFill>
                </w14:textFill>
              </w:rPr>
            </w:pPr>
            <w:r>
              <w:rPr>
                <w:rFonts w:hint="default"/>
                <w:color w:val="000000" w:themeColor="text1"/>
                <w:sz w:val="24"/>
                <w:lang w:val="en-US" w:eastAsia="zh-CN"/>
                <w14:textFill>
                  <w14:solidFill>
                    <w14:schemeClr w14:val="tx1"/>
                  </w14:solidFill>
                </w14:textFill>
              </w:rPr>
              <w:t>项目选址不涉及自然保护区、风景旅游点、饮用水源地、文物古迹等需特殊保护的环境敏感</w:t>
            </w:r>
            <w:r>
              <w:rPr>
                <w:rFonts w:hint="eastAsia"/>
                <w:color w:val="000000" w:themeColor="text1"/>
                <w:sz w:val="24"/>
                <w:lang w:val="en-US" w:eastAsia="zh-CN"/>
                <w14:textFill>
                  <w14:solidFill>
                    <w14:schemeClr w14:val="tx1"/>
                  </w14:solidFill>
                </w14:textFill>
              </w:rPr>
              <w:t>对</w:t>
            </w:r>
            <w:r>
              <w:rPr>
                <w:rFonts w:hint="default"/>
                <w:color w:val="000000" w:themeColor="text1"/>
                <w:sz w:val="24"/>
                <w:lang w:val="en-US" w:eastAsia="zh-CN"/>
                <w14:textFill>
                  <w14:solidFill>
                    <w14:schemeClr w14:val="tx1"/>
                  </w14:solidFill>
                </w14:textFill>
              </w:rPr>
              <w:t>象，</w:t>
            </w:r>
            <w:r>
              <w:rPr>
                <w:rFonts w:hint="eastAsia"/>
                <w:color w:val="000000" w:themeColor="text1"/>
                <w:sz w:val="24"/>
                <w:lang w:val="en-US" w:eastAsia="zh-CN"/>
                <w14:textFill>
                  <w14:solidFill>
                    <w14:schemeClr w14:val="tx1"/>
                  </w14:solidFill>
                </w14:textFill>
              </w:rPr>
              <w:t>项目区最近关心点为东北侧约40m处的石花村，经预测分析，本项目对关心点的影响不大。</w:t>
            </w:r>
          </w:p>
          <w:p w14:paraId="3018712A">
            <w:pPr>
              <w:pStyle w:val="51"/>
              <w:keepNext w:val="0"/>
              <w:pageBreakBefore w:val="0"/>
              <w:kinsoku/>
              <w:overflowPunct/>
              <w:topLinePunct w:val="0"/>
              <w:bidi w:val="0"/>
              <w:ind w:left="0" w:leftChars="0" w:right="0" w:firstLine="480"/>
              <w:rPr>
                <w:rFonts w:hint="eastAsia"/>
                <w:color w:val="000000" w:themeColor="text1"/>
                <w:sz w:val="24"/>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本项目</w:t>
            </w:r>
            <w:r>
              <w:rPr>
                <w:rFonts w:hint="default"/>
                <w:color w:val="000000" w:themeColor="text1"/>
                <w:sz w:val="24"/>
                <w:lang w:val="en-US" w:eastAsia="zh-CN"/>
                <w14:textFill>
                  <w14:solidFill>
                    <w14:schemeClr w14:val="tx1"/>
                  </w14:solidFill>
                </w14:textFill>
              </w:rPr>
              <w:t>区域交通建设基本完善，</w:t>
            </w:r>
            <w:r>
              <w:rPr>
                <w:rFonts w:hint="eastAsia"/>
                <w:color w:val="000000" w:themeColor="text1"/>
                <w:sz w:val="24"/>
                <w:lang w:val="en-US" w:eastAsia="zh-CN"/>
                <w14:textFill>
                  <w14:solidFill>
                    <w14:schemeClr w14:val="tx1"/>
                  </w14:solidFill>
                </w14:textFill>
              </w:rPr>
              <w:t>水、电、物流等</w:t>
            </w:r>
            <w:r>
              <w:rPr>
                <w:rFonts w:hint="default"/>
                <w:color w:val="000000" w:themeColor="text1"/>
                <w:sz w:val="24"/>
                <w:lang w:val="en-US" w:eastAsia="zh-CN"/>
                <w14:textFill>
                  <w14:solidFill>
                    <w14:schemeClr w14:val="tx1"/>
                  </w14:solidFill>
                </w14:textFill>
              </w:rPr>
              <w:t>基础设施供应有保障，为项目建设提供了良好的条件</w:t>
            </w:r>
            <w:r>
              <w:rPr>
                <w:rFonts w:hint="eastAsia"/>
                <w:color w:val="000000" w:themeColor="text1"/>
                <w:sz w:val="24"/>
                <w:lang w:val="en-US" w:eastAsia="zh-CN"/>
                <w14:textFill>
                  <w14:solidFill>
                    <w14:schemeClr w14:val="tx1"/>
                  </w14:solidFill>
                </w14:textFill>
              </w:rPr>
              <w:t>。</w:t>
            </w:r>
            <w:r>
              <w:rPr>
                <w:rFonts w:hint="default"/>
                <w:color w:val="000000" w:themeColor="text1"/>
                <w:sz w:val="24"/>
                <w:lang w:val="en-US" w:eastAsia="zh-CN"/>
                <w14:textFill>
                  <w14:solidFill>
                    <w14:schemeClr w14:val="tx1"/>
                  </w14:solidFill>
                </w14:textFill>
              </w:rPr>
              <w:t>营运期间产生的污染物均采取了相应的防治措施，各项污染因素均能实现达标排放，不会降低区域环境功能等级</w:t>
            </w:r>
            <w:r>
              <w:rPr>
                <w:rFonts w:hint="eastAsia"/>
                <w:color w:val="000000" w:themeColor="text1"/>
                <w:sz w:val="24"/>
                <w:lang w:val="en-US" w:eastAsia="zh-CN"/>
                <w14:textFill>
                  <w14:solidFill>
                    <w14:schemeClr w14:val="tx1"/>
                  </w14:solidFill>
                </w14:textFill>
              </w:rPr>
              <w:t>，</w:t>
            </w:r>
            <w:r>
              <w:rPr>
                <w:rFonts w:hint="default"/>
                <w:color w:val="000000" w:themeColor="text1"/>
                <w:sz w:val="24"/>
                <w:lang w:val="en-US" w:eastAsia="zh-CN"/>
                <w14:textFill>
                  <w14:solidFill>
                    <w14:schemeClr w14:val="tx1"/>
                  </w14:solidFill>
                </w14:textFill>
              </w:rPr>
              <w:t>因此选址合理</w:t>
            </w:r>
            <w:r>
              <w:rPr>
                <w:rFonts w:hint="eastAsia"/>
                <w:color w:val="000000" w:themeColor="text1"/>
                <w:sz w:val="24"/>
                <w:lang w:eastAsia="zh-CN"/>
                <w14:textFill>
                  <w14:solidFill>
                    <w14:schemeClr w14:val="tx1"/>
                  </w14:solidFill>
                </w14:textFill>
              </w:rPr>
              <w:t>。</w:t>
            </w:r>
          </w:p>
          <w:p w14:paraId="5DB268EB">
            <w:pPr>
              <w:pStyle w:val="32"/>
              <w:keepNext w:val="0"/>
              <w:keepLines w:val="0"/>
              <w:pageBreakBefore w:val="0"/>
              <w:widowControl w:val="0"/>
              <w:kinsoku/>
              <w:wordWrap/>
              <w:overflowPunct/>
              <w:topLinePunct w:val="0"/>
              <w:autoSpaceDE/>
              <w:autoSpaceDN/>
              <w:bidi w:val="0"/>
              <w:adjustRightInd/>
              <w:snapToGrid/>
              <w:spacing w:after="0" w:line="360" w:lineRule="auto"/>
              <w:ind w:left="0" w:leftChars="0" w:firstLine="482"/>
              <w:textAlignment w:val="auto"/>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3</w:t>
            </w:r>
            <w:r>
              <w:rPr>
                <w:rFonts w:hint="eastAsia"/>
                <w:b/>
                <w:bCs/>
                <w:color w:val="000000" w:themeColor="text1"/>
                <w:sz w:val="24"/>
                <w14:textFill>
                  <w14:solidFill>
                    <w14:schemeClr w14:val="tx1"/>
                  </w14:solidFill>
                </w14:textFill>
              </w:rPr>
              <w:t>、项目与周边环境相容性分析</w:t>
            </w:r>
          </w:p>
          <w:p w14:paraId="5F04DB70">
            <w:pPr>
              <w:pStyle w:val="32"/>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lang w:val="en-US" w:eastAsia="zh-CN"/>
                <w14:textFill>
                  <w14:solidFill>
                    <w14:schemeClr w14:val="tx1"/>
                  </w14:solidFill>
                </w14:textFill>
              </w:rPr>
              <w:t>位于</w:t>
            </w:r>
            <w:r>
              <w:rPr>
                <w:rFonts w:hint="eastAsia" w:cs="Times New Roman"/>
                <w:color w:val="000000" w:themeColor="text1"/>
                <w:sz w:val="24"/>
                <w:lang w:val="en-US" w:eastAsia="zh-CN"/>
                <w14:textFill>
                  <w14:solidFill>
                    <w14:schemeClr w14:val="tx1"/>
                  </w14:solidFill>
                </w14:textFill>
              </w:rPr>
              <w:t>云南红塔产业园区</w:t>
            </w:r>
            <w:r>
              <w:rPr>
                <w:rFonts w:hint="eastAsia" w:ascii="Times New Roman" w:hAnsi="Times New Roman" w:eastAsia="宋体" w:cs="Times New Roman"/>
                <w:color w:val="000000" w:themeColor="text1"/>
                <w:sz w:val="24"/>
                <w:lang w:val="en-US" w:eastAsia="zh-CN"/>
                <w14:textFill>
                  <w14:solidFill>
                    <w14:schemeClr w14:val="tx1"/>
                  </w14:solidFill>
                </w14:textFill>
              </w:rPr>
              <w:t>研和片区双小地块，</w:t>
            </w:r>
            <w:r>
              <w:rPr>
                <w:rFonts w:hint="eastAsia" w:ascii="Times New Roman" w:hAnsi="Times New Roman" w:eastAsia="宋体" w:cs="Times New Roman"/>
                <w:color w:val="000000" w:themeColor="text1"/>
                <w:sz w:val="24"/>
                <w:lang w:eastAsia="zh-CN"/>
                <w14:textFill>
                  <w14:solidFill>
                    <w14:schemeClr w14:val="tx1"/>
                  </w14:solidFill>
                </w14:textFill>
              </w:rPr>
              <w:t>原云南省峨山恒丰钢铁公司闲置土地，</w:t>
            </w:r>
            <w:r>
              <w:rPr>
                <w:rFonts w:hint="eastAsia"/>
                <w:color w:val="000000" w:themeColor="text1"/>
                <w:sz w:val="24"/>
                <w14:textFill>
                  <w14:solidFill>
                    <w14:schemeClr w14:val="tx1"/>
                  </w14:solidFill>
                </w14:textFill>
              </w:rPr>
              <w:t>项目西北侧</w:t>
            </w:r>
            <w:r>
              <w:rPr>
                <w:rFonts w:hint="eastAsia"/>
                <w:color w:val="000000" w:themeColor="text1"/>
                <w:sz w:val="24"/>
                <w:lang w:val="en-US" w:eastAsia="zh-CN"/>
                <w14:textFill>
                  <w14:solidFill>
                    <w14:schemeClr w14:val="tx1"/>
                  </w14:solidFill>
                </w14:textFill>
              </w:rPr>
              <w:t>150</w:t>
            </w:r>
            <w:r>
              <w:rPr>
                <w:rFonts w:hint="eastAsia"/>
                <w:color w:val="000000" w:themeColor="text1"/>
                <w:sz w:val="24"/>
                <w14:textFill>
                  <w14:solidFill>
                    <w14:schemeClr w14:val="tx1"/>
                  </w14:solidFill>
                </w14:textFill>
              </w:rPr>
              <w:t>m处为峨山县粮食购销公司石花粮库，本项目属于为</w:t>
            </w:r>
            <w:r>
              <w:rPr>
                <w:rFonts w:hint="eastAsia"/>
                <w:color w:val="000000" w:themeColor="text1"/>
                <w:sz w:val="24"/>
                <w:lang w:eastAsia="zh-CN"/>
                <w14:textFill>
                  <w14:solidFill>
                    <w14:schemeClr w14:val="tx1"/>
                  </w14:solidFill>
                </w14:textFill>
              </w:rPr>
              <w:t>锅炉及环保设施技改项目</w:t>
            </w:r>
            <w:r>
              <w:rPr>
                <w:rFonts w:hint="eastAsia"/>
                <w:color w:val="000000" w:themeColor="text1"/>
                <w:sz w:val="24"/>
                <w14:textFill>
                  <w14:solidFill>
                    <w14:schemeClr w14:val="tx1"/>
                  </w14:solidFill>
                </w14:textFill>
              </w:rPr>
              <w:t>，主要废气污染物为颗粒物</w:t>
            </w:r>
            <w:r>
              <w:rPr>
                <w:rFonts w:hint="eastAsia"/>
                <w:color w:val="000000" w:themeColor="text1"/>
                <w:sz w:val="24"/>
                <w:lang w:eastAsia="zh-CN"/>
                <w14:textFill>
                  <w14:solidFill>
                    <w14:schemeClr w14:val="tx1"/>
                  </w14:solidFill>
                </w14:textFill>
              </w:rPr>
              <w:t>、二氧化硫、氮氧化物、非甲烷总烃等有机废气</w:t>
            </w:r>
            <w:r>
              <w:rPr>
                <w:rFonts w:hint="eastAsia"/>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eastAsia="zh-CN"/>
                <w14:textFill>
                  <w14:solidFill>
                    <w14:schemeClr w14:val="tx1"/>
                  </w14:solidFill>
                </w14:textFill>
              </w:rPr>
              <w:t>经对照《</w:t>
            </w:r>
            <w:r>
              <w:rPr>
                <w:rFonts w:ascii="Times New Roman" w:hAnsi="Times New Roman" w:eastAsia="宋体" w:cs="Times New Roman"/>
                <w:color w:val="000000" w:themeColor="text1"/>
                <w:sz w:val="24"/>
                <w14:textFill>
                  <w14:solidFill>
                    <w14:schemeClr w14:val="tx1"/>
                  </w14:solidFill>
                </w14:textFill>
              </w:rPr>
              <w:t>关于发布《有毒有害大气污染物名录（2018年）》的公告</w:t>
            </w:r>
            <w:r>
              <w:rPr>
                <w:rFonts w:hint="eastAsia" w:ascii="Times New Roman" w:hAnsi="Times New Roman" w:eastAsia="宋体" w:cs="Times New Roman"/>
                <w:color w:val="000000" w:themeColor="text1"/>
                <w:sz w:val="24"/>
                <w:lang w:eastAsia="zh-CN"/>
                <w14:textFill>
                  <w14:solidFill>
                    <w14:schemeClr w14:val="tx1"/>
                  </w14:solidFill>
                </w14:textFill>
              </w:rPr>
              <w:t>》（生态环境部公告</w:t>
            </w:r>
            <w:r>
              <w:rPr>
                <w:rFonts w:hint="eastAsia" w:ascii="Times New Roman" w:hAnsi="Times New Roman" w:eastAsia="宋体" w:cs="Times New Roman"/>
                <w:color w:val="000000" w:themeColor="text1"/>
                <w:sz w:val="24"/>
                <w:lang w:val="en-US" w:eastAsia="zh-CN"/>
                <w14:textFill>
                  <w14:solidFill>
                    <w14:schemeClr w14:val="tx1"/>
                  </w14:solidFill>
                </w14:textFill>
              </w:rPr>
              <w:t>2019第4号</w:t>
            </w:r>
            <w:r>
              <w:rPr>
                <w:rFonts w:hint="eastAsia" w:ascii="Times New Roman" w:hAnsi="Times New Roman" w:eastAsia="宋体" w:cs="Times New Roman"/>
                <w:color w:val="000000" w:themeColor="text1"/>
                <w:sz w:val="24"/>
                <w:lang w:eastAsia="zh-CN"/>
                <w14:textFill>
                  <w14:solidFill>
                    <w14:schemeClr w14:val="tx1"/>
                  </w14:solidFill>
                </w14:textFill>
              </w:rPr>
              <w:t>），本项目不涉及有毒有害大气污染物。</w:t>
            </w:r>
            <w:r>
              <w:rPr>
                <w:rFonts w:hint="eastAsia" w:cs="Times New Roman"/>
                <w:color w:val="000000" w:themeColor="text1"/>
                <w:sz w:val="24"/>
                <w:szCs w:val="24"/>
                <w:lang w:val="en-US" w:eastAsia="zh-CN"/>
                <w14:textFill>
                  <w14:solidFill>
                    <w14:schemeClr w14:val="tx1"/>
                  </w14:solidFill>
                </w14:textFill>
              </w:rPr>
              <w:t>本项目</w:t>
            </w:r>
            <w:r>
              <w:rPr>
                <w:rFonts w:hint="eastAsia"/>
                <w:color w:val="000000" w:themeColor="text1"/>
                <w:sz w:val="24"/>
                <w:lang w:val="en-US" w:eastAsia="zh-CN"/>
                <w14:textFill>
                  <w14:solidFill>
                    <w14:schemeClr w14:val="tx1"/>
                  </w14:solidFill>
                </w14:textFill>
              </w:rPr>
              <w:t>将原有2t/h燃煤锅炉拆除更换3t/h生物质锅炉；原有有机废气无组织排放，本项目新增“两级活性炭吸附装置”处理有机废气，经处理后通过排气筒DA002排放。本项目的建设对环境有正效益，进一步降低了原有污染物对外环境的影响，</w:t>
            </w:r>
            <w:r>
              <w:rPr>
                <w:rFonts w:hint="eastAsia" w:ascii="Times New Roman" w:hAnsi="Times New Roman" w:eastAsia="宋体" w:cs="Times New Roman"/>
                <w:color w:val="000000" w:themeColor="text1"/>
                <w:sz w:val="24"/>
                <w:lang w:eastAsia="zh-CN"/>
                <w14:textFill>
                  <w14:solidFill>
                    <w14:schemeClr w14:val="tx1"/>
                  </w14:solidFill>
                </w14:textFill>
              </w:rPr>
              <w:t>本项目的建设对</w:t>
            </w:r>
            <w:r>
              <w:rPr>
                <w:rFonts w:hint="eastAsia"/>
                <w:color w:val="000000" w:themeColor="text1"/>
                <w:sz w:val="24"/>
                <w14:textFill>
                  <w14:solidFill>
                    <w14:schemeClr w14:val="tx1"/>
                  </w14:solidFill>
                </w14:textFill>
              </w:rPr>
              <w:t>峨山县粮食购销公司石花粮库</w:t>
            </w:r>
            <w:r>
              <w:rPr>
                <w:rFonts w:hint="eastAsia" w:ascii="Times New Roman" w:hAnsi="Times New Roman" w:eastAsia="宋体" w:cs="Times New Roman"/>
                <w:color w:val="000000" w:themeColor="text1"/>
                <w:sz w:val="24"/>
                <w:lang w:eastAsia="zh-CN"/>
                <w14:textFill>
                  <w14:solidFill>
                    <w14:schemeClr w14:val="tx1"/>
                  </w14:solidFill>
                </w14:textFill>
              </w:rPr>
              <w:t>影响不大</w:t>
            </w:r>
            <w:r>
              <w:rPr>
                <w:rFonts w:hint="eastAsia"/>
                <w:color w:val="000000" w:themeColor="text1"/>
                <w:sz w:val="24"/>
                <w14:textFill>
                  <w14:solidFill>
                    <w14:schemeClr w14:val="tx1"/>
                  </w14:solidFill>
                </w14:textFill>
              </w:rPr>
              <w:t>。</w:t>
            </w:r>
          </w:p>
          <w:p w14:paraId="65778161">
            <w:pPr>
              <w:pStyle w:val="32"/>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项目西南侧1</w:t>
            </w:r>
            <w:r>
              <w:rPr>
                <w:rFonts w:hint="eastAsia" w:ascii="Times New Roman" w:hAnsi="Times New Roman" w:eastAsia="宋体" w:cs="Times New Roman"/>
                <w:color w:val="000000" w:themeColor="text1"/>
                <w:sz w:val="24"/>
                <w:lang w:val="en-US" w:eastAsia="zh-CN"/>
                <w14:textFill>
                  <w14:solidFill>
                    <w14:schemeClr w14:val="tx1"/>
                  </w14:solidFill>
                </w14:textFill>
              </w:rPr>
              <w:t>9</w:t>
            </w:r>
            <w:r>
              <w:rPr>
                <w:rFonts w:hint="eastAsia" w:ascii="Times New Roman" w:hAnsi="Times New Roman" w:eastAsia="宋体" w:cs="Times New Roman"/>
                <w:color w:val="000000" w:themeColor="text1"/>
                <w:sz w:val="24"/>
                <w14:textFill>
                  <w14:solidFill>
                    <w14:schemeClr w14:val="tx1"/>
                  </w14:solidFill>
                </w14:textFill>
              </w:rPr>
              <w:t>0m处为峨山第二自来水厂，该自来水厂目前暂未运行，根据相关资料，峨山第二自来水厂水源为绿冲河河水，第二自来水厂面向县城高区和大化园区金水片区</w:t>
            </w:r>
            <w:r>
              <w:rPr>
                <w:rFonts w:hint="eastAsia" w:ascii="Times New Roman" w:hAnsi="Times New Roman" w:eastAsia="宋体" w:cs="Times New Roman"/>
                <w:color w:val="000000" w:themeColor="text1"/>
                <w:sz w:val="24"/>
                <w:lang w:eastAsia="zh-CN"/>
                <w14:textFill>
                  <w14:solidFill>
                    <w14:schemeClr w14:val="tx1"/>
                  </w14:solidFill>
                </w14:textFill>
              </w:rPr>
              <w:t>（现双小地块）</w:t>
            </w:r>
            <w:r>
              <w:rPr>
                <w:rFonts w:hint="eastAsia" w:ascii="Times New Roman" w:hAnsi="Times New Roman" w:eastAsia="宋体" w:cs="Times New Roman"/>
                <w:color w:val="000000" w:themeColor="text1"/>
                <w:sz w:val="24"/>
                <w14:textFill>
                  <w14:solidFill>
                    <w14:schemeClr w14:val="tx1"/>
                  </w14:solidFill>
                </w14:textFill>
              </w:rPr>
              <w:t>供水；远期待滇中引水工程建设完成后，滇中引水工程可作为第二自来水厂水源。根据《生活饮用水集中式供水单位卫生规范》（</w:t>
            </w:r>
            <w:r>
              <w:rPr>
                <w:rFonts w:hint="eastAsia" w:cs="Times New Roman"/>
                <w:color w:val="000000" w:themeColor="text1"/>
                <w:sz w:val="24"/>
                <w:lang w:eastAsia="zh-CN"/>
                <w14:textFill>
                  <w14:solidFill>
                    <w14:schemeClr w14:val="tx1"/>
                  </w14:solidFill>
                </w14:textFill>
              </w:rPr>
              <w:t>原卫生部</w:t>
            </w:r>
            <w:r>
              <w:rPr>
                <w:rFonts w:hint="eastAsia" w:cs="Times New Roman"/>
                <w:color w:val="000000" w:themeColor="text1"/>
                <w:sz w:val="24"/>
                <w:lang w:val="en-US" w:eastAsia="zh-CN"/>
                <w14:textFill>
                  <w14:solidFill>
                    <w14:schemeClr w14:val="tx1"/>
                  </w14:solidFill>
                </w14:textFill>
              </w:rPr>
              <w:t>2001.10.01起实施</w:t>
            </w:r>
            <w:r>
              <w:rPr>
                <w:rFonts w:hint="eastAsia" w:ascii="Times New Roman" w:hAnsi="Times New Roman" w:eastAsia="宋体" w:cs="Times New Roman"/>
                <w:color w:val="000000" w:themeColor="text1"/>
                <w:sz w:val="24"/>
                <w14:textFill>
                  <w14:solidFill>
                    <w14:schemeClr w14:val="tx1"/>
                  </w14:solidFill>
                </w14:textFill>
              </w:rPr>
              <w:t>）中</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14:textFill>
                  <w14:solidFill>
                    <w14:schemeClr w14:val="tx1"/>
                  </w14:solidFill>
                </w14:textFill>
              </w:rPr>
              <w:t>第二十六条 集中式供水单位应划定生产区的范围。生产区外围30米范围内应保持良好的卫生状况，不得设置生活居住区，不得修建渗水厕所和渗水坑，不得堆放垃圾、粪便、废渣和铺设污水渠道。</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14:textFill>
                  <w14:solidFill>
                    <w14:schemeClr w14:val="tx1"/>
                  </w14:solidFill>
                </w14:textFill>
              </w:rPr>
              <w:t>本项目距离第二自来水厂1</w:t>
            </w:r>
            <w:r>
              <w:rPr>
                <w:rFonts w:hint="eastAsia" w:ascii="Times New Roman" w:hAnsi="Times New Roman" w:eastAsia="宋体" w:cs="Times New Roman"/>
                <w:color w:val="000000" w:themeColor="text1"/>
                <w:sz w:val="24"/>
                <w:lang w:val="en-US" w:eastAsia="zh-CN"/>
                <w14:textFill>
                  <w14:solidFill>
                    <w14:schemeClr w14:val="tx1"/>
                  </w14:solidFill>
                </w14:textFill>
              </w:rPr>
              <w:t>9</w:t>
            </w:r>
            <w:r>
              <w:rPr>
                <w:rFonts w:hint="eastAsia" w:ascii="Times New Roman" w:hAnsi="Times New Roman" w:eastAsia="宋体" w:cs="Times New Roman"/>
                <w:color w:val="000000" w:themeColor="text1"/>
                <w:sz w:val="24"/>
                <w14:textFill>
                  <w14:solidFill>
                    <w14:schemeClr w14:val="tx1"/>
                  </w14:solidFill>
                </w14:textFill>
              </w:rPr>
              <w:t>0m，且本项目位于其下风向，故本项目对第二自来水厂影响较小。</w:t>
            </w:r>
          </w:p>
          <w:p w14:paraId="4CAC41CC">
            <w:pPr>
              <w:pStyle w:val="32"/>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综上所述，本项目的建设对周边外环境影响较小，项目建设不会降低和改变该区域的环境质量和环境功能。</w:t>
            </w:r>
          </w:p>
          <w:p w14:paraId="25603698">
            <w:pPr>
              <w:pStyle w:val="32"/>
              <w:keepNext w:val="0"/>
              <w:keepLines w:val="0"/>
              <w:pageBreakBefore w:val="0"/>
              <w:widowControl w:val="0"/>
              <w:kinsoku/>
              <w:wordWrap/>
              <w:overflowPunct/>
              <w:topLinePunct w:val="0"/>
              <w:autoSpaceDE/>
              <w:autoSpaceDN/>
              <w:bidi w:val="0"/>
              <w:adjustRightInd/>
              <w:snapToGrid/>
              <w:spacing w:after="0" w:line="360" w:lineRule="auto"/>
              <w:ind w:left="0" w:leftChars="0" w:firstLine="482"/>
              <w:textAlignment w:val="auto"/>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4</w:t>
            </w:r>
            <w:r>
              <w:rPr>
                <w:b/>
                <w:bCs/>
                <w:color w:val="000000" w:themeColor="text1"/>
                <w:sz w:val="24"/>
                <w14:textFill>
                  <w14:solidFill>
                    <w14:schemeClr w14:val="tx1"/>
                  </w14:solidFill>
                </w14:textFill>
              </w:rPr>
              <w:t>、平面布局合理性分析</w:t>
            </w:r>
          </w:p>
          <w:p w14:paraId="65045F92">
            <w:pPr>
              <w:pStyle w:val="32"/>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eastAsia="宋体"/>
                <w:color w:val="000000" w:themeColor="text1"/>
                <w:sz w:val="24"/>
                <w:lang w:eastAsia="zh-CN"/>
                <w14:textFill>
                  <w14:solidFill>
                    <w14:schemeClr w14:val="tx1"/>
                  </w14:solidFill>
                </w14:textFill>
              </w:rPr>
            </w:pPr>
            <w:r>
              <w:rPr>
                <w:color w:val="000000" w:themeColor="text1"/>
                <w:sz w:val="24"/>
                <w14:textFill>
                  <w14:solidFill>
                    <w14:schemeClr w14:val="tx1"/>
                  </w14:solidFill>
                </w14:textFill>
              </w:rPr>
              <w:t>根据项目总平面布置图，</w:t>
            </w:r>
            <w:r>
              <w:rPr>
                <w:rFonts w:hint="eastAsia" w:ascii="Times New Roman" w:hAnsi="Times New Roman" w:eastAsia="宋体" w:cs="Times New Roman"/>
                <w:color w:val="000000" w:themeColor="text1"/>
                <w:sz w:val="24"/>
                <w:lang w:eastAsia="zh-CN"/>
                <w14:textFill>
                  <w14:solidFill>
                    <w14:schemeClr w14:val="tx1"/>
                  </w14:solidFill>
                </w14:textFill>
              </w:rPr>
              <w:t>峨山县文邦</w:t>
            </w:r>
            <w:r>
              <w:rPr>
                <w:rFonts w:hint="default" w:ascii="Times New Roman" w:hAnsi="Times New Roman" w:eastAsia="宋体" w:cs="Times New Roman"/>
                <w:color w:val="000000" w:themeColor="text1"/>
                <w:sz w:val="24"/>
                <w:lang w:eastAsia="zh-CN"/>
                <w14:textFill>
                  <w14:solidFill>
                    <w14:schemeClr w14:val="tx1"/>
                  </w14:solidFill>
                </w14:textFill>
              </w:rPr>
              <w:t>包装制品有限公司</w:t>
            </w:r>
            <w:r>
              <w:rPr>
                <w:rFonts w:hint="eastAsia" w:ascii="Times New Roman" w:hAnsi="Times New Roman" w:eastAsia="宋体" w:cs="Times New Roman"/>
                <w:color w:val="000000" w:themeColor="text1"/>
                <w:sz w:val="24"/>
                <w:lang w:eastAsia="zh-CN"/>
                <w14:textFill>
                  <w14:solidFill>
                    <w14:schemeClr w14:val="tx1"/>
                  </w14:solidFill>
                </w14:textFill>
              </w:rPr>
              <w:t>厂区范围大致呈矩形</w:t>
            </w:r>
            <w:r>
              <w:rPr>
                <w:rFonts w:hint="eastAsia"/>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厂区自西向东依次布设办公室、仓库、生产车间、锅炉房。根据调查，</w:t>
            </w:r>
            <w:r>
              <w:rPr>
                <w:rFonts w:hint="eastAsia"/>
                <w:color w:val="000000" w:themeColor="text1"/>
                <w:sz w:val="24"/>
                <w14:textFill>
                  <w14:solidFill>
                    <w14:schemeClr w14:val="tx1"/>
                  </w14:solidFill>
                </w14:textFill>
              </w:rPr>
              <w:t>生产车间内自</w:t>
            </w:r>
            <w:r>
              <w:rPr>
                <w:rFonts w:hint="eastAsia"/>
                <w:color w:val="000000" w:themeColor="text1"/>
                <w:sz w:val="24"/>
                <w:lang w:eastAsia="zh-CN"/>
                <w14:textFill>
                  <w14:solidFill>
                    <w14:schemeClr w14:val="tx1"/>
                  </w14:solidFill>
                </w14:textFill>
              </w:rPr>
              <w:t>西</w:t>
            </w:r>
            <w:r>
              <w:rPr>
                <w:rFonts w:hint="eastAsia"/>
                <w:color w:val="000000" w:themeColor="text1"/>
                <w:sz w:val="24"/>
                <w14:textFill>
                  <w14:solidFill>
                    <w14:schemeClr w14:val="tx1"/>
                  </w14:solidFill>
                </w14:textFill>
              </w:rPr>
              <w:t>向</w:t>
            </w:r>
            <w:r>
              <w:rPr>
                <w:rFonts w:hint="eastAsia"/>
                <w:color w:val="000000" w:themeColor="text1"/>
                <w:sz w:val="24"/>
                <w:lang w:eastAsia="zh-CN"/>
                <w14:textFill>
                  <w14:solidFill>
                    <w14:schemeClr w14:val="tx1"/>
                  </w14:solidFill>
                </w14:textFill>
              </w:rPr>
              <w:t>东</w:t>
            </w:r>
            <w:r>
              <w:rPr>
                <w:rFonts w:hint="eastAsia"/>
                <w:color w:val="000000" w:themeColor="text1"/>
                <w:sz w:val="24"/>
                <w14:textFill>
                  <w14:solidFill>
                    <w14:schemeClr w14:val="tx1"/>
                  </w14:solidFill>
                </w14:textFill>
              </w:rPr>
              <w:t>依次布设</w:t>
            </w:r>
            <w:r>
              <w:rPr>
                <w:rFonts w:hint="eastAsia"/>
                <w:color w:val="000000" w:themeColor="text1"/>
                <w:sz w:val="24"/>
                <w:lang w:eastAsia="zh-CN"/>
                <w14:textFill>
                  <w14:solidFill>
                    <w14:schemeClr w14:val="tx1"/>
                  </w14:solidFill>
                </w14:textFill>
              </w:rPr>
              <w:t>成品区、生产区、烘干区、原料区。本项目新增一体化污水处理设施、新增中水池位于项目区北侧卫生间旁。本项目新增有机废气治理设施及排放口位于生产车间内东南侧生产区旁。</w:t>
            </w:r>
          </w:p>
          <w:p w14:paraId="7D1054F2">
            <w:pPr>
              <w:pStyle w:val="32"/>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办公区均设置于</w:t>
            </w:r>
            <w:r>
              <w:rPr>
                <w:rFonts w:hint="eastAsia"/>
                <w:color w:val="000000" w:themeColor="text1"/>
                <w:sz w:val="24"/>
                <w:lang w:eastAsia="zh-CN"/>
                <w14:textFill>
                  <w14:solidFill>
                    <w14:schemeClr w14:val="tx1"/>
                  </w14:solidFill>
                </w14:textFill>
              </w:rPr>
              <w:t>生产车间</w:t>
            </w:r>
            <w:r>
              <w:rPr>
                <w:color w:val="000000" w:themeColor="text1"/>
                <w:sz w:val="24"/>
                <w14:textFill>
                  <w14:solidFill>
                    <w14:schemeClr w14:val="tx1"/>
                  </w14:solidFill>
                </w14:textFill>
              </w:rPr>
              <w:t>上风向，各生产区产生的粉尘经采取措施后对各办公区影响较小，办公区周围种植绿化以阻滞灰尘。项目区内功能分区明确，布局合理</w:t>
            </w:r>
            <w:r>
              <w:rPr>
                <w:rFonts w:hint="eastAsia"/>
                <w:color w:val="000000" w:themeColor="text1"/>
                <w:sz w:val="24"/>
                <w14:textFill>
                  <w14:solidFill>
                    <w14:schemeClr w14:val="tx1"/>
                  </w14:solidFill>
                </w14:textFill>
              </w:rPr>
              <w:t>。</w:t>
            </w:r>
          </w:p>
          <w:p w14:paraId="226BB14A">
            <w:pPr>
              <w:pStyle w:val="32"/>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本项目厂区总平面布置详见附图</w:t>
            </w:r>
            <w:r>
              <w:rPr>
                <w:rFonts w:hint="eastAsia"/>
                <w:color w:val="000000" w:themeColor="text1"/>
                <w:sz w:val="24"/>
                <w14:textFill>
                  <w14:solidFill>
                    <w14:schemeClr w14:val="tx1"/>
                  </w14:solidFill>
                </w14:textFill>
              </w:rPr>
              <w:t>。</w:t>
            </w:r>
          </w:p>
          <w:p w14:paraId="147C18C8">
            <w:pPr>
              <w:pStyle w:val="3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2"/>
              <w:jc w:val="left"/>
              <w:textAlignment w:val="center"/>
              <w:rPr>
                <w:rFonts w:hint="default" w:ascii="Times New Roman" w:hAnsi="Times New Roman" w:cs="Times New Roman"/>
                <w:b/>
                <w:bCs/>
                <w:color w:val="000000" w:themeColor="text1"/>
                <w:sz w:val="24"/>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5</w:t>
            </w:r>
            <w:r>
              <w:rPr>
                <w:rFonts w:hint="default" w:ascii="Times New Roman" w:hAnsi="Times New Roman" w:cs="Times New Roman"/>
                <w:b/>
                <w:bCs/>
                <w:color w:val="000000" w:themeColor="text1"/>
                <w:sz w:val="24"/>
                <w14:textFill>
                  <w14:solidFill>
                    <w14:schemeClr w14:val="tx1"/>
                  </w14:solidFill>
                </w14:textFill>
              </w:rPr>
              <w:t>、</w:t>
            </w:r>
            <w:r>
              <w:rPr>
                <w:rFonts w:hint="default" w:ascii="Times New Roman" w:hAnsi="Times New Roman" w:cs="Times New Roman"/>
                <w:b/>
                <w:bCs/>
                <w:color w:val="000000" w:themeColor="text1"/>
                <w:sz w:val="24"/>
                <w:lang w:eastAsia="zh-CN"/>
                <w14:textFill>
                  <w14:solidFill>
                    <w14:schemeClr w14:val="tx1"/>
                  </w14:solidFill>
                </w14:textFill>
              </w:rPr>
              <w:t>与</w:t>
            </w:r>
            <w:r>
              <w:rPr>
                <w:rFonts w:hint="default" w:ascii="Times New Roman" w:hAnsi="Times New Roman" w:cs="Times New Roman"/>
                <w:b/>
                <w:bCs/>
                <w:color w:val="000000" w:themeColor="text1"/>
                <w:sz w:val="24"/>
                <w:lang w:val="en-US" w:eastAsia="zh-CN"/>
                <w14:textFill>
                  <w14:solidFill>
                    <w14:schemeClr w14:val="tx1"/>
                  </w14:solidFill>
                </w14:textFill>
              </w:rPr>
              <w:t>《玉溪市生态环境局关于印发玉溪市生态环境分区管控动态更新调整方案（2023年）的通知》（玉市环</w:t>
            </w:r>
            <w:r>
              <w:rPr>
                <w:rFonts w:hint="default" w:ascii="Times New Roman" w:hAnsi="Times New Roman" w:eastAsia="宋体" w:cs="Times New Roman"/>
                <w:b/>
                <w:bCs/>
                <w:color w:val="000000" w:themeColor="text1"/>
                <w:sz w:val="24"/>
                <w:lang w:val="en-US" w:eastAsia="zh-CN"/>
                <w14:textFill>
                  <w14:solidFill>
                    <w14:schemeClr w14:val="tx1"/>
                  </w14:solidFill>
                </w14:textFill>
              </w:rPr>
              <w:t>〔202</w:t>
            </w:r>
            <w:r>
              <w:rPr>
                <w:rFonts w:hint="default" w:ascii="Times New Roman" w:hAnsi="Times New Roman" w:cs="Times New Roman"/>
                <w:b/>
                <w:bCs/>
                <w:color w:val="000000" w:themeColor="text1"/>
                <w:sz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lang w:val="en-US" w:eastAsia="zh-CN"/>
                <w14:textFill>
                  <w14:solidFill>
                    <w14:schemeClr w14:val="tx1"/>
                  </w14:solidFill>
                </w14:textFill>
              </w:rPr>
              <w:t>〕</w:t>
            </w:r>
            <w:r>
              <w:rPr>
                <w:rFonts w:hint="default" w:ascii="Times New Roman" w:hAnsi="Times New Roman" w:cs="Times New Roman"/>
                <w:b/>
                <w:bCs/>
                <w:color w:val="000000" w:themeColor="text1"/>
                <w:sz w:val="24"/>
                <w:lang w:val="en-US" w:eastAsia="zh-CN"/>
                <w14:textFill>
                  <w14:solidFill>
                    <w14:schemeClr w14:val="tx1"/>
                  </w14:solidFill>
                </w14:textFill>
              </w:rPr>
              <w:t>40号）</w:t>
            </w:r>
            <w:r>
              <w:rPr>
                <w:rFonts w:hint="default" w:ascii="Times New Roman" w:hAnsi="Times New Roman" w:cs="Times New Roman"/>
                <w:b/>
                <w:bCs/>
                <w:color w:val="000000" w:themeColor="text1"/>
                <w:sz w:val="24"/>
                <w14:textFill>
                  <w14:solidFill>
                    <w14:schemeClr w14:val="tx1"/>
                  </w14:solidFill>
                </w14:textFill>
              </w:rPr>
              <w:t>符合性分析</w:t>
            </w:r>
          </w:p>
          <w:p w14:paraId="49DF04A5">
            <w:pPr>
              <w:keepNext w:val="0"/>
              <w:keepLines w:val="0"/>
              <w:pageBreakBefore w:val="0"/>
              <w:widowControl w:val="0"/>
              <w:kinsoku/>
              <w:wordWrap w:val="0"/>
              <w:overflowPunct/>
              <w:topLinePunct w:val="0"/>
              <w:autoSpaceDE/>
              <w:autoSpaceDN/>
              <w:bidi w:val="0"/>
              <w:adjustRightInd/>
              <w:snapToGrid/>
              <w:spacing w:line="360" w:lineRule="auto"/>
              <w:ind w:left="0" w:leftChars="0" w:right="0" w:firstLine="480" w:firstLineChars="200"/>
              <w:jc w:val="left"/>
              <w:textAlignment w:val="auto"/>
              <w:rPr>
                <w:b/>
                <w:bCs/>
                <w:color w:val="000000" w:themeColor="text1"/>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根据202</w:t>
            </w:r>
            <w:r>
              <w:rPr>
                <w:rFonts w:hint="eastAsia" w:cs="Times New Roman"/>
                <w:color w:val="000000" w:themeColor="text1"/>
                <w:sz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lang w:val="en-US" w:eastAsia="zh-CN"/>
                <w14:textFill>
                  <w14:solidFill>
                    <w14:schemeClr w14:val="tx1"/>
                  </w14:solidFill>
                </w14:textFill>
              </w:rPr>
              <w:t>年</w:t>
            </w:r>
            <w:r>
              <w:rPr>
                <w:rFonts w:hint="eastAsia" w:cs="Times New Roman"/>
                <w:color w:val="000000" w:themeColor="text1"/>
                <w:sz w:val="24"/>
                <w:lang w:val="en-US" w:eastAsia="zh-CN"/>
                <w14:textFill>
                  <w14:solidFill>
                    <w14:schemeClr w14:val="tx1"/>
                  </w14:solidFill>
                </w14:textFill>
              </w:rPr>
              <w:t>6</w:t>
            </w:r>
            <w:r>
              <w:rPr>
                <w:rFonts w:hint="eastAsia" w:ascii="Times New Roman" w:hAnsi="Times New Roman" w:eastAsia="宋体" w:cs="Times New Roman"/>
                <w:color w:val="000000" w:themeColor="text1"/>
                <w:sz w:val="24"/>
                <w:lang w:val="en-US" w:eastAsia="zh-CN"/>
                <w14:textFill>
                  <w14:solidFill>
                    <w14:schemeClr w14:val="tx1"/>
                  </w14:solidFill>
                </w14:textFill>
              </w:rPr>
              <w:t>月</w:t>
            </w:r>
            <w:r>
              <w:rPr>
                <w:rFonts w:hint="eastAsia" w:cs="Times New Roman"/>
                <w:color w:val="000000" w:themeColor="text1"/>
                <w:sz w:val="24"/>
                <w:lang w:val="en-US" w:eastAsia="zh-CN"/>
                <w14:textFill>
                  <w14:solidFill>
                    <w14:schemeClr w14:val="tx1"/>
                  </w14:solidFill>
                </w14:textFill>
              </w:rPr>
              <w:t>7</w:t>
            </w:r>
            <w:r>
              <w:rPr>
                <w:rFonts w:hint="eastAsia" w:ascii="Times New Roman" w:hAnsi="Times New Roman" w:eastAsia="宋体" w:cs="Times New Roman"/>
                <w:color w:val="000000" w:themeColor="text1"/>
                <w:sz w:val="24"/>
                <w:lang w:val="en-US" w:eastAsia="zh-CN"/>
                <w14:textFill>
                  <w14:solidFill>
                    <w14:schemeClr w14:val="tx1"/>
                  </w14:solidFill>
                </w14:textFill>
              </w:rPr>
              <w:t>日</w:t>
            </w:r>
            <w:r>
              <w:rPr>
                <w:rFonts w:hint="eastAsia" w:cs="Times New Roman"/>
                <w:color w:val="000000" w:themeColor="text1"/>
                <w:sz w:val="24"/>
                <w:lang w:val="en-US" w:eastAsia="zh-CN"/>
                <w14:textFill>
                  <w14:solidFill>
                    <w14:schemeClr w14:val="tx1"/>
                  </w14:solidFill>
                </w14:textFill>
              </w:rPr>
              <w:t>玉溪市生态环境局发布的《玉溪市生态环境局</w:t>
            </w:r>
            <w:r>
              <w:rPr>
                <w:rFonts w:hint="default" w:cs="Times New Roman"/>
                <w:color w:val="000000" w:themeColor="text1"/>
                <w:sz w:val="24"/>
                <w:lang w:val="en-US" w:eastAsia="zh-CN"/>
                <w14:textFill>
                  <w14:solidFill>
                    <w14:schemeClr w14:val="tx1"/>
                  </w14:solidFill>
                </w14:textFill>
              </w:rPr>
              <w:t>关于印发玉溪市生态环境分区管控动态更新调整方案（2023 年）的通知</w:t>
            </w:r>
            <w:r>
              <w:rPr>
                <w:rFonts w:hint="eastAsia" w:cs="Times New Roman"/>
                <w:color w:val="000000" w:themeColor="text1"/>
                <w:sz w:val="24"/>
                <w:lang w:val="en-US" w:eastAsia="zh-CN"/>
                <w14:textFill>
                  <w14:solidFill>
                    <w14:schemeClr w14:val="tx1"/>
                  </w14:solidFill>
                </w14:textFill>
              </w:rPr>
              <w:t>》（玉市环</w:t>
            </w:r>
            <w:r>
              <w:rPr>
                <w:rFonts w:hint="eastAsia" w:ascii="Times New Roman" w:hAnsi="Times New Roman" w:eastAsia="宋体" w:cs="Times New Roman"/>
                <w:color w:val="000000" w:themeColor="text1"/>
                <w:sz w:val="24"/>
                <w:lang w:val="en-US" w:eastAsia="zh-CN"/>
                <w14:textFill>
                  <w14:solidFill>
                    <w14:schemeClr w14:val="tx1"/>
                  </w14:solidFill>
                </w14:textFill>
              </w:rPr>
              <w:t>〔202</w:t>
            </w:r>
            <w:r>
              <w:rPr>
                <w:rFonts w:hint="eastAsia" w:cs="Times New Roman"/>
                <w:color w:val="000000" w:themeColor="text1"/>
                <w:sz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40号）</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lang w:val="en-US" w:eastAsia="zh-CN"/>
                <w14:textFill>
                  <w14:solidFill>
                    <w14:schemeClr w14:val="tx1"/>
                  </w14:solidFill>
                </w14:textFill>
              </w:rPr>
              <w:t>位于</w:t>
            </w:r>
            <w:r>
              <w:rPr>
                <w:rFonts w:hint="eastAsia" w:cs="Times New Roman"/>
                <w:color w:val="000000" w:themeColor="text1"/>
                <w:sz w:val="24"/>
                <w:lang w:val="en-US" w:eastAsia="zh-CN"/>
                <w14:textFill>
                  <w14:solidFill>
                    <w14:schemeClr w14:val="tx1"/>
                  </w14:solidFill>
                </w14:textFill>
              </w:rPr>
              <w:t>云南红塔产业园区</w:t>
            </w:r>
            <w:r>
              <w:rPr>
                <w:rFonts w:hint="eastAsia" w:ascii="Times New Roman" w:hAnsi="Times New Roman" w:eastAsia="宋体" w:cs="Times New Roman"/>
                <w:color w:val="000000" w:themeColor="text1"/>
                <w:sz w:val="24"/>
                <w:lang w:val="en-US" w:eastAsia="zh-CN"/>
                <w14:textFill>
                  <w14:solidFill>
                    <w14:schemeClr w14:val="tx1"/>
                  </w14:solidFill>
                </w14:textFill>
              </w:rPr>
              <w:t>研和片区双小地块，根据云南省生态环境分区管控公共服务查询平台（http://183.224.17.39:19272/sxydyn）查询结果，本项目属于峨山县产业园区重点管控单元，</w:t>
            </w:r>
            <w:r>
              <w:rPr>
                <w:color w:val="000000" w:themeColor="text1"/>
                <w:sz w:val="24"/>
                <w14:textFill>
                  <w14:solidFill>
                    <w14:schemeClr w14:val="tx1"/>
                  </w14:solidFill>
                </w14:textFill>
              </w:rPr>
              <w:t>项目与其符合性分析详见下表。</w:t>
            </w:r>
          </w:p>
          <w:p w14:paraId="4FECFA53">
            <w:pPr>
              <w:keepNext w:val="0"/>
              <w:keepLines/>
              <w:pageBreakBefore w:val="0"/>
              <w:widowControl/>
              <w:kinsoku/>
              <w:overflowPunct/>
              <w:topLinePunct w:val="0"/>
              <w:bidi w:val="0"/>
              <w:ind w:left="0" w:leftChars="0" w:right="0"/>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表1-</w:t>
            </w:r>
            <w:r>
              <w:rPr>
                <w:rFonts w:hint="eastAsia"/>
                <w:b/>
                <w:bCs/>
                <w:color w:val="000000" w:themeColor="text1"/>
                <w:lang w:val="en-US" w:eastAsia="zh-CN"/>
                <w14:textFill>
                  <w14:solidFill>
                    <w14:schemeClr w14:val="tx1"/>
                  </w14:solidFill>
                </w14:textFill>
              </w:rPr>
              <w:t xml:space="preserve">4 </w:t>
            </w:r>
            <w:r>
              <w:rPr>
                <w:b/>
                <w:bCs/>
                <w:color w:val="000000" w:themeColor="text1"/>
                <w14:textFill>
                  <w14:solidFill>
                    <w14:schemeClr w14:val="tx1"/>
                  </w14:solidFill>
                </w14:textFill>
              </w:rPr>
              <w:t>符合性分析一览表</w:t>
            </w:r>
          </w:p>
          <w:tbl>
            <w:tblPr>
              <w:tblStyle w:val="3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3036"/>
              <w:gridCol w:w="3008"/>
              <w:gridCol w:w="704"/>
            </w:tblGrid>
            <w:tr w14:paraId="34583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2621" w:type="pct"/>
                  <w:gridSpan w:val="2"/>
                  <w:vAlign w:val="center"/>
                </w:tcPr>
                <w:p w14:paraId="05986906">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eastAsia="宋体"/>
                      <w:color w:val="000000" w:themeColor="text1"/>
                      <w:sz w:val="21"/>
                      <w:szCs w:val="21"/>
                      <w:lang w:eastAsia="zh-CN"/>
                      <w14:textFill>
                        <w14:solidFill>
                          <w14:schemeClr w14:val="tx1"/>
                        </w14:solidFill>
                      </w14:textFill>
                    </w:rPr>
                  </w:pPr>
                  <w:r>
                    <w:rPr>
                      <w:color w:val="000000" w:themeColor="text1"/>
                      <w:sz w:val="21"/>
                      <w:szCs w:val="21"/>
                      <w14:textFill>
                        <w14:solidFill>
                          <w14:schemeClr w14:val="tx1"/>
                        </w14:solidFill>
                      </w14:textFill>
                    </w:rPr>
                    <w:t>实施意见</w:t>
                  </w:r>
                </w:p>
              </w:tc>
              <w:tc>
                <w:tcPr>
                  <w:tcW w:w="1830" w:type="pct"/>
                  <w:vAlign w:val="center"/>
                </w:tcPr>
                <w:p w14:paraId="2E604F3B">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项目情况</w:t>
                  </w:r>
                </w:p>
              </w:tc>
              <w:tc>
                <w:tcPr>
                  <w:tcW w:w="548" w:type="pct"/>
                  <w:vAlign w:val="center"/>
                </w:tcPr>
                <w:p w14:paraId="40F636D8">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符合情况</w:t>
                  </w:r>
                </w:p>
              </w:tc>
            </w:tr>
            <w:tr w14:paraId="63DC7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4"/>
                  <w:vAlign w:val="center"/>
                </w:tcPr>
                <w:p w14:paraId="42BCF631">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生态环境管控总体要求</w:t>
                  </w:r>
                </w:p>
              </w:tc>
            </w:tr>
            <w:tr w14:paraId="36C6C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restart"/>
                  <w:vAlign w:val="center"/>
                </w:tcPr>
                <w:p w14:paraId="311B9F72">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空间布局约束</w:t>
                  </w:r>
                </w:p>
              </w:tc>
              <w:tc>
                <w:tcPr>
                  <w:tcW w:w="2132" w:type="pct"/>
                  <w:vAlign w:val="center"/>
                </w:tcPr>
                <w:p w14:paraId="18145785">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lang w:val="en-US" w:eastAsia="zh-CN"/>
                      <w14:textFill>
                        <w14:solidFill>
                          <w14:schemeClr w14:val="tx1"/>
                        </w14:solidFill>
                      </w14:textFill>
                    </w:rPr>
                    <w:t>严格落实国家产业政策、国家产业结构调整指导目录。坚决遏制高耗能、高排放、低水平项目盲目发展，项</w:t>
                  </w:r>
                  <w:r>
                    <w:rPr>
                      <w:rFonts w:hint="eastAsia"/>
                      <w:color w:val="000000" w:themeColor="text1"/>
                      <w:sz w:val="21"/>
                      <w:szCs w:val="21"/>
                      <w:lang w:val="en-US" w:eastAsia="zh-CN"/>
                      <w14:textFill>
                        <w14:solidFill>
                          <w14:schemeClr w14:val="tx1"/>
                        </w14:solidFill>
                      </w14:textFill>
                    </w:rPr>
                    <w:t>目审批严格落实国家和云南省相关政策要求。严格落实钢铁、水泥、平板玻璃、电解铝等行业产能置换相关政策，严管严控新增电解铝和工业硅产能。</w:t>
                  </w:r>
                </w:p>
              </w:tc>
              <w:tc>
                <w:tcPr>
                  <w:tcW w:w="1830" w:type="pct"/>
                  <w:vAlign w:val="center"/>
                </w:tcPr>
                <w:p w14:paraId="7D466628">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本项目为锅炉及环保设施技改项目，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本项目符合国家产业政策</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，项目于2025年11月27日取得了峨山县发展和改革局核发的《云南省固定资产投资项目备案证》（备案号：2511-530426-04-02-334555），同意项目建设。</w:t>
                  </w:r>
                </w:p>
              </w:tc>
              <w:tc>
                <w:tcPr>
                  <w:tcW w:w="548" w:type="pct"/>
                  <w:vAlign w:val="center"/>
                </w:tcPr>
                <w:p w14:paraId="6E635AE4">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1E9A0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continue"/>
                  <w:vAlign w:val="center"/>
                </w:tcPr>
                <w:p w14:paraId="7328A5A1">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color w:val="000000" w:themeColor="text1"/>
                      <w:sz w:val="21"/>
                      <w:szCs w:val="21"/>
                      <w14:textFill>
                        <w14:solidFill>
                          <w14:schemeClr w14:val="tx1"/>
                        </w14:solidFill>
                      </w14:textFill>
                    </w:rPr>
                  </w:pPr>
                </w:p>
              </w:tc>
              <w:tc>
                <w:tcPr>
                  <w:tcW w:w="2132" w:type="pct"/>
                  <w:vAlign w:val="center"/>
                </w:tcPr>
                <w:p w14:paraId="58B5D6D3">
                  <w:pPr>
                    <w:keepNext w:val="0"/>
                    <w:keepLines/>
                    <w:pageBreakBefore w:val="0"/>
                    <w:widowControl/>
                    <w:tabs>
                      <w:tab w:val="left" w:pos="2730"/>
                    </w:tabs>
                    <w:kinsoku/>
                    <w:wordWrap/>
                    <w:overflowPunct/>
                    <w:topLinePunct w:val="0"/>
                    <w:autoSpaceDE/>
                    <w:autoSpaceDN/>
                    <w:bidi w:val="0"/>
                    <w:adjustRightInd/>
                    <w:snapToGrid/>
                    <w:spacing w:line="240" w:lineRule="auto"/>
                    <w:ind w:left="0" w:leftChars="0" w:right="0"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lang w:val="en-US" w:eastAsia="zh-CN"/>
                      <w14:textFill>
                        <w14:solidFill>
                          <w14:schemeClr w14:val="tx1"/>
                        </w14:solidFill>
                      </w14:textFill>
                    </w:rPr>
                    <w:t>加强河湖水域岸线空间管控，严格落实九大高原湖泊（抚仙湖、星云湖、杞麓湖）</w:t>
                  </w:r>
                  <w:r>
                    <w:rPr>
                      <w:rFonts w:hint="eastAsia"/>
                      <w:color w:val="000000" w:themeColor="text1"/>
                      <w:sz w:val="21"/>
                      <w:szCs w:val="21"/>
                      <w:lang w:val="en-US" w:eastAsia="zh-CN"/>
                      <w14:textFill>
                        <w14:solidFill>
                          <w14:schemeClr w14:val="tx1"/>
                        </w14:solidFill>
                      </w14:textFill>
                    </w:rPr>
                    <w:t>“两线三区”相关管控要求。加快推动重点区域、重点流域落后和过剩产能退出。依法加快城市建成区重污染企业搬迁改造或关闭退出。</w:t>
                  </w:r>
                </w:p>
              </w:tc>
              <w:tc>
                <w:tcPr>
                  <w:tcW w:w="1830" w:type="pct"/>
                  <w:vAlign w:val="center"/>
                </w:tcPr>
                <w:p w14:paraId="0D163C0B">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w:t>
                  </w:r>
                  <w:r>
                    <w:rPr>
                      <w:rFonts w:hint="eastAsia" w:cs="Times New Roman"/>
                      <w:color w:val="000000" w:themeColor="text1"/>
                      <w:sz w:val="21"/>
                      <w:szCs w:val="21"/>
                      <w:lang w:val="en-US" w:eastAsia="zh-CN"/>
                      <w14:textFill>
                        <w14:solidFill>
                          <w14:schemeClr w14:val="tx1"/>
                        </w14:solidFill>
                      </w14:textFill>
                    </w:rPr>
                    <w:t>云南红塔产业园区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研和片区双小地块</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不涉及九大高原湖泊。</w:t>
                  </w:r>
                </w:p>
              </w:tc>
              <w:tc>
                <w:tcPr>
                  <w:tcW w:w="548" w:type="pct"/>
                  <w:vAlign w:val="center"/>
                </w:tcPr>
                <w:p w14:paraId="268F40B4">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符合</w:t>
                  </w:r>
                </w:p>
              </w:tc>
            </w:tr>
            <w:tr w14:paraId="607A8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continue"/>
                  <w:vAlign w:val="center"/>
                </w:tcPr>
                <w:p w14:paraId="72B349B1">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color w:val="000000" w:themeColor="text1"/>
                      <w:sz w:val="21"/>
                      <w:szCs w:val="21"/>
                      <w14:textFill>
                        <w14:solidFill>
                          <w14:schemeClr w14:val="tx1"/>
                        </w14:solidFill>
                      </w14:textFill>
                    </w:rPr>
                  </w:pPr>
                </w:p>
              </w:tc>
              <w:tc>
                <w:tcPr>
                  <w:tcW w:w="2132" w:type="pct"/>
                  <w:vAlign w:val="center"/>
                </w:tcPr>
                <w:p w14:paraId="6AC68DF7">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lang w:val="en-US" w:eastAsia="zh-CN"/>
                      <w14:textFill>
                        <w14:solidFill>
                          <w14:schemeClr w14:val="tx1"/>
                        </w14:solidFill>
                      </w14:textFill>
                    </w:rPr>
                    <w:t>禁止在合规园区外新建、扩建钢铁、石化、化工、焦化、建材、有色、制浆造纸行业中的高污染项目。禁止</w:t>
                  </w:r>
                  <w:r>
                    <w:rPr>
                      <w:rFonts w:hint="eastAsia"/>
                      <w:color w:val="000000" w:themeColor="text1"/>
                      <w:sz w:val="21"/>
                      <w:szCs w:val="21"/>
                      <w:lang w:val="en-US" w:eastAsia="zh-CN"/>
                      <w14:textFill>
                        <w14:solidFill>
                          <w14:schemeClr w14:val="tx1"/>
                        </w14:solidFill>
                      </w14:textFill>
                    </w:rPr>
                    <w:t>新建、扩建不符合国家石化、现代煤化工等产业布局规划的项目。禁止列入《云南省城镇人口密集区危险化学品生产企业搬迁改造名单》的搬迁改造企业在原址新建、扩建危险化学品生产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830" w:type="pct"/>
                  <w:vAlign w:val="center"/>
                </w:tcPr>
                <w:p w14:paraId="59CAD511">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Times New Roman" w:hAnsi="Times New Roman" w:eastAsia="宋体" w:cs="Times New Roman"/>
                      <w:color w:val="000000" w:themeColor="text1"/>
                      <w:sz w:val="21"/>
                      <w:szCs w:val="21"/>
                      <w:lang w:val="zh-CN"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为锅炉及环保设施技改项目，项目不属于在合规园区外新建、扩建钢铁、石化、化工、焦化、建材、有色、制浆造纸行业中的高污染项目，项目于2025年11月27日取得了峨山县发展和改革局核发的《云南省固定资产投资项目备案证》（备案号：2511-530426-04-02-334555），同意项目建设。</w:t>
                  </w:r>
                </w:p>
                <w:p w14:paraId="27CE10ED">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本项目不属于钢铁、石化、化工、焦化、建材、有色、制浆造纸行业中的高污染项目。</w:t>
                  </w:r>
                </w:p>
              </w:tc>
              <w:tc>
                <w:tcPr>
                  <w:tcW w:w="548" w:type="pct"/>
                  <w:vAlign w:val="center"/>
                </w:tcPr>
                <w:p w14:paraId="40CBCBC1">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205F4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continue"/>
                  <w:vAlign w:val="center"/>
                </w:tcPr>
                <w:p w14:paraId="6FE40501">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color w:val="000000" w:themeColor="text1"/>
                      <w:sz w:val="21"/>
                      <w:szCs w:val="21"/>
                      <w14:textFill>
                        <w14:solidFill>
                          <w14:schemeClr w14:val="tx1"/>
                        </w14:solidFill>
                      </w14:textFill>
                    </w:rPr>
                  </w:pPr>
                </w:p>
              </w:tc>
              <w:tc>
                <w:tcPr>
                  <w:tcW w:w="2132" w:type="pct"/>
                  <w:vAlign w:val="center"/>
                </w:tcPr>
                <w:p w14:paraId="21DBDCE3">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禁止在九大高原湖泊（抚仙湖、星云湖、杞麓湖）流域内新建、改建、扩建污染环境、高耗水、高耗能、破坏生态平衡和自然景观的项目。</w:t>
                  </w:r>
                </w:p>
              </w:tc>
              <w:tc>
                <w:tcPr>
                  <w:tcW w:w="1830" w:type="pct"/>
                  <w:vAlign w:val="center"/>
                </w:tcPr>
                <w:p w14:paraId="39B17CBE">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w:t>
                  </w:r>
                  <w:r>
                    <w:rPr>
                      <w:rFonts w:hint="eastAsia" w:cs="Times New Roman"/>
                      <w:color w:val="000000" w:themeColor="text1"/>
                      <w:sz w:val="21"/>
                      <w:szCs w:val="21"/>
                      <w:lang w:val="en-US" w:eastAsia="zh-CN"/>
                      <w14:textFill>
                        <w14:solidFill>
                          <w14:schemeClr w14:val="tx1"/>
                        </w14:solidFill>
                      </w14:textFill>
                    </w:rPr>
                    <w:t>云南红塔产业园区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研和片区双小地块</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olor w:val="000000" w:themeColor="text1"/>
                      <w:sz w:val="21"/>
                      <w:szCs w:val="21"/>
                      <w:lang w:val="en-US" w:eastAsia="zh-CN"/>
                      <w14:textFill>
                        <w14:solidFill>
                          <w14:schemeClr w14:val="tx1"/>
                        </w14:solidFill>
                      </w14:textFill>
                    </w:rPr>
                    <w:t>不涉及九大高原湖泊。</w:t>
                  </w:r>
                  <w:r>
                    <w:rPr>
                      <w:rFonts w:hint="eastAsia"/>
                      <w:color w:val="000000" w:themeColor="text1"/>
                      <w:sz w:val="21"/>
                      <w:szCs w:val="21"/>
                      <w:lang w:val="en-US" w:eastAsia="zh-CN"/>
                      <w14:textFill>
                        <w14:solidFill>
                          <w14:schemeClr w14:val="tx1"/>
                        </w14:solidFill>
                      </w14:textFill>
                    </w:rPr>
                    <w:t>本项目不属于污染环境、高耗水、高耗能、破坏生态平衡和自然景观的项目</w:t>
                  </w:r>
                </w:p>
              </w:tc>
              <w:tc>
                <w:tcPr>
                  <w:tcW w:w="548" w:type="pct"/>
                  <w:vAlign w:val="center"/>
                </w:tcPr>
                <w:p w14:paraId="065170F6">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14:paraId="26732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restart"/>
                  <w:vAlign w:val="center"/>
                </w:tcPr>
                <w:p w14:paraId="7B0EBBE0">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eastAsia="宋体"/>
                      <w:color w:val="000000" w:themeColor="text1"/>
                      <w:sz w:val="21"/>
                      <w:szCs w:val="21"/>
                      <w:lang w:eastAsia="zh-CN"/>
                      <w14:textFill>
                        <w14:solidFill>
                          <w14:schemeClr w14:val="tx1"/>
                        </w14:solidFill>
                      </w14:textFill>
                    </w:rPr>
                  </w:pPr>
                  <w:r>
                    <w:rPr>
                      <w:color w:val="000000" w:themeColor="text1"/>
                      <w:sz w:val="21"/>
                      <w:szCs w:val="21"/>
                      <w:lang w:val="en-US" w:eastAsia="zh-CN"/>
                      <w14:textFill>
                        <w14:solidFill>
                          <w14:schemeClr w14:val="tx1"/>
                        </w14:solidFill>
                      </w14:textFill>
                    </w:rPr>
                    <w:t>污染物排</w:t>
                  </w:r>
                  <w:r>
                    <w:rPr>
                      <w:rFonts w:hint="eastAsia"/>
                      <w:color w:val="000000" w:themeColor="text1"/>
                      <w:sz w:val="21"/>
                      <w:szCs w:val="21"/>
                      <w:lang w:val="en-US" w:eastAsia="zh-CN"/>
                      <w14:textFill>
                        <w14:solidFill>
                          <w14:schemeClr w14:val="tx1"/>
                        </w14:solidFill>
                      </w14:textFill>
                    </w:rPr>
                    <w:t>放管控</w:t>
                  </w:r>
                </w:p>
              </w:tc>
              <w:tc>
                <w:tcPr>
                  <w:tcW w:w="2132" w:type="pct"/>
                  <w:vAlign w:val="center"/>
                </w:tcPr>
                <w:p w14:paraId="34999BCF">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eastAsia="宋体"/>
                      <w:color w:val="000000" w:themeColor="text1"/>
                      <w:sz w:val="21"/>
                      <w:szCs w:val="21"/>
                      <w:lang w:eastAsia="zh-CN"/>
                      <w14:textFill>
                        <w14:solidFill>
                          <w14:schemeClr w14:val="tx1"/>
                        </w14:solidFill>
                      </w14:textFill>
                    </w:rPr>
                  </w:pPr>
                  <w:r>
                    <w:rPr>
                      <w:color w:val="000000" w:themeColor="text1"/>
                      <w:sz w:val="21"/>
                      <w:szCs w:val="21"/>
                      <w:lang w:val="en-US" w:eastAsia="zh-CN"/>
                      <w14:textFill>
                        <w14:solidFill>
                          <w14:schemeClr w14:val="tx1"/>
                        </w14:solidFill>
                      </w14:textFill>
                    </w:rPr>
                    <w:t>加大</w:t>
                  </w:r>
                  <w:r>
                    <w:rPr>
                      <w:rFonts w:hint="eastAsia"/>
                      <w:color w:val="000000" w:themeColor="text1"/>
                      <w:sz w:val="21"/>
                      <w:szCs w:val="21"/>
                      <w:lang w:val="en-US" w:eastAsia="zh-CN"/>
                      <w14:textFill>
                        <w14:solidFill>
                          <w14:schemeClr w14:val="tx1"/>
                        </w14:solidFill>
                      </w14:textFill>
                    </w:rPr>
                    <w:t>“三湖”（抚仙湖、星云湖、杞麓湖）及“两江”（南盘江干流、红河水系玉溪段）流域的保护和治理，推进流域环湖截污治污，加强湖泊内源污染风险防范，开展污水处理提质增效、农业面源污染治理、入河排污口整治、开发区污染治理、“三磷”和重金属行业排查等专项行动，建立水环境质量管理长效机制，持续巩固治理成效。持续打好城市黑臭水体治理攻坚战，有效控制入河污染物排放，强化溯源整治，推进城镇污水管网全覆盖。</w:t>
                  </w:r>
                </w:p>
              </w:tc>
              <w:tc>
                <w:tcPr>
                  <w:tcW w:w="1830" w:type="pct"/>
                  <w:vAlign w:val="center"/>
                </w:tcPr>
                <w:p w14:paraId="0F92E4F3">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本项目为锅炉及环保设施技改项目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w:t>
                  </w:r>
                  <w:r>
                    <w:rPr>
                      <w:rFonts w:hint="eastAsia" w:cs="Times New Roman"/>
                      <w:color w:val="000000" w:themeColor="text1"/>
                      <w:sz w:val="21"/>
                      <w:szCs w:val="21"/>
                      <w:lang w:val="en-US" w:eastAsia="zh-CN"/>
                      <w14:textFill>
                        <w14:solidFill>
                          <w14:schemeClr w14:val="tx1"/>
                        </w14:solidFill>
                      </w14:textFill>
                    </w:rPr>
                    <w:t>云南红塔产业园区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研和片区双小地块</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不涉及占用生态保护红线等及其他需要特殊保护的环境敏感对象。项目的建设符合国家及云南省现行产业政策的要求，只要严格地落实环评中提出的各项环保措施，项目各污染物均能做到达标排放，不会降低区域环境质量功能。</w:t>
                  </w:r>
                </w:p>
              </w:tc>
              <w:tc>
                <w:tcPr>
                  <w:tcW w:w="548" w:type="pct"/>
                  <w:vAlign w:val="center"/>
                </w:tcPr>
                <w:p w14:paraId="28F6265C">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14:paraId="553D4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continue"/>
                  <w:vAlign w:val="center"/>
                </w:tcPr>
                <w:p w14:paraId="08E18DB4">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color w:val="000000" w:themeColor="text1"/>
                      <w:sz w:val="21"/>
                      <w:szCs w:val="21"/>
                      <w14:textFill>
                        <w14:solidFill>
                          <w14:schemeClr w14:val="tx1"/>
                        </w14:solidFill>
                      </w14:textFill>
                    </w:rPr>
                  </w:pPr>
                </w:p>
              </w:tc>
              <w:tc>
                <w:tcPr>
                  <w:tcW w:w="2132" w:type="pct"/>
                  <w:vAlign w:val="center"/>
                </w:tcPr>
                <w:p w14:paraId="2842F3A5">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eastAsia="宋体"/>
                      <w:color w:val="000000" w:themeColor="text1"/>
                      <w:sz w:val="21"/>
                      <w:szCs w:val="21"/>
                      <w:lang w:eastAsia="zh-CN"/>
                      <w14:textFill>
                        <w14:solidFill>
                          <w14:schemeClr w14:val="tx1"/>
                        </w14:solidFill>
                      </w14:textFill>
                    </w:rPr>
                  </w:pPr>
                  <w:r>
                    <w:rPr>
                      <w:color w:val="000000" w:themeColor="text1"/>
                      <w:sz w:val="21"/>
                      <w:szCs w:val="21"/>
                      <w:lang w:val="en-US" w:eastAsia="zh-CN"/>
                      <w14:textFill>
                        <w14:solidFill>
                          <w14:schemeClr w14:val="tx1"/>
                        </w14:solidFill>
                      </w14:textFill>
                    </w:rPr>
                    <w:t>严格保护城乡饮用水水源地，整治饮用水水源保护区内的污染源，确保饮水安全。</w:t>
                  </w:r>
                </w:p>
              </w:tc>
              <w:tc>
                <w:tcPr>
                  <w:tcW w:w="1830" w:type="pct"/>
                  <w:vAlign w:val="center"/>
                </w:tcPr>
                <w:p w14:paraId="0D3CD422">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本项目不涉及饮用水源保护区。</w:t>
                  </w:r>
                </w:p>
              </w:tc>
              <w:tc>
                <w:tcPr>
                  <w:tcW w:w="548" w:type="pct"/>
                  <w:vAlign w:val="center"/>
                </w:tcPr>
                <w:p w14:paraId="1AE7B501">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14:paraId="76271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continue"/>
                  <w:vAlign w:val="center"/>
                </w:tcPr>
                <w:p w14:paraId="57797394">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color w:val="000000" w:themeColor="text1"/>
                      <w:sz w:val="21"/>
                      <w:szCs w:val="21"/>
                      <w14:textFill>
                        <w14:solidFill>
                          <w14:schemeClr w14:val="tx1"/>
                        </w14:solidFill>
                      </w14:textFill>
                    </w:rPr>
                  </w:pPr>
                </w:p>
              </w:tc>
              <w:tc>
                <w:tcPr>
                  <w:tcW w:w="2132" w:type="pct"/>
                  <w:vAlign w:val="center"/>
                </w:tcPr>
                <w:p w14:paraId="524DCE00">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both"/>
                    <w:textAlignment w:val="auto"/>
                    <w:rPr>
                      <w:rFonts w:hint="eastAsia" w:eastAsia="宋体"/>
                      <w:color w:val="000000" w:themeColor="text1"/>
                      <w:sz w:val="21"/>
                      <w:szCs w:val="21"/>
                      <w:lang w:eastAsia="zh-CN"/>
                      <w14:textFill>
                        <w14:solidFill>
                          <w14:schemeClr w14:val="tx1"/>
                        </w14:solidFill>
                      </w14:textFill>
                    </w:rPr>
                  </w:pPr>
                  <w:r>
                    <w:rPr>
                      <w:color w:val="000000" w:themeColor="text1"/>
                      <w:sz w:val="21"/>
                      <w:szCs w:val="21"/>
                      <w:lang w:val="en-US" w:eastAsia="zh-CN"/>
                      <w14:textFill>
                        <w14:solidFill>
                          <w14:schemeClr w14:val="tx1"/>
                        </w14:solidFill>
                      </w14:textFill>
                    </w:rPr>
                    <w:t>开展细颗粒物和臭氧协同控制、挥发性有机物和氮氧化物协同减排。石化、化工、包装印刷、工业涂装等</w:t>
                  </w:r>
                  <w:r>
                    <w:rPr>
                      <w:rFonts w:hint="default"/>
                      <w:color w:val="000000" w:themeColor="text1"/>
                      <w:sz w:val="21"/>
                      <w:szCs w:val="21"/>
                      <w:lang w:val="en-US" w:eastAsia="zh-CN"/>
                      <w14:textFill>
                        <w14:solidFill>
                          <w14:schemeClr w14:val="tx1"/>
                        </w14:solidFill>
                      </w14:textFill>
                    </w:rPr>
                    <w:t>VOCs</w:t>
                  </w:r>
                  <w:r>
                    <w:rPr>
                      <w:rFonts w:hint="eastAsia"/>
                      <w:color w:val="000000" w:themeColor="text1"/>
                      <w:sz w:val="21"/>
                      <w:szCs w:val="21"/>
                      <w:lang w:val="en-US" w:eastAsia="zh-CN"/>
                      <w14:textFill>
                        <w14:solidFill>
                          <w14:schemeClr w14:val="tx1"/>
                        </w14:solidFill>
                      </w14:textFill>
                    </w:rPr>
                    <w:t>排放重点源，纳入重点排污单位名录，推进挥发性有机物综合治理，实施原辅材料和产品源头替代工程，排污口安装自动监控设施。推进运输结构调整，开展清洁柴油车（机）、清洁油品、车用尿素等专项行动，开展建筑施工工地扬尘专项治理；加大餐饮油烟污染、恶臭异味治理力度，强化秸秆综合利用和禁烧管控。推动有色金属、钢铁、磷化工、建材等重点行业节能降碳升级改造，淘汰落后工艺技术和生产装置，实施煤电、水泥、焦化企业超</w:t>
                  </w:r>
                  <w:r>
                    <w:rPr>
                      <w:color w:val="000000" w:themeColor="text1"/>
                      <w:sz w:val="21"/>
                      <w:szCs w:val="21"/>
                      <w:lang w:val="en-US" w:eastAsia="zh-CN"/>
                      <w14:textFill>
                        <w14:solidFill>
                          <w14:schemeClr w14:val="tx1"/>
                        </w14:solidFill>
                      </w14:textFill>
                    </w:rPr>
                    <w:t>低排放改造，到</w:t>
                  </w:r>
                  <w:r>
                    <w:rPr>
                      <w:rFonts w:hint="default"/>
                      <w:color w:val="000000" w:themeColor="text1"/>
                      <w:sz w:val="21"/>
                      <w:szCs w:val="21"/>
                      <w:lang w:val="en-US" w:eastAsia="zh-CN"/>
                      <w14:textFill>
                        <w14:solidFill>
                          <w14:schemeClr w14:val="tx1"/>
                        </w14:solidFill>
                      </w14:textFill>
                    </w:rPr>
                    <w:t>2025</w:t>
                  </w:r>
                  <w:r>
                    <w:rPr>
                      <w:rFonts w:hint="eastAsia"/>
                      <w:color w:val="000000" w:themeColor="text1"/>
                      <w:sz w:val="21"/>
                      <w:szCs w:val="21"/>
                      <w:lang w:val="en-US" w:eastAsia="zh-CN"/>
                      <w14:textFill>
                        <w14:solidFill>
                          <w14:schemeClr w14:val="tx1"/>
                        </w14:solidFill>
                      </w14:textFill>
                    </w:rPr>
                    <w:t>年，钢铁行业全面完成超低排放改造。</w:t>
                  </w:r>
                </w:p>
              </w:tc>
              <w:tc>
                <w:tcPr>
                  <w:tcW w:w="1830" w:type="pct"/>
                  <w:vAlign w:val="center"/>
                </w:tcPr>
                <w:p w14:paraId="395AD16B">
                  <w:pPr>
                    <w:keepNext w:val="0"/>
                    <w:pageBreakBefore w:val="0"/>
                    <w:kinsoku/>
                    <w:wordWrap/>
                    <w:overflowPunct/>
                    <w:topLinePunct w:val="0"/>
                    <w:autoSpaceDE/>
                    <w:autoSpaceDN/>
                    <w:bidi w:val="0"/>
                    <w:adjustRightInd/>
                    <w:snapToGrid/>
                    <w:spacing w:line="240" w:lineRule="auto"/>
                    <w:ind w:left="0" w:leftChars="0" w:right="0" w:firstLine="0" w:firstLineChars="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p w14:paraId="76EF00FF">
                  <w:pPr>
                    <w:keepNext w:val="0"/>
                    <w:pageBreakBefore w:val="0"/>
                    <w:kinsoku/>
                    <w:wordWrap/>
                    <w:overflowPunct/>
                    <w:topLinePunct w:val="0"/>
                    <w:autoSpaceDE/>
                    <w:autoSpaceDN/>
                    <w:bidi w:val="0"/>
                    <w:adjustRightInd/>
                    <w:snapToGrid/>
                    <w:spacing w:line="240" w:lineRule="auto"/>
                    <w:ind w:left="0" w:leftChars="0" w:right="0" w:firstLine="0" w:firstLineChars="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本项目为锅炉及环保设施技改项目，项目原有燃煤锅炉</w:t>
                  </w:r>
                  <w:r>
                    <w:rPr>
                      <w:rFonts w:hint="eastAsia" w:eastAsia="宋体" w:cs="Times New Roman"/>
                      <w:color w:val="000000" w:themeColor="text1"/>
                      <w:sz w:val="21"/>
                      <w:szCs w:val="21"/>
                      <w:lang w:val="en-US" w:eastAsia="zh-CN"/>
                      <w14:textFill>
                        <w14:solidFill>
                          <w14:schemeClr w14:val="tx1"/>
                        </w14:solidFill>
                      </w14:textFill>
                    </w:rPr>
                    <w:t>废气经双碱脱硫除尘设施处理后通过</w:t>
                  </w:r>
                  <w:r>
                    <w:rPr>
                      <w:rFonts w:hint="eastAsia" w:cs="Times New Roman"/>
                      <w:color w:val="000000" w:themeColor="text1"/>
                      <w:sz w:val="21"/>
                      <w:szCs w:val="21"/>
                      <w:lang w:val="en-US" w:eastAsia="zh-CN"/>
                      <w14:textFill>
                        <w14:solidFill>
                          <w14:schemeClr w14:val="tx1"/>
                        </w14:solidFill>
                      </w14:textFill>
                    </w:rPr>
                    <w:t>30m高排气筒DA001排放</w:t>
                  </w:r>
                  <w:r>
                    <w:rPr>
                      <w:rFonts w:hint="eastAsia"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本项目建设</w:t>
                  </w:r>
                  <w:r>
                    <w:rPr>
                      <w:rFonts w:hint="eastAsia" w:eastAsia="宋体" w:cs="Times New Roman"/>
                      <w:color w:val="000000" w:themeColor="text1"/>
                      <w:sz w:val="21"/>
                      <w:szCs w:val="21"/>
                      <w:lang w:val="en-US" w:eastAsia="zh-CN"/>
                      <w14:textFill>
                        <w14:solidFill>
                          <w14:schemeClr w14:val="tx1"/>
                        </w14:solidFill>
                      </w14:textFill>
                    </w:rPr>
                    <w:t>完成</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后</w:t>
                  </w:r>
                  <w:r>
                    <w:rPr>
                      <w:rFonts w:hint="eastAsia" w:eastAsia="宋体" w:cs="Times New Roman"/>
                      <w:color w:val="000000" w:themeColor="text1"/>
                      <w:sz w:val="21"/>
                      <w:szCs w:val="21"/>
                      <w:lang w:val="en-US" w:eastAsia="zh-CN"/>
                      <w14:textFill>
                        <w14:solidFill>
                          <w14:schemeClr w14:val="tx1"/>
                        </w14:solidFill>
                      </w14:textFill>
                    </w:rPr>
                    <w:t>燃煤锅炉</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拆除更换为生物质锅炉</w:t>
                  </w:r>
                  <w:r>
                    <w:rPr>
                      <w:rFonts w:hint="eastAsia" w:eastAsia="宋体" w:cs="Times New Roman"/>
                      <w:color w:val="000000" w:themeColor="text1"/>
                      <w:sz w:val="21"/>
                      <w:szCs w:val="21"/>
                      <w:lang w:val="en-US" w:eastAsia="zh-CN"/>
                      <w14:textFill>
                        <w14:solidFill>
                          <w14:schemeClr w14:val="tx1"/>
                        </w14:solidFill>
                      </w14:textFill>
                    </w:rPr>
                    <w:t>，锅炉废气经</w:t>
                  </w:r>
                  <w:r>
                    <w:rPr>
                      <w:rFonts w:hint="eastAsia" w:cs="Times New Roman"/>
                      <w:color w:val="000000" w:themeColor="text1"/>
                      <w:sz w:val="21"/>
                      <w:szCs w:val="21"/>
                      <w:lang w:val="en-US" w:eastAsia="zh-CN"/>
                      <w14:textFill>
                        <w14:solidFill>
                          <w14:schemeClr w14:val="tx1"/>
                        </w14:solidFill>
                      </w14:textFill>
                    </w:rPr>
                    <w:t>“低氮燃烧+旋风除尘+布袋除尘”</w:t>
                  </w:r>
                  <w:r>
                    <w:rPr>
                      <w:rFonts w:hint="eastAsia" w:eastAsia="宋体" w:cs="Times New Roman"/>
                      <w:color w:val="000000" w:themeColor="text1"/>
                      <w:sz w:val="21"/>
                      <w:szCs w:val="21"/>
                      <w:lang w:val="en-US" w:eastAsia="zh-CN"/>
                      <w14:textFill>
                        <w14:solidFill>
                          <w14:schemeClr w14:val="tx1"/>
                        </w14:solidFill>
                      </w14:textFill>
                    </w:rPr>
                    <w:t>设施处理后通过</w:t>
                  </w:r>
                  <w:r>
                    <w:rPr>
                      <w:rFonts w:hint="eastAsia" w:cs="Times New Roman"/>
                      <w:color w:val="000000" w:themeColor="text1"/>
                      <w:sz w:val="21"/>
                      <w:szCs w:val="21"/>
                      <w:lang w:val="en-US" w:eastAsia="zh-CN"/>
                      <w14:textFill>
                        <w14:solidFill>
                          <w14:schemeClr w14:val="tx1"/>
                        </w14:solidFill>
                      </w14:textFill>
                    </w:rPr>
                    <w:t>30m</w:t>
                  </w:r>
                  <w:r>
                    <w:rPr>
                      <w:rFonts w:hint="eastAsia" w:eastAsia="宋体" w:cs="Times New Roman"/>
                      <w:color w:val="000000" w:themeColor="text1"/>
                      <w:sz w:val="21"/>
                      <w:szCs w:val="21"/>
                      <w:lang w:val="en-US" w:eastAsia="zh-CN"/>
                      <w14:textFill>
                        <w14:solidFill>
                          <w14:schemeClr w14:val="tx1"/>
                        </w14:solidFill>
                      </w14:textFill>
                    </w:rPr>
                    <w:t>高排气筒</w:t>
                  </w:r>
                  <w:r>
                    <w:rPr>
                      <w:rFonts w:hint="eastAsia" w:cs="Times New Roman"/>
                      <w:color w:val="000000" w:themeColor="text1"/>
                      <w:sz w:val="21"/>
                      <w:szCs w:val="21"/>
                      <w:lang w:val="en-US" w:eastAsia="zh-CN"/>
                      <w14:textFill>
                        <w14:solidFill>
                          <w14:schemeClr w14:val="tx1"/>
                        </w14:solidFill>
                      </w14:textFill>
                    </w:rPr>
                    <w:t>DA001</w:t>
                  </w:r>
                  <w:r>
                    <w:rPr>
                      <w:rFonts w:hint="eastAsia" w:eastAsia="宋体" w:cs="Times New Roman"/>
                      <w:color w:val="000000" w:themeColor="text1"/>
                      <w:sz w:val="21"/>
                      <w:szCs w:val="21"/>
                      <w:lang w:val="en-US" w:eastAsia="zh-CN"/>
                      <w14:textFill>
                        <w14:solidFill>
                          <w14:schemeClr w14:val="tx1"/>
                        </w14:solidFill>
                      </w14:textFill>
                    </w:rPr>
                    <w:t>排放</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p w14:paraId="7C969BA7">
                  <w:pPr>
                    <w:keepNext w:val="0"/>
                    <w:pageBreakBefore w:val="0"/>
                    <w:kinsoku/>
                    <w:wordWrap/>
                    <w:overflowPunct/>
                    <w:topLinePunct w:val="0"/>
                    <w:autoSpaceDE/>
                    <w:autoSpaceDN/>
                    <w:bidi w:val="0"/>
                    <w:adjustRightInd/>
                    <w:snapToGrid/>
                    <w:spacing w:line="240" w:lineRule="auto"/>
                    <w:ind w:left="0" w:leftChars="0" w:right="0" w:firstLine="0" w:firstLineChars="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现有项目有机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废气无组织排放，本项目建设</w:t>
                  </w:r>
                  <w:r>
                    <w:rPr>
                      <w:rFonts w:hint="eastAsia" w:eastAsia="宋体" w:cs="Times New Roman"/>
                      <w:color w:val="000000" w:themeColor="text1"/>
                      <w:sz w:val="21"/>
                      <w:szCs w:val="21"/>
                      <w:lang w:val="en-US" w:eastAsia="zh-CN"/>
                      <w14:textFill>
                        <w14:solidFill>
                          <w14:schemeClr w14:val="tx1"/>
                        </w14:solidFill>
                      </w14:textFill>
                    </w:rPr>
                    <w:t>完成</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后</w:t>
                  </w:r>
                  <w:r>
                    <w:rPr>
                      <w:rFonts w:hint="eastAsia" w:cs="Times New Roman"/>
                      <w:color w:val="000000" w:themeColor="text1"/>
                      <w:sz w:val="21"/>
                      <w:szCs w:val="21"/>
                      <w:lang w:val="en-US" w:eastAsia="zh-CN"/>
                      <w14:textFill>
                        <w14:solidFill>
                          <w14:schemeClr w14:val="tx1"/>
                        </w14:solidFill>
                      </w14:textFill>
                    </w:rPr>
                    <w:t>发泡、成型工序设置集气罩有机废气</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经收集后进入</w:t>
                  </w:r>
                  <w:r>
                    <w:rPr>
                      <w:rFonts w:hint="eastAsia" w:cs="Times New Roman"/>
                      <w:color w:val="000000" w:themeColor="text1"/>
                      <w:sz w:val="21"/>
                      <w:szCs w:val="21"/>
                      <w:lang w:val="en-US" w:eastAsia="zh-CN"/>
                      <w14:textFill>
                        <w14:solidFill>
                          <w14:schemeClr w14:val="tx1"/>
                        </w14:solidFill>
                      </w14:textFill>
                    </w:rPr>
                    <w:t>“两级活性炭吸附装置”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处理后通过15m高排气筒</w:t>
                  </w:r>
                  <w:r>
                    <w:rPr>
                      <w:rFonts w:hint="eastAsia" w:cs="Times New Roman"/>
                      <w:color w:val="000000" w:themeColor="text1"/>
                      <w:sz w:val="21"/>
                      <w:szCs w:val="21"/>
                      <w:lang w:val="en-US" w:eastAsia="zh-CN"/>
                      <w14:textFill>
                        <w14:solidFill>
                          <w14:schemeClr w14:val="tx1"/>
                        </w14:solidFill>
                      </w14:textFill>
                    </w:rPr>
                    <w:t>DA002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排放。</w:t>
                  </w:r>
                </w:p>
              </w:tc>
              <w:tc>
                <w:tcPr>
                  <w:tcW w:w="548" w:type="pct"/>
                  <w:vAlign w:val="center"/>
                </w:tcPr>
                <w:p w14:paraId="5A77A1D8">
                  <w:pPr>
                    <w:keepNext w:val="0"/>
                    <w:pageBreakBefore w:val="0"/>
                    <w:kinsoku/>
                    <w:wordWrap/>
                    <w:overflowPunct/>
                    <w:topLinePunct w:val="0"/>
                    <w:autoSpaceDE/>
                    <w:autoSpaceDN/>
                    <w:bidi w:val="0"/>
                    <w:adjustRightInd/>
                    <w:snapToGrid/>
                    <w:spacing w:line="240" w:lineRule="auto"/>
                    <w:ind w:left="0" w:leftChars="0" w:right="0" w:firstLine="0" w:firstLineChars="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27547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continue"/>
                  <w:vAlign w:val="center"/>
                </w:tcPr>
                <w:p w14:paraId="541BD1AD">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color w:val="000000" w:themeColor="text1"/>
                      <w:sz w:val="21"/>
                      <w:szCs w:val="21"/>
                      <w14:textFill>
                        <w14:solidFill>
                          <w14:schemeClr w14:val="tx1"/>
                        </w14:solidFill>
                      </w14:textFill>
                    </w:rPr>
                  </w:pPr>
                </w:p>
              </w:tc>
              <w:tc>
                <w:tcPr>
                  <w:tcW w:w="2132" w:type="pct"/>
                  <w:vAlign w:val="center"/>
                </w:tcPr>
                <w:p w14:paraId="6387D83B">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eastAsia="宋体"/>
                      <w:color w:val="000000" w:themeColor="text1"/>
                      <w:sz w:val="21"/>
                      <w:szCs w:val="21"/>
                      <w:lang w:eastAsia="zh-CN"/>
                      <w14:textFill>
                        <w14:solidFill>
                          <w14:schemeClr w14:val="tx1"/>
                        </w14:solidFill>
                      </w14:textFill>
                    </w:rPr>
                  </w:pPr>
                  <w:r>
                    <w:rPr>
                      <w:color w:val="000000" w:themeColor="text1"/>
                      <w:sz w:val="21"/>
                      <w:szCs w:val="21"/>
                      <w:lang w:val="en-US" w:eastAsia="zh-CN"/>
                      <w14:textFill>
                        <w14:solidFill>
                          <w14:schemeClr w14:val="tx1"/>
                        </w14:solidFill>
                      </w14:textFill>
                    </w:rPr>
                    <w:t>严格管控农用地，不得在特定农产品禁止生产区域种植食用农产品；安全利用农用地，制定受污染耕地安全</w:t>
                  </w:r>
                  <w:r>
                    <w:rPr>
                      <w:rFonts w:hint="eastAsia"/>
                      <w:color w:val="000000" w:themeColor="text1"/>
                      <w:sz w:val="21"/>
                      <w:szCs w:val="21"/>
                      <w:lang w:val="en-US" w:eastAsia="zh-CN"/>
                      <w14:textFill>
                        <w14:solidFill>
                          <w14:schemeClr w14:val="tx1"/>
                        </w14:solidFill>
                      </w14:textFill>
                    </w:rPr>
                    <w:t>利用方案，降低农产品超标风险。合理规划污染地块土地用途，从严管控农药、化工、有色金属等行业企业重度污染地块开发利用，对列入建设用地土壤污染风险管控和修复名录的地块不得作为住宅、公共管理与公共服务用地，不得办理土地征收、收回、收购、土地供应以及改变土地用途等手续，应当依法开展土壤污染状况调查、治理与修复，并符合相应规划用地土壤环境质量要求后，方可进入用地程序。</w:t>
                  </w:r>
                </w:p>
              </w:tc>
              <w:tc>
                <w:tcPr>
                  <w:tcW w:w="1830" w:type="pct"/>
                  <w:vAlign w:val="center"/>
                </w:tcPr>
                <w:p w14:paraId="25AEC51E">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color w:val="000000" w:themeColor="text1"/>
                      <w:sz w:val="21"/>
                      <w:szCs w:val="21"/>
                      <w:lang w:val="en-US" w:eastAsia="zh-CN"/>
                      <w14:textFill>
                        <w14:solidFill>
                          <w14:schemeClr w14:val="tx1"/>
                        </w14:solidFill>
                      </w14:textFill>
                    </w:rPr>
                    <w:t>不涉及农用地。</w:t>
                  </w:r>
                </w:p>
              </w:tc>
              <w:tc>
                <w:tcPr>
                  <w:tcW w:w="548" w:type="pct"/>
                  <w:vAlign w:val="center"/>
                </w:tcPr>
                <w:p w14:paraId="2E789F16">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14:paraId="62178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continue"/>
                  <w:vAlign w:val="center"/>
                </w:tcPr>
                <w:p w14:paraId="56AFD4A8">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color w:val="000000" w:themeColor="text1"/>
                      <w:sz w:val="21"/>
                      <w:szCs w:val="21"/>
                      <w14:textFill>
                        <w14:solidFill>
                          <w14:schemeClr w14:val="tx1"/>
                        </w14:solidFill>
                      </w14:textFill>
                    </w:rPr>
                  </w:pPr>
                </w:p>
              </w:tc>
              <w:tc>
                <w:tcPr>
                  <w:tcW w:w="2132" w:type="pct"/>
                  <w:vAlign w:val="center"/>
                </w:tcPr>
                <w:p w14:paraId="03633D9D">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eastAsia="宋体"/>
                      <w:color w:val="000000" w:themeColor="text1"/>
                      <w:sz w:val="21"/>
                      <w:szCs w:val="21"/>
                      <w:lang w:eastAsia="zh-CN"/>
                      <w14:textFill>
                        <w14:solidFill>
                          <w14:schemeClr w14:val="tx1"/>
                        </w14:solidFill>
                      </w14:textFill>
                    </w:rPr>
                  </w:pPr>
                  <w:r>
                    <w:rPr>
                      <w:color w:val="000000" w:themeColor="text1"/>
                      <w:sz w:val="21"/>
                      <w:szCs w:val="21"/>
                      <w:lang w:val="en-US" w:eastAsia="zh-CN"/>
                      <w14:textFill>
                        <w14:solidFill>
                          <w14:schemeClr w14:val="tx1"/>
                        </w14:solidFill>
                      </w14:textFill>
                    </w:rPr>
                    <w:t>加快</w:t>
                  </w:r>
                  <w:r>
                    <w:rPr>
                      <w:rFonts w:hint="eastAsia"/>
                      <w:color w:val="000000" w:themeColor="text1"/>
                      <w:sz w:val="21"/>
                      <w:szCs w:val="21"/>
                      <w:lang w:val="en-US" w:eastAsia="zh-CN"/>
                      <w14:textFill>
                        <w14:solidFill>
                          <w14:schemeClr w14:val="tx1"/>
                        </w14:solidFill>
                      </w14:textFill>
                    </w:rPr>
                    <w:t>“无废城市”建设，产生工业固体废物的单位应当建立健全工业固体废物产生、收集、贮存、运输、利用、处置全过程的污染环境防治责任制度，按照国家有关规定建立工业固体废物管理台账，加强重金属污染物排放管理，落实区域“减量替代”和“等量替代”要求，重金属污染物排放量</w:t>
                  </w:r>
                  <w:r>
                    <w:rPr>
                      <w:rFonts w:hint="default"/>
                      <w:color w:val="000000" w:themeColor="text1"/>
                      <w:sz w:val="21"/>
                      <w:szCs w:val="21"/>
                      <w:lang w:val="en-US" w:eastAsia="zh-CN"/>
                      <w14:textFill>
                        <w14:solidFill>
                          <w14:schemeClr w14:val="tx1"/>
                        </w14:solidFill>
                      </w14:textFill>
                    </w:rPr>
                    <w:t>2025</w:t>
                  </w:r>
                  <w:r>
                    <w:rPr>
                      <w:rFonts w:hint="eastAsia"/>
                      <w:color w:val="000000" w:themeColor="text1"/>
                      <w:sz w:val="21"/>
                      <w:szCs w:val="21"/>
                      <w:lang w:val="en-US" w:eastAsia="zh-CN"/>
                      <w14:textFill>
                        <w14:solidFill>
                          <w14:schemeClr w14:val="tx1"/>
                        </w14:solidFill>
                      </w14:textFill>
                    </w:rPr>
                    <w:t>年比</w:t>
                  </w:r>
                  <w:r>
                    <w:rPr>
                      <w:rFonts w:hint="default"/>
                      <w:color w:val="000000" w:themeColor="text1"/>
                      <w:sz w:val="21"/>
                      <w:szCs w:val="21"/>
                      <w:lang w:val="en-US" w:eastAsia="zh-CN"/>
                      <w14:textFill>
                        <w14:solidFill>
                          <w14:schemeClr w14:val="tx1"/>
                        </w14:solidFill>
                      </w14:textFill>
                    </w:rPr>
                    <w:t>2020</w:t>
                  </w:r>
                  <w:r>
                    <w:rPr>
                      <w:rFonts w:hint="eastAsia"/>
                      <w:color w:val="000000" w:themeColor="text1"/>
                      <w:sz w:val="21"/>
                      <w:szCs w:val="21"/>
                      <w:lang w:val="en-US" w:eastAsia="zh-CN"/>
                      <w14:textFill>
                        <w14:solidFill>
                          <w14:schemeClr w14:val="tx1"/>
                        </w14:solidFill>
                      </w14:textFill>
                    </w:rPr>
                    <w:t>年削减</w:t>
                  </w:r>
                  <w:r>
                    <w:rPr>
                      <w:rFonts w:hint="default"/>
                      <w:color w:val="000000" w:themeColor="text1"/>
                      <w:sz w:val="21"/>
                      <w:szCs w:val="21"/>
                      <w:lang w:val="en-US" w:eastAsia="zh-CN"/>
                      <w14:textFill>
                        <w14:solidFill>
                          <w14:schemeClr w14:val="tx1"/>
                        </w14:solidFill>
                      </w14:textFill>
                    </w:rPr>
                    <w:t>4%</w:t>
                  </w:r>
                  <w:r>
                    <w:rPr>
                      <w:rFonts w:hint="eastAsia"/>
                      <w:color w:val="000000" w:themeColor="text1"/>
                      <w:sz w:val="21"/>
                      <w:szCs w:val="21"/>
                      <w:lang w:val="en-US" w:eastAsia="zh-CN"/>
                      <w14:textFill>
                        <w14:solidFill>
                          <w14:schemeClr w14:val="tx1"/>
                        </w14:solidFill>
                      </w14:textFill>
                    </w:rPr>
                    <w:t>。</w:t>
                  </w:r>
                </w:p>
              </w:tc>
              <w:tc>
                <w:tcPr>
                  <w:tcW w:w="1830" w:type="pct"/>
                  <w:vAlign w:val="center"/>
                </w:tcPr>
                <w:p w14:paraId="1C17C13D">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eastAsia="宋体" w:cs="Times New Roman"/>
                      <w:b w:val="0"/>
                      <w:bCs w:val="0"/>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项目生活垃圾经厂区定点垃圾桶收集后运至周边村庄垃圾集中收集点，由当地环卫部门定期清运处置；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废弃包装物</w:t>
                  </w:r>
                  <w:r>
                    <w:rPr>
                      <w:rFonts w:hint="eastAsia"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不合格品</w:t>
                  </w:r>
                  <w:r>
                    <w:rPr>
                      <w:rFonts w:hint="eastAsia"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废布袋</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统一收集后外售</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废品回收站</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处置</w:t>
                  </w:r>
                  <w:r>
                    <w:rPr>
                      <w:rFonts w:hint="eastAsia" w:eastAsia="宋体" w:cs="Times New Roman"/>
                      <w:b w:val="0"/>
                      <w:bCs w:val="0"/>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生物质锅炉</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炉渣</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、布袋除尘灰</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定期清理袋装后暂存于</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堆渣棚</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内，</w:t>
                  </w:r>
                  <w:r>
                    <w:rPr>
                      <w:rFonts w:hint="eastAsia" w:cs="Times New Roman"/>
                      <w:b w:val="0"/>
                      <w:bCs w:val="0"/>
                      <w:color w:val="000000" w:themeColor="text1"/>
                      <w:sz w:val="21"/>
                      <w:szCs w:val="21"/>
                      <w:lang w:val="en-US" w:eastAsia="zh-CN"/>
                      <w14:textFill>
                        <w14:solidFill>
                          <w14:schemeClr w14:val="tx1"/>
                        </w14:solidFill>
                      </w14:textFill>
                    </w:rPr>
                    <w:t>作为原料外售其他企业进行综合利用</w:t>
                  </w:r>
                  <w:r>
                    <w:rPr>
                      <w:rFonts w:hint="eastAsia" w:eastAsia="宋体" w:cs="Times New Roman"/>
                      <w:b w:val="0"/>
                      <w:bCs w:val="0"/>
                      <w:color w:val="000000" w:themeColor="text1"/>
                      <w:sz w:val="21"/>
                      <w:szCs w:val="21"/>
                      <w:lang w:val="en-US" w:eastAsia="zh-CN"/>
                      <w14:textFill>
                        <w14:solidFill>
                          <w14:schemeClr w14:val="tx1"/>
                        </w14:solidFill>
                      </w14:textFill>
                    </w:rPr>
                    <w:t>；</w:t>
                  </w:r>
                  <w:r>
                    <w:rPr>
                      <w:rFonts w:hint="eastAsia" w:cs="Times New Roman"/>
                      <w:b w:val="0"/>
                      <w:bCs w:val="0"/>
                      <w:color w:val="000000" w:themeColor="text1"/>
                      <w:sz w:val="21"/>
                      <w:szCs w:val="21"/>
                      <w:lang w:val="en-US" w:eastAsia="zh-CN"/>
                      <w14:textFill>
                        <w14:solidFill>
                          <w14:schemeClr w14:val="tx1"/>
                        </w14:solidFill>
                      </w14:textFill>
                    </w:rPr>
                    <w:t>软水制备设备</w:t>
                  </w:r>
                  <w:r>
                    <w:rPr>
                      <w:rFonts w:hint="eastAsia" w:ascii="Times New Roman" w:hAnsi="Times New Roman" w:eastAsia="宋体" w:cs="Times New Roman"/>
                      <w:color w:val="000000" w:themeColor="text1"/>
                      <w:sz w:val="21"/>
                      <w:szCs w:val="21"/>
                      <w:lang w:eastAsia="zh-CN"/>
                      <w14:textFill>
                        <w14:solidFill>
                          <w14:schemeClr w14:val="tx1"/>
                        </w14:solidFill>
                      </w14:textFill>
                    </w:rPr>
                    <w:t>废离子交换树脂</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由厂家直接回收，不在厂内暂存</w:t>
                  </w:r>
                  <w:r>
                    <w:rPr>
                      <w:rFonts w:hint="eastAsia" w:eastAsia="宋体" w:cs="Times New Roman"/>
                      <w:b w:val="0"/>
                      <w:bCs w:val="0"/>
                      <w:color w:val="000000" w:themeColor="text1"/>
                      <w:sz w:val="21"/>
                      <w:szCs w:val="21"/>
                      <w:lang w:val="en-US" w:eastAsia="zh-CN"/>
                      <w14:textFill>
                        <w14:solidFill>
                          <w14:schemeClr w14:val="tx1"/>
                        </w14:solidFill>
                      </w14:textFill>
                    </w:rPr>
                    <w:t>。</w:t>
                  </w:r>
                </w:p>
                <w:p w14:paraId="583A5E04">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eastAsia="宋体" w:cs="Times New Roman"/>
                      <w:b w:val="0"/>
                      <w:bCs w:val="0"/>
                      <w:color w:val="000000" w:themeColor="text1"/>
                      <w:sz w:val="21"/>
                      <w:szCs w:val="21"/>
                      <w:lang w:val="en-US" w:eastAsia="zh-CN"/>
                      <w14:textFill>
                        <w14:solidFill>
                          <w14:schemeClr w14:val="tx1"/>
                        </w14:solidFill>
                      </w14:textFill>
                    </w:rPr>
                  </w:pPr>
                  <w:r>
                    <w:rPr>
                      <w:rFonts w:hint="default" w:cs="Times New Roman"/>
                      <w:b w:val="0"/>
                      <w:bCs w:val="0"/>
                      <w:color w:val="000000" w:themeColor="text1"/>
                      <w:sz w:val="21"/>
                      <w:szCs w:val="21"/>
                      <w:lang w:val="en-US" w:eastAsia="zh-CN"/>
                      <w14:textFill>
                        <w14:solidFill>
                          <w14:schemeClr w14:val="tx1"/>
                        </w14:solidFill>
                      </w14:textFill>
                    </w:rPr>
                    <w:t>废离子交换树脂</w:t>
                  </w:r>
                  <w:r>
                    <w:rPr>
                      <w:rFonts w:hint="eastAsia" w:cs="Times New Roman"/>
                      <w:b w:val="0"/>
                      <w:bCs w:val="0"/>
                      <w:color w:val="000000" w:themeColor="text1"/>
                      <w:sz w:val="21"/>
                      <w:szCs w:val="21"/>
                      <w:lang w:val="en-US" w:eastAsia="zh-CN"/>
                      <w14:textFill>
                        <w14:solidFill>
                          <w14:schemeClr w14:val="tx1"/>
                        </w14:solidFill>
                      </w14:textFill>
                    </w:rPr>
                    <w:t>，经对照判定，不属于</w:t>
                  </w:r>
                  <w:r>
                    <w:rPr>
                      <w:rFonts w:hint="default" w:cs="Times New Roman"/>
                      <w:b w:val="0"/>
                      <w:bCs w:val="0"/>
                      <w:color w:val="000000" w:themeColor="text1"/>
                      <w:sz w:val="21"/>
                      <w:szCs w:val="21"/>
                      <w:lang w:val="en-US" w:eastAsia="zh-CN"/>
                      <w14:textFill>
                        <w14:solidFill>
                          <w14:schemeClr w14:val="tx1"/>
                        </w14:solidFill>
                      </w14:textFill>
                    </w:rPr>
                    <w:t>《国家危险废物名录》（2025年版）</w:t>
                  </w:r>
                  <w:r>
                    <w:rPr>
                      <w:rFonts w:hint="eastAsia" w:cs="Times New Roman"/>
                      <w:b w:val="0"/>
                      <w:bCs w:val="0"/>
                      <w:color w:val="000000" w:themeColor="text1"/>
                      <w:sz w:val="21"/>
                      <w:szCs w:val="21"/>
                      <w:lang w:val="en-US" w:eastAsia="zh-CN"/>
                      <w14:textFill>
                        <w14:solidFill>
                          <w14:schemeClr w14:val="tx1"/>
                        </w14:solidFill>
                      </w14:textFill>
                    </w:rPr>
                    <w:t>中“HW13 900-015-013”“湿法冶金、表面处理和制药行业重金属、抗生素提取、分离过程产生的废弃离子交换树脂，以及工业废水处理过程产生的废弃离子交换树脂”。</w:t>
                  </w:r>
                </w:p>
                <w:p w14:paraId="5B807200">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both"/>
                    <w:textAlignment w:val="auto"/>
                    <w:rPr>
                      <w:rFonts w:hint="eastAsia"/>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各生产设备维护保养时产生的废机油、废气治理设施产生的废活性炭收集后暂存于分类存放于危废贮存库，委托有资质单位进行清运处置。固体废物均得到了妥善处置，处置率</w:t>
                  </w:r>
                  <w:r>
                    <w:rPr>
                      <w:rFonts w:hint="default"/>
                      <w:bCs/>
                      <w:color w:val="000000" w:themeColor="text1"/>
                      <w:sz w:val="21"/>
                      <w:szCs w:val="21"/>
                      <w:lang w:val="en-US" w:eastAsia="zh-CN"/>
                      <w14:textFill>
                        <w14:solidFill>
                          <w14:schemeClr w14:val="tx1"/>
                        </w14:solidFill>
                      </w14:textFill>
                    </w:rPr>
                    <w:t>100%</w:t>
                  </w:r>
                  <w:r>
                    <w:rPr>
                      <w:rFonts w:hint="eastAsia"/>
                      <w:bCs/>
                      <w:color w:val="000000" w:themeColor="text1"/>
                      <w:sz w:val="21"/>
                      <w:szCs w:val="21"/>
                      <w:lang w:val="en-US" w:eastAsia="zh-CN"/>
                      <w14:textFill>
                        <w14:solidFill>
                          <w14:schemeClr w14:val="tx1"/>
                        </w14:solidFill>
                      </w14:textFill>
                    </w:rPr>
                    <w:t>。</w:t>
                  </w:r>
                </w:p>
              </w:tc>
              <w:tc>
                <w:tcPr>
                  <w:tcW w:w="548" w:type="pct"/>
                  <w:vAlign w:val="center"/>
                </w:tcPr>
                <w:p w14:paraId="7BB9161E">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14:paraId="2E7F5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restart"/>
                  <w:vAlign w:val="center"/>
                </w:tcPr>
                <w:p w14:paraId="10780CEF">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环境风险</w:t>
                  </w:r>
                  <w:r>
                    <w:rPr>
                      <w:rFonts w:hint="eastAsia"/>
                      <w:color w:val="000000" w:themeColor="text1"/>
                      <w:sz w:val="21"/>
                      <w:szCs w:val="21"/>
                      <w:lang w:val="en-US" w:eastAsia="zh-CN"/>
                      <w14:textFill>
                        <w14:solidFill>
                          <w14:schemeClr w14:val="tx1"/>
                        </w14:solidFill>
                      </w14:textFill>
                    </w:rPr>
                    <w:t>防控</w:t>
                  </w:r>
                </w:p>
              </w:tc>
              <w:tc>
                <w:tcPr>
                  <w:tcW w:w="2132" w:type="pct"/>
                  <w:vAlign w:val="center"/>
                </w:tcPr>
                <w:p w14:paraId="37682D50">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强化与其他滇中城市的大气、水污染防治联防联控协作机制，加强区域内重污染天气和跨界水体风险应急联动。</w:t>
                  </w:r>
                </w:p>
              </w:tc>
              <w:tc>
                <w:tcPr>
                  <w:tcW w:w="1830" w:type="pct"/>
                  <w:vMerge w:val="restart"/>
                  <w:vAlign w:val="center"/>
                </w:tcPr>
                <w:p w14:paraId="7DD03FB9">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本项目针对存在的环境风险采取了相应的风险防范措施，</w:t>
                  </w:r>
                </w:p>
                <w:p w14:paraId="0E8F52F6">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公司已于2024年完成应急预案修编并于2024年7月11日取得《企业事业单位突发环境事件应急预案备案表》（备案编号530426-2024-020-L）。</w:t>
                  </w:r>
                </w:p>
                <w:p w14:paraId="5233683D">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本项目建成后及时修编突发环境事件应急预案，在当地生态环境主管部门进行备案后定期进行相关的培训和演练。</w:t>
                  </w:r>
                </w:p>
              </w:tc>
              <w:tc>
                <w:tcPr>
                  <w:tcW w:w="548" w:type="pct"/>
                  <w:vAlign w:val="center"/>
                </w:tcPr>
                <w:p w14:paraId="39B32CA4">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14:paraId="10DE4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continue"/>
                  <w:vAlign w:val="center"/>
                </w:tcPr>
                <w:p w14:paraId="444B77CC">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color w:val="000000" w:themeColor="text1"/>
                      <w:sz w:val="21"/>
                      <w:szCs w:val="21"/>
                      <w:lang w:val="en-US" w:eastAsia="zh-CN"/>
                      <w14:textFill>
                        <w14:solidFill>
                          <w14:schemeClr w14:val="tx1"/>
                        </w14:solidFill>
                      </w14:textFill>
                    </w:rPr>
                  </w:pPr>
                </w:p>
              </w:tc>
              <w:tc>
                <w:tcPr>
                  <w:tcW w:w="2132" w:type="pct"/>
                  <w:vAlign w:val="center"/>
                </w:tcPr>
                <w:p w14:paraId="4CD496EE">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开展涉危险废物涉重金属企业、化工园区等重点领域环境风险调查评估，加强危险化学品运输全链条安全监管。完善环境应急管理体系，提升市县两级环境应急响应能力，推进应急物资库建设。开展涉铊企业排查整治行动。建立“平战结合”医疗废物应急处置体系。</w:t>
                  </w:r>
                </w:p>
              </w:tc>
              <w:tc>
                <w:tcPr>
                  <w:tcW w:w="1830" w:type="pct"/>
                  <w:vMerge w:val="continue"/>
                  <w:vAlign w:val="center"/>
                </w:tcPr>
                <w:p w14:paraId="59798E2E">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color w:val="000000" w:themeColor="text1"/>
                      <w:sz w:val="21"/>
                      <w:szCs w:val="21"/>
                      <w:lang w:val="en-US" w:eastAsia="zh-CN"/>
                      <w14:textFill>
                        <w14:solidFill>
                          <w14:schemeClr w14:val="tx1"/>
                        </w14:solidFill>
                      </w14:textFill>
                    </w:rPr>
                  </w:pPr>
                </w:p>
              </w:tc>
              <w:tc>
                <w:tcPr>
                  <w:tcW w:w="548" w:type="pct"/>
                  <w:vAlign w:val="center"/>
                </w:tcPr>
                <w:p w14:paraId="5EF9FCF2">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14:paraId="092D7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restart"/>
                  <w:vAlign w:val="center"/>
                </w:tcPr>
                <w:p w14:paraId="59E3A163">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hint="default" w:ascii="Times New Roman" w:hAnsi="Times New Roman" w:eastAsia="宋体"/>
                      <w:color w:val="000000" w:themeColor="text1"/>
                      <w:sz w:val="21"/>
                      <w:szCs w:val="21"/>
                      <w:lang w:val="en-US" w:eastAsia="zh-CN"/>
                      <w14:textFill>
                        <w14:solidFill>
                          <w14:schemeClr w14:val="tx1"/>
                        </w14:solidFill>
                      </w14:textFill>
                    </w:rPr>
                    <w:t>资源开发</w:t>
                  </w:r>
                  <w:r>
                    <w:rPr>
                      <w:rFonts w:hint="eastAsia" w:ascii="Times New Roman" w:hAnsi="Times New Roman" w:eastAsia="宋体"/>
                      <w:color w:val="000000" w:themeColor="text1"/>
                      <w:sz w:val="21"/>
                      <w:szCs w:val="21"/>
                      <w:lang w:val="en-US" w:eastAsia="zh-CN"/>
                      <w14:textFill>
                        <w14:solidFill>
                          <w14:schemeClr w14:val="tx1"/>
                        </w14:solidFill>
                      </w14:textFill>
                    </w:rPr>
                    <w:t>利用效率</w:t>
                  </w:r>
                </w:p>
              </w:tc>
              <w:tc>
                <w:tcPr>
                  <w:tcW w:w="2132" w:type="pct"/>
                  <w:vAlign w:val="center"/>
                </w:tcPr>
                <w:p w14:paraId="43AB6578">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降低水、土地、能源、矿产资源消耗强度，强化约束性指标管理。</w:t>
                  </w:r>
                </w:p>
              </w:tc>
              <w:tc>
                <w:tcPr>
                  <w:tcW w:w="1830" w:type="pct"/>
                  <w:vMerge w:val="restart"/>
                  <w:shd w:val="clear" w:color="auto" w:fill="auto"/>
                  <w:vAlign w:val="center"/>
                </w:tcPr>
                <w:p w14:paraId="0AA11CE9">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z w:val="21"/>
                      <w:szCs w:val="21"/>
                      <w:vertAlign w:val="baseline"/>
                      <w:lang w:val="en-US" w:eastAsia="zh-CN"/>
                      <w14:textFill>
                        <w14:solidFill>
                          <w14:schemeClr w14:val="tx1"/>
                        </w14:solidFill>
                      </w14:textFill>
                    </w:rPr>
                    <w:t>本项目生活污水经化粪池处理后进入一体化生活污水处理设施，处理达标后用于厂区绿化，不外排。</w:t>
                  </w:r>
                </w:p>
                <w:p w14:paraId="6B6D4594">
                  <w:pPr>
                    <w:keepNext w:val="0"/>
                    <w:keepLines w:val="0"/>
                    <w:pageBreakBefore w:val="0"/>
                    <w:widowControl/>
                    <w:kinsoku/>
                    <w:wordWrap/>
                    <w:overflowPunct/>
                    <w:topLinePunct w:val="0"/>
                    <w:autoSpaceDE/>
                    <w:autoSpaceDN/>
                    <w:bidi w:val="0"/>
                    <w:adjustRightInd w:val="0"/>
                    <w:snapToGrid w:val="0"/>
                    <w:spacing w:line="240" w:lineRule="auto"/>
                    <w:ind w:left="0" w:leftChars="0"/>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本项目软水制备废水及生物质锅炉排污水</w:t>
                  </w:r>
                  <w:r>
                    <w:rPr>
                      <w:rFonts w:hint="eastAsia" w:cs="Times New Roman"/>
                      <w:color w:val="000000" w:themeColor="text1"/>
                      <w:kern w:val="2"/>
                      <w:sz w:val="21"/>
                      <w:szCs w:val="21"/>
                      <w:lang w:val="en-US" w:eastAsia="zh-CN" w:bidi="ar-SA"/>
                      <w14:textFill>
                        <w14:solidFill>
                          <w14:schemeClr w14:val="tx1"/>
                        </w14:solidFill>
                      </w14:textFill>
                    </w:rPr>
                    <w:t>经收集处理后回用于厂区洒水降尘</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，不外排。发泡工段蒸汽冷凝水用于生物质锅炉损耗补充水，不外排。</w:t>
                  </w:r>
                  <w:r>
                    <w:rPr>
                      <w:rFonts w:hint="eastAsia" w:cs="Times New Roman"/>
                      <w:color w:val="000000" w:themeColor="text1"/>
                      <w:kern w:val="2"/>
                      <w:sz w:val="21"/>
                      <w:szCs w:val="21"/>
                      <w:lang w:val="en-US" w:eastAsia="zh-CN" w:bidi="ar-SA"/>
                      <w14:textFill>
                        <w14:solidFill>
                          <w14:schemeClr w14:val="tx1"/>
                        </w14:solidFill>
                      </w14:textFill>
                    </w:rPr>
                    <w:t>流化干燥、烘干环节蒸汽自然蒸发</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压模环节蒸汽加热成型后多余蒸汽排出，自然蒸发</w:t>
                  </w:r>
                  <w:r>
                    <w:rPr>
                      <w:rFonts w:hint="eastAsia"/>
                      <w:color w:val="000000" w:themeColor="text1"/>
                      <w:kern w:val="0"/>
                      <w:szCs w:val="21"/>
                      <w:highlight w:val="none"/>
                      <w:lang w:val="en-US" w:eastAsia="zh-CN"/>
                      <w14:textFill>
                        <w14:solidFill>
                          <w14:schemeClr w14:val="tx1"/>
                        </w14:solidFill>
                      </w14:textFill>
                    </w:rPr>
                    <w:t>。</w:t>
                  </w:r>
                </w:p>
              </w:tc>
              <w:tc>
                <w:tcPr>
                  <w:tcW w:w="548" w:type="pct"/>
                  <w:vAlign w:val="center"/>
                </w:tcPr>
                <w:p w14:paraId="679C9CCF">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符合</w:t>
                  </w:r>
                </w:p>
              </w:tc>
            </w:tr>
            <w:tr w14:paraId="12A6C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continue"/>
                  <w:vAlign w:val="center"/>
                </w:tcPr>
                <w:p w14:paraId="3CBBEC94">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2132" w:type="pct"/>
                  <w:vAlign w:val="center"/>
                </w:tcPr>
                <w:p w14:paraId="439E3479">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实行最严格的水资源管理制度，严格用水总量、强度指标管理，严格取水管控，建立重点监控取水单位名录，强化重点监控取水单位管理。全市年用水总量、万元工业增加值用水量降幅等指标达到省考核要求。</w:t>
                  </w:r>
                </w:p>
              </w:tc>
              <w:tc>
                <w:tcPr>
                  <w:tcW w:w="1830" w:type="pct"/>
                  <w:vMerge w:val="continue"/>
                  <w:vAlign w:val="center"/>
                </w:tcPr>
                <w:p w14:paraId="6A6F1698">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548" w:type="pct"/>
                  <w:vAlign w:val="center"/>
                </w:tcPr>
                <w:p w14:paraId="6CD892B4">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符合</w:t>
                  </w:r>
                </w:p>
              </w:tc>
            </w:tr>
            <w:tr w14:paraId="1A414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continue"/>
                  <w:vAlign w:val="center"/>
                </w:tcPr>
                <w:p w14:paraId="442E9E27">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color w:val="000000" w:themeColor="text1"/>
                      <w:sz w:val="21"/>
                      <w:szCs w:val="21"/>
                      <w14:textFill>
                        <w14:solidFill>
                          <w14:schemeClr w14:val="tx1"/>
                        </w14:solidFill>
                      </w14:textFill>
                    </w:rPr>
                  </w:pPr>
                </w:p>
              </w:tc>
              <w:tc>
                <w:tcPr>
                  <w:tcW w:w="2132" w:type="pct"/>
                  <w:vAlign w:val="center"/>
                </w:tcPr>
                <w:p w14:paraId="7D371C27">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坚持最严格的耕地保护制度，守住耕地保护红线。坚持节约用地，严格执行耕地占补平衡等制度，提高土地投资强度和单位面积产出水平。</w:t>
                  </w:r>
                </w:p>
              </w:tc>
              <w:tc>
                <w:tcPr>
                  <w:tcW w:w="1830" w:type="pct"/>
                  <w:vAlign w:val="center"/>
                </w:tcPr>
                <w:p w14:paraId="2B4B396C">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本项目不涉及耕地。</w:t>
                  </w:r>
                </w:p>
              </w:tc>
              <w:tc>
                <w:tcPr>
                  <w:tcW w:w="548" w:type="pct"/>
                  <w:vAlign w:val="center"/>
                </w:tcPr>
                <w:p w14:paraId="5E75E473">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14:paraId="50478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continue"/>
                  <w:vAlign w:val="center"/>
                </w:tcPr>
                <w:p w14:paraId="70DF5D0E">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color w:val="000000" w:themeColor="text1"/>
                      <w:sz w:val="21"/>
                      <w:szCs w:val="21"/>
                      <w14:textFill>
                        <w14:solidFill>
                          <w14:schemeClr w14:val="tx1"/>
                        </w14:solidFill>
                      </w14:textFill>
                    </w:rPr>
                  </w:pPr>
                </w:p>
              </w:tc>
              <w:tc>
                <w:tcPr>
                  <w:tcW w:w="2132" w:type="pct"/>
                  <w:vAlign w:val="center"/>
                </w:tcPr>
                <w:p w14:paraId="2390CCDD">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高污染燃料禁燃区按照《高污染燃料目录》及当地有关禁燃区管理规定执行。</w:t>
                  </w:r>
                </w:p>
              </w:tc>
              <w:tc>
                <w:tcPr>
                  <w:tcW w:w="1830" w:type="pct"/>
                  <w:vAlign w:val="center"/>
                </w:tcPr>
                <w:p w14:paraId="5748B59D">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eastAsia="宋体" w:cs="Times New Roman"/>
                      <w:b w:val="0"/>
                      <w:bCs w:val="0"/>
                      <w:color w:val="000000" w:themeColor="text1"/>
                      <w:sz w:val="21"/>
                      <w:szCs w:val="21"/>
                      <w:vertAlign w:val="baseline"/>
                      <w:lang w:val="en-US" w:eastAsia="zh-CN"/>
                      <w14:textFill>
                        <w14:solidFill>
                          <w14:schemeClr w14:val="tx1"/>
                        </w14:solidFill>
                      </w14:textFill>
                    </w:rPr>
                    <w:t>本项目位于云南红塔工业园区研和片区双小地块，不涉及玉溪市高污染燃料禁燃区</w:t>
                  </w:r>
                  <w:r>
                    <w:rPr>
                      <w:rFonts w:hint="eastAsia"/>
                      <w:color w:val="000000" w:themeColor="text1"/>
                      <w:sz w:val="21"/>
                      <w:szCs w:val="21"/>
                      <w:lang w:val="en-US" w:eastAsia="zh-CN"/>
                      <w14:textFill>
                        <w14:solidFill>
                          <w14:schemeClr w14:val="tx1"/>
                        </w14:solidFill>
                      </w14:textFill>
                    </w:rPr>
                    <w:t>。</w:t>
                  </w:r>
                </w:p>
              </w:tc>
              <w:tc>
                <w:tcPr>
                  <w:tcW w:w="548" w:type="pct"/>
                  <w:vAlign w:val="center"/>
                </w:tcPr>
                <w:p w14:paraId="028A1FD9">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14:paraId="17976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continue"/>
                  <w:vAlign w:val="center"/>
                </w:tcPr>
                <w:p w14:paraId="3E732CCB">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color w:val="000000" w:themeColor="text1"/>
                      <w:sz w:val="21"/>
                      <w:szCs w:val="21"/>
                      <w14:textFill>
                        <w14:solidFill>
                          <w14:schemeClr w14:val="tx1"/>
                        </w14:solidFill>
                      </w14:textFill>
                    </w:rPr>
                  </w:pPr>
                </w:p>
              </w:tc>
              <w:tc>
                <w:tcPr>
                  <w:tcW w:w="2132" w:type="pct"/>
                  <w:vAlign w:val="center"/>
                </w:tcPr>
                <w:p w14:paraId="0DB3AC6F">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实施高效节水灌溉工程，大力推广高效节水灌溉措施，到</w:t>
                  </w:r>
                  <w:r>
                    <w:rPr>
                      <w:rFonts w:hint="default"/>
                      <w:color w:val="000000" w:themeColor="text1"/>
                      <w:sz w:val="21"/>
                      <w:szCs w:val="21"/>
                      <w:lang w:val="en-US" w:eastAsia="zh-CN"/>
                      <w14:textFill>
                        <w14:solidFill>
                          <w14:schemeClr w14:val="tx1"/>
                        </w14:solidFill>
                      </w14:textFill>
                    </w:rPr>
                    <w:t>2025</w:t>
                  </w:r>
                  <w:r>
                    <w:rPr>
                      <w:rFonts w:hint="eastAsia"/>
                      <w:color w:val="000000" w:themeColor="text1"/>
                      <w:sz w:val="21"/>
                      <w:szCs w:val="21"/>
                      <w:lang w:val="en-US" w:eastAsia="zh-CN"/>
                      <w14:textFill>
                        <w14:solidFill>
                          <w14:schemeClr w14:val="tx1"/>
                        </w14:solidFill>
                      </w14:textFill>
                    </w:rPr>
                    <w:t>年，农田灌溉水有效利用系数达到</w:t>
                  </w:r>
                  <w:r>
                    <w:rPr>
                      <w:rFonts w:hint="default"/>
                      <w:color w:val="000000" w:themeColor="text1"/>
                      <w:sz w:val="21"/>
                      <w:szCs w:val="21"/>
                      <w:lang w:val="en-US" w:eastAsia="zh-CN"/>
                      <w14:textFill>
                        <w14:solidFill>
                          <w14:schemeClr w14:val="tx1"/>
                        </w14:solidFill>
                      </w14:textFill>
                    </w:rPr>
                    <w:t>0.55</w:t>
                  </w:r>
                  <w:r>
                    <w:rPr>
                      <w:rFonts w:hint="eastAsia"/>
                      <w:color w:val="000000" w:themeColor="text1"/>
                      <w:sz w:val="21"/>
                      <w:szCs w:val="21"/>
                      <w:lang w:val="en-US" w:eastAsia="zh-CN"/>
                      <w14:textFill>
                        <w14:solidFill>
                          <w14:schemeClr w14:val="tx1"/>
                        </w14:solidFill>
                      </w14:textFill>
                    </w:rPr>
                    <w:t>。</w:t>
                  </w:r>
                </w:p>
              </w:tc>
              <w:tc>
                <w:tcPr>
                  <w:tcW w:w="1830" w:type="pct"/>
                  <w:vAlign w:val="center"/>
                </w:tcPr>
                <w:p w14:paraId="5261CC6A">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本项目不涉及农田灌溉</w:t>
                  </w:r>
                </w:p>
              </w:tc>
              <w:tc>
                <w:tcPr>
                  <w:tcW w:w="548" w:type="pct"/>
                  <w:vAlign w:val="center"/>
                </w:tcPr>
                <w:p w14:paraId="7D1217F8">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14:paraId="6FBAD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vAlign w:val="center"/>
                </w:tcPr>
                <w:p w14:paraId="42C933ED">
                  <w:pPr>
                    <w:keepNext w:val="0"/>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峨山县</w:t>
                  </w:r>
                  <w:r>
                    <w:rPr>
                      <w:b/>
                      <w:bCs/>
                      <w:color w:val="000000" w:themeColor="text1"/>
                      <w:szCs w:val="21"/>
                      <w:lang w:val="en-US" w:eastAsia="zh-CN"/>
                      <w14:textFill>
                        <w14:solidFill>
                          <w14:schemeClr w14:val="tx1"/>
                        </w14:solidFill>
                      </w14:textFill>
                    </w:rPr>
                    <w:t>产业</w:t>
                  </w:r>
                  <w:r>
                    <w:rPr>
                      <w:rFonts w:hint="default"/>
                      <w:b/>
                      <w:bCs/>
                      <w:color w:val="000000" w:themeColor="text1"/>
                      <w:szCs w:val="21"/>
                      <w:lang w:val="en-US" w:eastAsia="zh-CN"/>
                      <w14:textFill>
                        <w14:solidFill>
                          <w14:schemeClr w14:val="tx1"/>
                        </w14:solidFill>
                      </w14:textFill>
                    </w:rPr>
                    <w:t>园区重点管控单元</w:t>
                  </w:r>
                </w:p>
              </w:tc>
            </w:tr>
            <w:tr w14:paraId="5FD96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restart"/>
                  <w:vAlign w:val="center"/>
                </w:tcPr>
                <w:p w14:paraId="6EA0ADFF">
                  <w:pPr>
                    <w:keepNext w:val="0"/>
                    <w:keepLines/>
                    <w:pageBreakBefore w:val="0"/>
                    <w:widowControl/>
                    <w:kinsoku/>
                    <w:overflowPunct/>
                    <w:topLinePunct w:val="0"/>
                    <w:bidi w:val="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空间布</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局约束</w:t>
                  </w:r>
                </w:p>
              </w:tc>
              <w:tc>
                <w:tcPr>
                  <w:tcW w:w="2132" w:type="pct"/>
                  <w:vAlign w:val="center"/>
                </w:tcPr>
                <w:p w14:paraId="469973B5">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合理规划产业分区和功能定位，禁止不符合产业政策、产业结构调整指导目录和园区规划要求的项目入园区。新建</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两高</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项目依据区域环境质量改善目标，必须严格落实产能减量置换，制定配套区域污染物削减方案，采取有效的污染物区域削减措施，腾出足够的环境容量。新建、扩建（转型升级）的</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两高</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项目应采用先进适用的工艺技术和装备，单位产品物耗、能耗、水耗等达到清洁生产先进水平，依法制定并严格落实防治土壤与地下水污染的措施。已出台超低排放要求的</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两高</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行业建设项目应满足超低排放要求。</w:t>
                  </w:r>
                </w:p>
              </w:tc>
              <w:tc>
                <w:tcPr>
                  <w:tcW w:w="1830" w:type="pct"/>
                  <w:vAlign w:val="center"/>
                </w:tcPr>
                <w:p w14:paraId="14549F63">
                  <w:pPr>
                    <w:keepNext w:val="0"/>
                    <w:keepLines w:val="0"/>
                    <w:pageBreakBefore w:val="0"/>
                    <w:widowControl/>
                    <w:suppressLineNumbers w:val="0"/>
                    <w:kinsoku/>
                    <w:wordWrap w:val="0"/>
                    <w:overflowPunct/>
                    <w:topLinePunct w:val="0"/>
                    <w:autoSpaceDE/>
                    <w:autoSpaceDN/>
                    <w:bidi w:val="0"/>
                    <w:adjustRightInd/>
                    <w:snapToGrid/>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本项目为锅炉及环保设施技改项目，</w:t>
                  </w:r>
                  <w:r>
                    <w:rPr>
                      <w:rFonts w:hint="eastAsia"/>
                      <w:color w:val="000000" w:themeColor="text1"/>
                      <w:lang w:eastAsia="zh-CN"/>
                      <w14:textFill>
                        <w14:solidFill>
                          <w14:schemeClr w14:val="tx1"/>
                        </w14:solidFill>
                      </w14:textFill>
                    </w:rPr>
                    <w:t>项目不属于</w:t>
                  </w:r>
                  <w:r>
                    <w:rPr>
                      <w:rFonts w:hint="default" w:ascii="Times New Roman" w:hAnsi="Times New Roman" w:eastAsia="宋体" w:cs="Times New Roman"/>
                      <w:color w:val="000000" w:themeColor="text1"/>
                      <w:lang w:val="en-US" w:eastAsia="zh-CN"/>
                      <w14:textFill>
                        <w14:solidFill>
                          <w14:schemeClr w14:val="tx1"/>
                        </w14:solidFill>
                      </w14:textFill>
                    </w:rPr>
                    <w:t>《产业结构调整指导目录（2024年本）》</w:t>
                  </w:r>
                  <w:r>
                    <w:rPr>
                      <w:rFonts w:hint="eastAsia" w:cs="Times New Roman"/>
                      <w:color w:val="000000" w:themeColor="text1"/>
                      <w:lang w:val="en-US" w:eastAsia="zh-CN"/>
                      <w14:textFill>
                        <w14:solidFill>
                          <w14:schemeClr w14:val="tx1"/>
                        </w14:solidFill>
                      </w14:textFill>
                    </w:rPr>
                    <w:t>中所列的限制类、淘汰类生产工艺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p w14:paraId="69E0B25D">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本项目符合</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园区规划要求</w:t>
                  </w:r>
                  <w:r>
                    <w:rPr>
                      <w:rFonts w:hint="eastAsia" w:cs="Times New Roman"/>
                      <w:color w:val="000000" w:themeColor="text1"/>
                      <w:kern w:val="2"/>
                      <w:sz w:val="21"/>
                      <w:szCs w:val="21"/>
                      <w:lang w:val="en-US" w:eastAsia="zh-CN" w:bidi="ar-SA"/>
                      <w14:textFill>
                        <w14:solidFill>
                          <w14:schemeClr w14:val="tx1"/>
                        </w14:solidFill>
                      </w14:textFill>
                    </w:rPr>
                    <w:t>。</w:t>
                  </w:r>
                </w:p>
                <w:p w14:paraId="7EE66417">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本项目不属于</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两高</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项目，公司</w:t>
                  </w:r>
                  <w:r>
                    <w:rPr>
                      <w:rFonts w:hint="eastAsia" w:cs="Times New Roman"/>
                      <w:color w:val="000000" w:themeColor="text1"/>
                      <w:sz w:val="21"/>
                      <w:szCs w:val="21"/>
                      <w:lang w:val="en-US" w:eastAsia="zh-CN"/>
                      <w14:textFill>
                        <w14:solidFill>
                          <w14:schemeClr w14:val="tx1"/>
                        </w14:solidFill>
                      </w14:textFill>
                    </w:rPr>
                    <w:t>现有项目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为泡沫板材制造，不属于</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两高</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w:t>
                  </w:r>
                </w:p>
              </w:tc>
              <w:tc>
                <w:tcPr>
                  <w:tcW w:w="548" w:type="pct"/>
                  <w:vAlign w:val="center"/>
                </w:tcPr>
                <w:p w14:paraId="7E69EF67">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502E9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continue"/>
                  <w:vAlign w:val="center"/>
                </w:tcPr>
                <w:p w14:paraId="22C9B996">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132" w:type="pct"/>
                  <w:vAlign w:val="center"/>
                </w:tcPr>
                <w:p w14:paraId="78FAB1DD">
                  <w:pPr>
                    <w:keepNext w:val="0"/>
                    <w:keepLines/>
                    <w:pageBreakBefore w:val="0"/>
                    <w:widowControl/>
                    <w:kinsoku/>
                    <w:overflowPunct/>
                    <w:topLinePunct w:val="0"/>
                    <w:bidi w:val="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绿色钢城片区钢铁产业组团仅布设钢铁产业及其下游产业链，取消矿石采选、有色金属冶炼企业。钢铁企业必须严格执行产能置换，大力推进非高炉炼铁技术示范，提升废钢资源回收利用水平，推行全废钢电炉工艺。大力推广高温高压干熄焦、干法除尘、煤气余热余压回收利用、烧结烟气脱硫等循环经济和节能减排新技术新工艺，提高</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三废</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的综合治理和利用水平。</w:t>
                  </w:r>
                </w:p>
              </w:tc>
              <w:tc>
                <w:tcPr>
                  <w:tcW w:w="1830" w:type="pct"/>
                  <w:vAlign w:val="center"/>
                </w:tcPr>
                <w:p w14:paraId="07A1A651">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w:t>
                  </w:r>
                  <w:r>
                    <w:rPr>
                      <w:rFonts w:hint="eastAsia" w:cs="Times New Roman"/>
                      <w:color w:val="000000" w:themeColor="text1"/>
                      <w:sz w:val="21"/>
                      <w:szCs w:val="21"/>
                      <w:lang w:val="en-US" w:eastAsia="zh-CN"/>
                      <w14:textFill>
                        <w14:solidFill>
                          <w14:schemeClr w14:val="tx1"/>
                        </w14:solidFill>
                      </w14:textFill>
                    </w:rPr>
                    <w:t>云南红塔产业园区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研和片区双小地块。不涉及绿色钢城片区。</w:t>
                  </w:r>
                </w:p>
              </w:tc>
              <w:tc>
                <w:tcPr>
                  <w:tcW w:w="548" w:type="pct"/>
                  <w:vAlign w:val="center"/>
                </w:tcPr>
                <w:p w14:paraId="4B1EA34E">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14:paraId="1CBC4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continue"/>
                  <w:vAlign w:val="center"/>
                </w:tcPr>
                <w:p w14:paraId="62C45AEC">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132" w:type="pct"/>
                  <w:vAlign w:val="center"/>
                </w:tcPr>
                <w:p w14:paraId="769CB7C4">
                  <w:pPr>
                    <w:keepNext w:val="0"/>
                    <w:keepLines/>
                    <w:pageBreakBefore w:val="0"/>
                    <w:widowControl/>
                    <w:kinsoku/>
                    <w:overflowPunct/>
                    <w:topLinePunct w:val="0"/>
                    <w:bidi w:val="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绿色钢城片区现有食品企业应及时进行搬迁退出，不得引进水污染物排放量大的企业；居民集中区周边禁止布局重污染企业，下风向化念镇居住人口较多，村庄逐步搬迁，并与居民预留足够的卫生防护距离。</w:t>
                  </w:r>
                </w:p>
              </w:tc>
              <w:tc>
                <w:tcPr>
                  <w:tcW w:w="1830" w:type="pct"/>
                  <w:vAlign w:val="center"/>
                </w:tcPr>
                <w:p w14:paraId="02D99DC1">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w:t>
                  </w:r>
                  <w:r>
                    <w:rPr>
                      <w:rFonts w:hint="eastAsia" w:cs="Times New Roman"/>
                      <w:color w:val="000000" w:themeColor="text1"/>
                      <w:sz w:val="21"/>
                      <w:szCs w:val="21"/>
                      <w:lang w:val="en-US" w:eastAsia="zh-CN"/>
                      <w14:textFill>
                        <w14:solidFill>
                          <w14:schemeClr w14:val="tx1"/>
                        </w14:solidFill>
                      </w14:textFill>
                    </w:rPr>
                    <w:t>云南红塔产业园区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研和片区双小地块。不涉及绿色钢城片区。</w:t>
                  </w:r>
                </w:p>
              </w:tc>
              <w:tc>
                <w:tcPr>
                  <w:tcW w:w="548" w:type="pct"/>
                  <w:vAlign w:val="center"/>
                </w:tcPr>
                <w:p w14:paraId="446E3C74">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14:paraId="2CB07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continue"/>
                  <w:vAlign w:val="center"/>
                </w:tcPr>
                <w:p w14:paraId="4E7F5723">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132" w:type="pct"/>
                  <w:vAlign w:val="center"/>
                </w:tcPr>
                <w:p w14:paraId="64548C1C">
                  <w:pPr>
                    <w:keepNext w:val="0"/>
                    <w:keepLines/>
                    <w:pageBreakBefore w:val="0"/>
                    <w:widowControl/>
                    <w:kinsoku/>
                    <w:overflowPunct/>
                    <w:topLinePunct w:val="0"/>
                    <w:bidi w:val="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研和片区双小地块限制养殖屠宰等恶臭废气产生量大的企业布局，禁止布局危险废物集中处置项目和大气重污染产业，在猊江水质不能稳定达标前，不得引进排水量大的水污染型企业。</w:t>
                  </w:r>
                </w:p>
              </w:tc>
              <w:tc>
                <w:tcPr>
                  <w:tcW w:w="1830" w:type="pct"/>
                  <w:vAlign w:val="center"/>
                </w:tcPr>
                <w:p w14:paraId="4D41B0A8">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本项目为锅炉及环保设施技改项目，公司</w:t>
                  </w:r>
                  <w:r>
                    <w:rPr>
                      <w:rFonts w:hint="eastAsia" w:cs="Times New Roman"/>
                      <w:color w:val="000000" w:themeColor="text1"/>
                      <w:sz w:val="21"/>
                      <w:szCs w:val="21"/>
                      <w:lang w:val="en-US" w:eastAsia="zh-CN"/>
                      <w14:textFill>
                        <w14:solidFill>
                          <w14:schemeClr w14:val="tx1"/>
                        </w14:solidFill>
                      </w14:textFill>
                    </w:rPr>
                    <w:t>现有项目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为泡沫板材制造，不属于养殖屠宰等恶臭废气产生量大的企业，不属于危险废物集中处置项目和大气重污染产业。</w:t>
                  </w:r>
                </w:p>
                <w:p w14:paraId="5F572715">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本项目初期雨水经收集后进入</w:t>
                  </w:r>
                  <w:r>
                    <w:rPr>
                      <w:rFonts w:hint="eastAsia" w:eastAsia="宋体" w:cs="Times New Roman"/>
                      <w:b w:val="0"/>
                      <w:bCs w:val="0"/>
                      <w:color w:val="000000" w:themeColor="text1"/>
                      <w:sz w:val="21"/>
                      <w:szCs w:val="21"/>
                      <w:vertAlign w:val="baseline"/>
                      <w:lang w:val="en-US" w:eastAsia="zh-CN"/>
                      <w14:textFill>
                        <w14:solidFill>
                          <w14:schemeClr w14:val="tx1"/>
                        </w14:solidFill>
                      </w14:textFill>
                    </w:rPr>
                    <w:t>周边道路旁雨水沟</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；生活污水经化粪池处理后进入一体化生活污水处理设</w:t>
                  </w:r>
                  <w:r>
                    <w:rPr>
                      <w:rFonts w:hint="eastAsia" w:eastAsia="宋体" w:cs="Times New Roman"/>
                      <w:b w:val="0"/>
                      <w:bCs w:val="0"/>
                      <w:color w:val="000000" w:themeColor="text1"/>
                      <w:sz w:val="21"/>
                      <w:szCs w:val="21"/>
                      <w:vertAlign w:val="baseline"/>
                      <w:lang w:val="en-US" w:eastAsia="zh-CN"/>
                      <w14:textFill>
                        <w14:solidFill>
                          <w14:schemeClr w14:val="tx1"/>
                        </w14:solidFill>
                      </w14:textFill>
                    </w:rPr>
                    <w:t>施，处理达标后用于厂区绿化，不外排。</w:t>
                  </w:r>
                </w:p>
                <w:p w14:paraId="1C49D1E3">
                  <w:pPr>
                    <w:keepNext w:val="0"/>
                    <w:keepLines w:val="0"/>
                    <w:pageBreakBefore w:val="0"/>
                    <w:widowControl/>
                    <w:kinsoku/>
                    <w:wordWrap/>
                    <w:overflowPunct/>
                    <w:topLinePunct w:val="0"/>
                    <w:autoSpaceDE/>
                    <w:autoSpaceDN/>
                    <w:bidi w:val="0"/>
                    <w:adjustRightInd w:val="0"/>
                    <w:snapToGrid w:val="0"/>
                    <w:spacing w:line="240" w:lineRule="auto"/>
                    <w:ind w:left="0" w:leftChars="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本项目软水制备废水及生物质锅炉排污水</w:t>
                  </w:r>
                  <w:r>
                    <w:rPr>
                      <w:rFonts w:hint="eastAsia" w:cs="Times New Roman"/>
                      <w:color w:val="000000" w:themeColor="text1"/>
                      <w:kern w:val="2"/>
                      <w:sz w:val="21"/>
                      <w:szCs w:val="21"/>
                      <w:lang w:val="en-US" w:eastAsia="zh-CN" w:bidi="ar-SA"/>
                      <w14:textFill>
                        <w14:solidFill>
                          <w14:schemeClr w14:val="tx1"/>
                        </w14:solidFill>
                      </w14:textFill>
                    </w:rPr>
                    <w:t>经收集处理后回用于厂区洒水降尘</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，不外排。发泡工段蒸汽冷凝水用于生物质锅炉损耗补充水，不外排。</w:t>
                  </w:r>
                  <w:r>
                    <w:rPr>
                      <w:rFonts w:hint="eastAsia" w:cs="Times New Roman"/>
                      <w:color w:val="000000" w:themeColor="text1"/>
                      <w:kern w:val="2"/>
                      <w:sz w:val="21"/>
                      <w:szCs w:val="21"/>
                      <w:lang w:val="en-US" w:eastAsia="zh-CN" w:bidi="ar-SA"/>
                      <w14:textFill>
                        <w14:solidFill>
                          <w14:schemeClr w14:val="tx1"/>
                        </w14:solidFill>
                      </w14:textFill>
                    </w:rPr>
                    <w:t>流化干燥、烘干环节蒸汽自然蒸发</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压模环节蒸汽加热成型后多余蒸汽排出，自然蒸发</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48" w:type="pct"/>
                  <w:vAlign w:val="center"/>
                </w:tcPr>
                <w:p w14:paraId="5143417A">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14:paraId="70A47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restart"/>
                  <w:vAlign w:val="center"/>
                </w:tcPr>
                <w:p w14:paraId="20E9B389">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污染物排放管控</w:t>
                  </w:r>
                </w:p>
              </w:tc>
              <w:tc>
                <w:tcPr>
                  <w:tcW w:w="2132" w:type="pct"/>
                  <w:vAlign w:val="center"/>
                </w:tcPr>
                <w:p w14:paraId="58089613">
                  <w:pPr>
                    <w:keepNext w:val="0"/>
                    <w:keepLines/>
                    <w:pageBreakBefore w:val="0"/>
                    <w:widowControl/>
                    <w:kinsoku/>
                    <w:overflowPunct/>
                    <w:topLinePunct w:val="0"/>
                    <w:bidi w:val="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入驻企业采用低（无）</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VOCs</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含量、低反应活性的原辅材料，加快对芳香烃、含卤素有机化合物的绿色替代，全面加强无组织排放控制，新建治污设施或对现有治污设施实施改造，有效降低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VOCs</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的排放量。</w:t>
                  </w:r>
                </w:p>
              </w:tc>
              <w:tc>
                <w:tcPr>
                  <w:tcW w:w="1830" w:type="pct"/>
                  <w:vAlign w:val="center"/>
                </w:tcPr>
                <w:p w14:paraId="631C625C">
                  <w:pPr>
                    <w:keepNext w:val="0"/>
                    <w:pageBreakBefore w:val="0"/>
                    <w:kinsoku/>
                    <w:wordWrap/>
                    <w:overflowPunct/>
                    <w:topLinePunct w:val="0"/>
                    <w:autoSpaceDE/>
                    <w:autoSpaceDN/>
                    <w:bidi w:val="0"/>
                    <w:adjustRightInd/>
                    <w:snapToGrid/>
                    <w:spacing w:line="240" w:lineRule="auto"/>
                    <w:ind w:left="0" w:leftChars="0" w:right="0" w:firstLine="0" w:firstLineChars="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本项目为锅炉及环保设施技改项目，本项目不涉及新增VOCs含量原辅材料。现有项目使用</w:t>
                  </w:r>
                  <w:r>
                    <w:rPr>
                      <w:rFonts w:hint="default" w:ascii="Times New Roman" w:hAnsi="Times New Roman" w:cs="Times New Roman" w:eastAsiaTheme="minorEastAsia"/>
                      <w:color w:val="000000" w:themeColor="text1"/>
                      <w:sz w:val="21"/>
                      <w:szCs w:val="21"/>
                      <w14:textFill>
                        <w14:solidFill>
                          <w14:schemeClr w14:val="tx1"/>
                        </w14:solidFill>
                      </w14:textFill>
                    </w:rPr>
                    <w:t>原料是</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EPS，</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属于低</w:t>
                  </w:r>
                  <w:r>
                    <w:rPr>
                      <w:rFonts w:hint="default" w:ascii="Times New Roman" w:hAnsi="Times New Roman" w:cs="Times New Roman" w:eastAsiaTheme="minorEastAsia"/>
                      <w:color w:val="000000" w:themeColor="text1"/>
                      <w:sz w:val="21"/>
                      <w:szCs w:val="21"/>
                      <w14:textFill>
                        <w14:solidFill>
                          <w14:schemeClr w14:val="tx1"/>
                        </w14:solidFill>
                      </w14:textFill>
                    </w:rPr>
                    <w:t>VOCs含量的</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物料</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p w14:paraId="1B308C5E">
                  <w:pPr>
                    <w:keepNext w:val="0"/>
                    <w:pageBreakBefore w:val="0"/>
                    <w:kinsoku/>
                    <w:wordWrap/>
                    <w:overflowPunct/>
                    <w:topLinePunct w:val="0"/>
                    <w:autoSpaceDE/>
                    <w:autoSpaceDN/>
                    <w:bidi w:val="0"/>
                    <w:adjustRightInd/>
                    <w:snapToGrid/>
                    <w:spacing w:line="240" w:lineRule="auto"/>
                    <w:ind w:left="0" w:leftChars="0" w:right="0" w:firstLine="0" w:firstLineChars="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现有项目有机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废气无组织排放，本项目建设</w:t>
                  </w:r>
                  <w:r>
                    <w:rPr>
                      <w:rFonts w:hint="eastAsia" w:eastAsia="宋体" w:cs="Times New Roman"/>
                      <w:color w:val="000000" w:themeColor="text1"/>
                      <w:sz w:val="21"/>
                      <w:szCs w:val="21"/>
                      <w:lang w:val="en-US" w:eastAsia="zh-CN"/>
                      <w14:textFill>
                        <w14:solidFill>
                          <w14:schemeClr w14:val="tx1"/>
                        </w14:solidFill>
                      </w14:textFill>
                    </w:rPr>
                    <w:t>完成</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后</w:t>
                  </w:r>
                  <w:r>
                    <w:rPr>
                      <w:rFonts w:hint="eastAsia" w:cs="Times New Roman"/>
                      <w:color w:val="000000" w:themeColor="text1"/>
                      <w:sz w:val="21"/>
                      <w:szCs w:val="21"/>
                      <w:lang w:val="en-US" w:eastAsia="zh-CN"/>
                      <w14:textFill>
                        <w14:solidFill>
                          <w14:schemeClr w14:val="tx1"/>
                        </w14:solidFill>
                      </w14:textFill>
                    </w:rPr>
                    <w:t>发泡、成型工序设置集气罩有机废气</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经收集后进入</w:t>
                  </w:r>
                  <w:r>
                    <w:rPr>
                      <w:rFonts w:hint="eastAsia" w:cs="Times New Roman"/>
                      <w:color w:val="000000" w:themeColor="text1"/>
                      <w:sz w:val="21"/>
                      <w:szCs w:val="21"/>
                      <w:lang w:val="en-US" w:eastAsia="zh-CN"/>
                      <w14:textFill>
                        <w14:solidFill>
                          <w14:schemeClr w14:val="tx1"/>
                        </w14:solidFill>
                      </w14:textFill>
                    </w:rPr>
                    <w:t>“两级活性炭吸附装置”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处理后通过</w:t>
                  </w:r>
                  <w:r>
                    <w:rPr>
                      <w:rFonts w:hint="eastAsia" w:cs="Times New Roman"/>
                      <w:color w:val="000000" w:themeColor="text1"/>
                      <w:sz w:val="21"/>
                      <w:szCs w:val="21"/>
                      <w:lang w:val="en-US" w:eastAsia="zh-CN"/>
                      <w14:textFill>
                        <w14:solidFill>
                          <w14:schemeClr w14:val="tx1"/>
                        </w14:solidFill>
                      </w14:textFill>
                    </w:rPr>
                    <w:t>15m高排气筒DA002排放，</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有效降低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VOCs</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的排放量。</w:t>
                  </w:r>
                </w:p>
              </w:tc>
              <w:tc>
                <w:tcPr>
                  <w:tcW w:w="548" w:type="pct"/>
                  <w:vAlign w:val="center"/>
                </w:tcPr>
                <w:p w14:paraId="70EA753E">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45582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continue"/>
                  <w:vAlign w:val="center"/>
                </w:tcPr>
                <w:p w14:paraId="7418E6BF">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132" w:type="pct"/>
                  <w:vAlign w:val="center"/>
                </w:tcPr>
                <w:p w14:paraId="57F1F6F7">
                  <w:pPr>
                    <w:keepNext w:val="0"/>
                    <w:keepLines/>
                    <w:pageBreakBefore w:val="0"/>
                    <w:widowControl/>
                    <w:kinsoku/>
                    <w:overflowPunct/>
                    <w:topLinePunct w:val="0"/>
                    <w:bidi w:val="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土壤重点监管企业，要求开展土壤环境场地调查工作，并加强对相关企业监管。</w:t>
                  </w:r>
                </w:p>
              </w:tc>
              <w:tc>
                <w:tcPr>
                  <w:tcW w:w="1830" w:type="pct"/>
                  <w:vAlign w:val="center"/>
                </w:tcPr>
                <w:p w14:paraId="21294F4F">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本项目不属于土壤重点监管企业。</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br w:type="textWrapping"/>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根据调查，公司生产车间等区域地面均已硬化处置，对土壤影响不大。</w:t>
                  </w:r>
                </w:p>
              </w:tc>
              <w:tc>
                <w:tcPr>
                  <w:tcW w:w="548" w:type="pct"/>
                  <w:vAlign w:val="center"/>
                </w:tcPr>
                <w:p w14:paraId="75A1FCBD">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3D439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continue"/>
                  <w:vAlign w:val="center"/>
                </w:tcPr>
                <w:p w14:paraId="466B11F7">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132" w:type="pct"/>
                  <w:vAlign w:val="center"/>
                </w:tcPr>
                <w:p w14:paraId="4D4B7C09">
                  <w:pPr>
                    <w:keepNext w:val="0"/>
                    <w:keepLines/>
                    <w:pageBreakBefore w:val="0"/>
                    <w:widowControl/>
                    <w:kinsoku/>
                    <w:overflowPunct/>
                    <w:topLinePunct w:val="0"/>
                    <w:bidi w:val="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绿色钢城片区入园企业运行产生的生产废水经企业自建污水处理设施处理达《城市污水再生利用工业用水水质》（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GB/T19923—2005</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后，首先进行企业内部循环使用，剩余部分进入市政污水管网，经园区配套污水处理厂处理达标后进入园区中水循环系统在园区内部循环使用，剩余部分外排至片区周边地表水体。工业用地与居住用地的交界处设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20~30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米宽的绿化隔离带</w:t>
                  </w:r>
                </w:p>
              </w:tc>
              <w:tc>
                <w:tcPr>
                  <w:tcW w:w="1830" w:type="pct"/>
                  <w:vAlign w:val="center"/>
                </w:tcPr>
                <w:p w14:paraId="1B9FF5CB">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w:t>
                  </w:r>
                  <w:r>
                    <w:rPr>
                      <w:rFonts w:hint="eastAsia" w:cs="Times New Roman"/>
                      <w:color w:val="000000" w:themeColor="text1"/>
                      <w:sz w:val="21"/>
                      <w:szCs w:val="21"/>
                      <w:lang w:val="en-US" w:eastAsia="zh-CN"/>
                      <w14:textFill>
                        <w14:solidFill>
                          <w14:schemeClr w14:val="tx1"/>
                        </w14:solidFill>
                      </w14:textFill>
                    </w:rPr>
                    <w:t>云南红塔产业园区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研和片区双小地块。不涉及绿色钢城片区。</w:t>
                  </w:r>
                </w:p>
              </w:tc>
              <w:tc>
                <w:tcPr>
                  <w:tcW w:w="548" w:type="pct"/>
                  <w:vAlign w:val="center"/>
                </w:tcPr>
                <w:p w14:paraId="1215A8EC">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44DDD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continue"/>
                  <w:vAlign w:val="center"/>
                </w:tcPr>
                <w:p w14:paraId="6D690034">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132" w:type="pct"/>
                  <w:vAlign w:val="center"/>
                </w:tcPr>
                <w:p w14:paraId="32886F3F">
                  <w:pPr>
                    <w:keepNext w:val="0"/>
                    <w:keepLines/>
                    <w:pageBreakBefore w:val="0"/>
                    <w:widowControl/>
                    <w:kinsoku/>
                    <w:overflowPunct/>
                    <w:topLinePunct w:val="0"/>
                    <w:bidi w:val="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研和片区污水处理厂未建成投建前，规划区企业废水自行处置后回用，不外排；污水处理厂投入运行后，猊江水质不能稳定达标前，企业外排废水须实施</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区域倍量削减替代</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。加快推进园区煤炭能源替代，鼓励企业采用清洁能源，减少煤烟型污染，同时加强废气收集处理措施，避免重污染企业过度集中造成区域大气环境恶化和超标。</w:t>
                  </w:r>
                </w:p>
              </w:tc>
              <w:tc>
                <w:tcPr>
                  <w:tcW w:w="1830" w:type="pct"/>
                  <w:vAlign w:val="center"/>
                </w:tcPr>
                <w:p w14:paraId="1A073133">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本项目初期雨水经收集后进入</w:t>
                  </w:r>
                  <w:r>
                    <w:rPr>
                      <w:rFonts w:hint="eastAsia" w:eastAsia="宋体" w:cs="Times New Roman"/>
                      <w:b w:val="0"/>
                      <w:bCs w:val="0"/>
                      <w:color w:val="000000" w:themeColor="text1"/>
                      <w:sz w:val="21"/>
                      <w:szCs w:val="21"/>
                      <w:vertAlign w:val="baseline"/>
                      <w:lang w:val="en-US" w:eastAsia="zh-CN"/>
                      <w14:textFill>
                        <w14:solidFill>
                          <w14:schemeClr w14:val="tx1"/>
                        </w14:solidFill>
                      </w14:textFill>
                    </w:rPr>
                    <w:t>周边道路旁雨水沟</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；生活污水经化粪池处理后进入一体化生活污水处理设</w:t>
                  </w:r>
                  <w:r>
                    <w:rPr>
                      <w:rFonts w:hint="eastAsia" w:eastAsia="宋体" w:cs="Times New Roman"/>
                      <w:b w:val="0"/>
                      <w:bCs w:val="0"/>
                      <w:color w:val="000000" w:themeColor="text1"/>
                      <w:sz w:val="21"/>
                      <w:szCs w:val="21"/>
                      <w:vertAlign w:val="baseline"/>
                      <w:lang w:val="en-US" w:eastAsia="zh-CN"/>
                      <w14:textFill>
                        <w14:solidFill>
                          <w14:schemeClr w14:val="tx1"/>
                        </w14:solidFill>
                      </w14:textFill>
                    </w:rPr>
                    <w:t>施，处理达标后用于厂区绿化，不外排。</w:t>
                  </w:r>
                </w:p>
                <w:p w14:paraId="2E753C8C">
                  <w:pPr>
                    <w:keepNext w:val="0"/>
                    <w:keepLines w:val="0"/>
                    <w:pageBreakBefore w:val="0"/>
                    <w:widowControl/>
                    <w:kinsoku/>
                    <w:wordWrap/>
                    <w:overflowPunct/>
                    <w:topLinePunct w:val="0"/>
                    <w:autoSpaceDE/>
                    <w:autoSpaceDN/>
                    <w:bidi w:val="0"/>
                    <w:adjustRightInd w:val="0"/>
                    <w:snapToGrid w:val="0"/>
                    <w:spacing w:line="240" w:lineRule="auto"/>
                    <w:ind w:left="0" w:leftChars="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本项目软水制备废水及生物质锅炉排污水</w:t>
                  </w:r>
                  <w:r>
                    <w:rPr>
                      <w:rFonts w:hint="eastAsia" w:cs="Times New Roman"/>
                      <w:color w:val="000000" w:themeColor="text1"/>
                      <w:kern w:val="2"/>
                      <w:sz w:val="21"/>
                      <w:szCs w:val="21"/>
                      <w:lang w:val="en-US" w:eastAsia="zh-CN" w:bidi="ar-SA"/>
                      <w14:textFill>
                        <w14:solidFill>
                          <w14:schemeClr w14:val="tx1"/>
                        </w14:solidFill>
                      </w14:textFill>
                    </w:rPr>
                    <w:t>经收集处理后回用于厂区洒水降尘</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，不外排。发泡工段蒸汽冷凝水用于生物质锅炉损耗补充水，不外排。</w:t>
                  </w:r>
                  <w:r>
                    <w:rPr>
                      <w:rFonts w:hint="eastAsia" w:cs="Times New Roman"/>
                      <w:color w:val="000000" w:themeColor="text1"/>
                      <w:kern w:val="2"/>
                      <w:sz w:val="21"/>
                      <w:szCs w:val="21"/>
                      <w:lang w:val="en-US" w:eastAsia="zh-CN" w:bidi="ar-SA"/>
                      <w14:textFill>
                        <w14:solidFill>
                          <w14:schemeClr w14:val="tx1"/>
                        </w14:solidFill>
                      </w14:textFill>
                    </w:rPr>
                    <w:t>流化干燥、烘干环节蒸汽自然蒸发</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压模环节蒸汽加热成型后多余蒸汽排出，自然蒸发</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p w14:paraId="7050D9A0">
                  <w:pPr>
                    <w:keepNext w:val="0"/>
                    <w:pageBreakBefore w:val="0"/>
                    <w:kinsoku/>
                    <w:wordWrap/>
                    <w:overflowPunct/>
                    <w:topLinePunct w:val="0"/>
                    <w:autoSpaceDE/>
                    <w:autoSpaceDN/>
                    <w:bidi w:val="0"/>
                    <w:adjustRightInd/>
                    <w:snapToGrid/>
                    <w:spacing w:line="240" w:lineRule="auto"/>
                    <w:ind w:left="0" w:leftChars="0" w:right="0" w:firstLine="0" w:firstLineChars="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本项目为锅炉及环保设施技改项目，项目原有燃煤锅炉</w:t>
                  </w:r>
                  <w:r>
                    <w:rPr>
                      <w:rFonts w:hint="eastAsia" w:eastAsia="宋体" w:cs="Times New Roman"/>
                      <w:color w:val="000000" w:themeColor="text1"/>
                      <w:sz w:val="21"/>
                      <w:szCs w:val="21"/>
                      <w:lang w:val="en-US" w:eastAsia="zh-CN"/>
                      <w14:textFill>
                        <w14:solidFill>
                          <w14:schemeClr w14:val="tx1"/>
                        </w14:solidFill>
                      </w14:textFill>
                    </w:rPr>
                    <w:t>废气经双碱脱硫除尘设施处理后通过</w:t>
                  </w:r>
                  <w:r>
                    <w:rPr>
                      <w:rFonts w:hint="eastAsia" w:cs="Times New Roman"/>
                      <w:color w:val="000000" w:themeColor="text1"/>
                      <w:sz w:val="21"/>
                      <w:szCs w:val="21"/>
                      <w:lang w:val="en-US" w:eastAsia="zh-CN"/>
                      <w14:textFill>
                        <w14:solidFill>
                          <w14:schemeClr w14:val="tx1"/>
                        </w14:solidFill>
                      </w14:textFill>
                    </w:rPr>
                    <w:t>30m高排气筒DA001排放</w:t>
                  </w:r>
                  <w:r>
                    <w:rPr>
                      <w:rFonts w:hint="eastAsia"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本项目建设</w:t>
                  </w:r>
                  <w:r>
                    <w:rPr>
                      <w:rFonts w:hint="eastAsia" w:eastAsia="宋体" w:cs="Times New Roman"/>
                      <w:color w:val="000000" w:themeColor="text1"/>
                      <w:sz w:val="21"/>
                      <w:szCs w:val="21"/>
                      <w:lang w:val="en-US" w:eastAsia="zh-CN"/>
                      <w14:textFill>
                        <w14:solidFill>
                          <w14:schemeClr w14:val="tx1"/>
                        </w14:solidFill>
                      </w14:textFill>
                    </w:rPr>
                    <w:t>完成</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后</w:t>
                  </w:r>
                  <w:r>
                    <w:rPr>
                      <w:rFonts w:hint="eastAsia" w:eastAsia="宋体" w:cs="Times New Roman"/>
                      <w:color w:val="000000" w:themeColor="text1"/>
                      <w:sz w:val="21"/>
                      <w:szCs w:val="21"/>
                      <w:lang w:val="en-US" w:eastAsia="zh-CN"/>
                      <w14:textFill>
                        <w14:solidFill>
                          <w14:schemeClr w14:val="tx1"/>
                        </w14:solidFill>
                      </w14:textFill>
                    </w:rPr>
                    <w:t>燃煤锅炉</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拆除更换为生物质锅炉</w:t>
                  </w:r>
                  <w:r>
                    <w:rPr>
                      <w:rFonts w:hint="eastAsia" w:eastAsia="宋体" w:cs="Times New Roman"/>
                      <w:color w:val="000000" w:themeColor="text1"/>
                      <w:sz w:val="21"/>
                      <w:szCs w:val="21"/>
                      <w:lang w:val="en-US" w:eastAsia="zh-CN"/>
                      <w14:textFill>
                        <w14:solidFill>
                          <w14:schemeClr w14:val="tx1"/>
                        </w14:solidFill>
                      </w14:textFill>
                    </w:rPr>
                    <w:t>，锅炉废气经</w:t>
                  </w:r>
                  <w:r>
                    <w:rPr>
                      <w:rFonts w:hint="eastAsia" w:cs="Times New Roman"/>
                      <w:color w:val="000000" w:themeColor="text1"/>
                      <w:sz w:val="21"/>
                      <w:szCs w:val="21"/>
                      <w:lang w:val="en-US" w:eastAsia="zh-CN"/>
                      <w14:textFill>
                        <w14:solidFill>
                          <w14:schemeClr w14:val="tx1"/>
                        </w14:solidFill>
                      </w14:textFill>
                    </w:rPr>
                    <w:t>“低氮燃烧+旋风除尘+布袋除尘”</w:t>
                  </w:r>
                  <w:r>
                    <w:rPr>
                      <w:rFonts w:hint="eastAsia" w:eastAsia="宋体" w:cs="Times New Roman"/>
                      <w:color w:val="000000" w:themeColor="text1"/>
                      <w:sz w:val="21"/>
                      <w:szCs w:val="21"/>
                      <w:lang w:val="en-US" w:eastAsia="zh-CN"/>
                      <w14:textFill>
                        <w14:solidFill>
                          <w14:schemeClr w14:val="tx1"/>
                        </w14:solidFill>
                      </w14:textFill>
                    </w:rPr>
                    <w:t>设施处理后通过</w:t>
                  </w:r>
                  <w:r>
                    <w:rPr>
                      <w:rFonts w:hint="eastAsia" w:cs="Times New Roman"/>
                      <w:color w:val="000000" w:themeColor="text1"/>
                      <w:sz w:val="21"/>
                      <w:szCs w:val="21"/>
                      <w:lang w:val="en-US" w:eastAsia="zh-CN"/>
                      <w14:textFill>
                        <w14:solidFill>
                          <w14:schemeClr w14:val="tx1"/>
                        </w14:solidFill>
                      </w14:textFill>
                    </w:rPr>
                    <w:t>30m高排气筒DA001排放</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p w14:paraId="2864DE73">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现有项目有机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废气无组织排放，本项目建设</w:t>
                  </w:r>
                  <w:r>
                    <w:rPr>
                      <w:rFonts w:hint="eastAsia" w:eastAsia="宋体" w:cs="Times New Roman"/>
                      <w:color w:val="000000" w:themeColor="text1"/>
                      <w:sz w:val="21"/>
                      <w:szCs w:val="21"/>
                      <w:lang w:val="en-US" w:eastAsia="zh-CN"/>
                      <w14:textFill>
                        <w14:solidFill>
                          <w14:schemeClr w14:val="tx1"/>
                        </w14:solidFill>
                      </w14:textFill>
                    </w:rPr>
                    <w:t>完成</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后</w:t>
                  </w:r>
                  <w:r>
                    <w:rPr>
                      <w:rFonts w:hint="eastAsia" w:cs="Times New Roman"/>
                      <w:color w:val="000000" w:themeColor="text1"/>
                      <w:sz w:val="21"/>
                      <w:szCs w:val="21"/>
                      <w:lang w:val="en-US" w:eastAsia="zh-CN"/>
                      <w14:textFill>
                        <w14:solidFill>
                          <w14:schemeClr w14:val="tx1"/>
                        </w14:solidFill>
                      </w14:textFill>
                    </w:rPr>
                    <w:t>发泡、成型工序设置集气罩有机废气</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经收集后进入</w:t>
                  </w:r>
                  <w:r>
                    <w:rPr>
                      <w:rFonts w:hint="eastAsia" w:cs="Times New Roman"/>
                      <w:color w:val="000000" w:themeColor="text1"/>
                      <w:sz w:val="21"/>
                      <w:szCs w:val="21"/>
                      <w:lang w:val="en-US" w:eastAsia="zh-CN"/>
                      <w14:textFill>
                        <w14:solidFill>
                          <w14:schemeClr w14:val="tx1"/>
                        </w14:solidFill>
                      </w14:textFill>
                    </w:rPr>
                    <w:t>“两级活性炭吸附装置”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处理后通过</w:t>
                  </w:r>
                  <w:r>
                    <w:rPr>
                      <w:rFonts w:hint="eastAsia" w:cs="Times New Roman"/>
                      <w:color w:val="000000" w:themeColor="text1"/>
                      <w:sz w:val="21"/>
                      <w:szCs w:val="21"/>
                      <w:lang w:val="en-US" w:eastAsia="zh-CN"/>
                      <w14:textFill>
                        <w14:solidFill>
                          <w14:schemeClr w14:val="tx1"/>
                        </w14:solidFill>
                      </w14:textFill>
                    </w:rPr>
                    <w:t>15m高排气筒DA002排放</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48" w:type="pct"/>
                  <w:vAlign w:val="center"/>
                </w:tcPr>
                <w:p w14:paraId="2554E310">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087ED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continue"/>
                  <w:vAlign w:val="center"/>
                </w:tcPr>
                <w:p w14:paraId="0207320B">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132" w:type="pct"/>
                  <w:vAlign w:val="center"/>
                </w:tcPr>
                <w:p w14:paraId="5261A861">
                  <w:pPr>
                    <w:keepNext w:val="0"/>
                    <w:keepLines/>
                    <w:pageBreakBefore w:val="0"/>
                    <w:widowControl/>
                    <w:kinsoku/>
                    <w:overflowPunct/>
                    <w:topLinePunct w:val="0"/>
                    <w:bidi w:val="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开展淘汰关闭企业迹地清理，妥善解决遗留环境问题。督促现有企业履行环保责任，落实各项污染防治措施。</w:t>
                  </w:r>
                </w:p>
              </w:tc>
              <w:tc>
                <w:tcPr>
                  <w:tcW w:w="1830" w:type="pct"/>
                  <w:vAlign w:val="center"/>
                </w:tcPr>
                <w:p w14:paraId="180AA03D">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w:t>
                  </w:r>
                  <w:r>
                    <w:rPr>
                      <w:rFonts w:hint="eastAsia" w:cs="Times New Roman"/>
                      <w:color w:val="000000" w:themeColor="text1"/>
                      <w:sz w:val="21"/>
                      <w:szCs w:val="21"/>
                      <w:lang w:val="en-US" w:eastAsia="zh-CN"/>
                      <w14:textFill>
                        <w14:solidFill>
                          <w14:schemeClr w14:val="tx1"/>
                        </w14:solidFill>
                      </w14:textFill>
                    </w:rPr>
                    <w:t>云南红塔产业园区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研和片区双小地块，原云南省峨山恒丰钢铁公司闲置土地。</w:t>
                  </w:r>
                </w:p>
                <w:p w14:paraId="2E2C603B">
                  <w:pPr>
                    <w:keepNext w:val="0"/>
                    <w:pageBreakBefore w:val="0"/>
                    <w:kinsoku/>
                    <w:wordWrap/>
                    <w:overflowPunct/>
                    <w:topLinePunct w:val="0"/>
                    <w:autoSpaceDE/>
                    <w:autoSpaceDN/>
                    <w:bidi w:val="0"/>
                    <w:adjustRightInd/>
                    <w:snapToGrid/>
                    <w:spacing w:line="240" w:lineRule="auto"/>
                    <w:ind w:left="0" w:leftChars="0" w:right="0" w:firstLine="0" w:firstLineChars="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本项目为锅炉及环保设施技改项目，项目原有燃煤锅炉</w:t>
                  </w:r>
                  <w:r>
                    <w:rPr>
                      <w:rFonts w:hint="eastAsia" w:eastAsia="宋体" w:cs="Times New Roman"/>
                      <w:color w:val="000000" w:themeColor="text1"/>
                      <w:sz w:val="21"/>
                      <w:szCs w:val="21"/>
                      <w:lang w:val="en-US" w:eastAsia="zh-CN"/>
                      <w14:textFill>
                        <w14:solidFill>
                          <w14:schemeClr w14:val="tx1"/>
                        </w14:solidFill>
                      </w14:textFill>
                    </w:rPr>
                    <w:t>废气经双碱脱硫除尘设施处理后通过</w:t>
                  </w:r>
                  <w:r>
                    <w:rPr>
                      <w:rFonts w:hint="eastAsia" w:cs="Times New Roman"/>
                      <w:color w:val="000000" w:themeColor="text1"/>
                      <w:sz w:val="21"/>
                      <w:szCs w:val="21"/>
                      <w:lang w:val="en-US" w:eastAsia="zh-CN"/>
                      <w14:textFill>
                        <w14:solidFill>
                          <w14:schemeClr w14:val="tx1"/>
                        </w14:solidFill>
                      </w14:textFill>
                    </w:rPr>
                    <w:t>30m高排气筒DA001排放</w:t>
                  </w:r>
                  <w:r>
                    <w:rPr>
                      <w:rFonts w:hint="eastAsia"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本项目建设</w:t>
                  </w:r>
                  <w:r>
                    <w:rPr>
                      <w:rFonts w:hint="eastAsia" w:eastAsia="宋体" w:cs="Times New Roman"/>
                      <w:color w:val="000000" w:themeColor="text1"/>
                      <w:sz w:val="21"/>
                      <w:szCs w:val="21"/>
                      <w:lang w:val="en-US" w:eastAsia="zh-CN"/>
                      <w14:textFill>
                        <w14:solidFill>
                          <w14:schemeClr w14:val="tx1"/>
                        </w14:solidFill>
                      </w14:textFill>
                    </w:rPr>
                    <w:t>完成</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后</w:t>
                  </w:r>
                  <w:r>
                    <w:rPr>
                      <w:rFonts w:hint="eastAsia" w:eastAsia="宋体" w:cs="Times New Roman"/>
                      <w:color w:val="000000" w:themeColor="text1"/>
                      <w:sz w:val="21"/>
                      <w:szCs w:val="21"/>
                      <w:lang w:val="en-US" w:eastAsia="zh-CN"/>
                      <w14:textFill>
                        <w14:solidFill>
                          <w14:schemeClr w14:val="tx1"/>
                        </w14:solidFill>
                      </w14:textFill>
                    </w:rPr>
                    <w:t>燃煤锅炉</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拆除更换为生物质锅炉</w:t>
                  </w:r>
                  <w:r>
                    <w:rPr>
                      <w:rFonts w:hint="eastAsia" w:eastAsia="宋体" w:cs="Times New Roman"/>
                      <w:color w:val="000000" w:themeColor="text1"/>
                      <w:sz w:val="21"/>
                      <w:szCs w:val="21"/>
                      <w:lang w:val="en-US" w:eastAsia="zh-CN"/>
                      <w14:textFill>
                        <w14:solidFill>
                          <w14:schemeClr w14:val="tx1"/>
                        </w14:solidFill>
                      </w14:textFill>
                    </w:rPr>
                    <w:t>，锅炉废气经</w:t>
                  </w:r>
                  <w:r>
                    <w:rPr>
                      <w:rFonts w:hint="eastAsia" w:cs="Times New Roman"/>
                      <w:color w:val="000000" w:themeColor="text1"/>
                      <w:sz w:val="21"/>
                      <w:szCs w:val="21"/>
                      <w:lang w:val="en-US" w:eastAsia="zh-CN"/>
                      <w14:textFill>
                        <w14:solidFill>
                          <w14:schemeClr w14:val="tx1"/>
                        </w14:solidFill>
                      </w14:textFill>
                    </w:rPr>
                    <w:t>“低氮燃烧+旋风除尘+布袋除尘”</w:t>
                  </w:r>
                  <w:r>
                    <w:rPr>
                      <w:rFonts w:hint="eastAsia" w:eastAsia="宋体" w:cs="Times New Roman"/>
                      <w:color w:val="000000" w:themeColor="text1"/>
                      <w:sz w:val="21"/>
                      <w:szCs w:val="21"/>
                      <w:lang w:val="en-US" w:eastAsia="zh-CN"/>
                      <w14:textFill>
                        <w14:solidFill>
                          <w14:schemeClr w14:val="tx1"/>
                        </w14:solidFill>
                      </w14:textFill>
                    </w:rPr>
                    <w:t>设施处理后通过</w:t>
                  </w:r>
                  <w:r>
                    <w:rPr>
                      <w:rFonts w:hint="eastAsia" w:cs="Times New Roman"/>
                      <w:color w:val="000000" w:themeColor="text1"/>
                      <w:sz w:val="21"/>
                      <w:szCs w:val="21"/>
                      <w:lang w:val="en-US" w:eastAsia="zh-CN"/>
                      <w14:textFill>
                        <w14:solidFill>
                          <w14:schemeClr w14:val="tx1"/>
                        </w14:solidFill>
                      </w14:textFill>
                    </w:rPr>
                    <w:t>30m高排气筒DA001排放</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p w14:paraId="1E2712E7">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现有项目有机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废气无组织排放，本项目建设</w:t>
                  </w:r>
                  <w:r>
                    <w:rPr>
                      <w:rFonts w:hint="eastAsia" w:eastAsia="宋体" w:cs="Times New Roman"/>
                      <w:color w:val="000000" w:themeColor="text1"/>
                      <w:sz w:val="21"/>
                      <w:szCs w:val="21"/>
                      <w:lang w:val="en-US" w:eastAsia="zh-CN"/>
                      <w14:textFill>
                        <w14:solidFill>
                          <w14:schemeClr w14:val="tx1"/>
                        </w14:solidFill>
                      </w14:textFill>
                    </w:rPr>
                    <w:t>完成</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后</w:t>
                  </w:r>
                  <w:r>
                    <w:rPr>
                      <w:rFonts w:hint="eastAsia" w:cs="Times New Roman"/>
                      <w:color w:val="000000" w:themeColor="text1"/>
                      <w:sz w:val="21"/>
                      <w:szCs w:val="21"/>
                      <w:lang w:val="en-US" w:eastAsia="zh-CN"/>
                      <w14:textFill>
                        <w14:solidFill>
                          <w14:schemeClr w14:val="tx1"/>
                        </w14:solidFill>
                      </w14:textFill>
                    </w:rPr>
                    <w:t>发泡、成型工序设置集气罩有机废气</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经收集后进入</w:t>
                  </w:r>
                  <w:r>
                    <w:rPr>
                      <w:rFonts w:hint="eastAsia" w:cs="Times New Roman"/>
                      <w:color w:val="000000" w:themeColor="text1"/>
                      <w:sz w:val="21"/>
                      <w:szCs w:val="21"/>
                      <w:lang w:val="en-US" w:eastAsia="zh-CN"/>
                      <w14:textFill>
                        <w14:solidFill>
                          <w14:schemeClr w14:val="tx1"/>
                        </w14:solidFill>
                      </w14:textFill>
                    </w:rPr>
                    <w:t>“两级活性炭吸附装置”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处理后通过</w:t>
                  </w:r>
                  <w:r>
                    <w:rPr>
                      <w:rFonts w:hint="eastAsia" w:cs="Times New Roman"/>
                      <w:color w:val="000000" w:themeColor="text1"/>
                      <w:sz w:val="21"/>
                      <w:szCs w:val="21"/>
                      <w:lang w:val="en-US" w:eastAsia="zh-CN"/>
                      <w14:textFill>
                        <w14:solidFill>
                          <w14:schemeClr w14:val="tx1"/>
                        </w14:solidFill>
                      </w14:textFill>
                    </w:rPr>
                    <w:t>15m高排气筒DA002排放</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48" w:type="pct"/>
                  <w:vAlign w:val="center"/>
                </w:tcPr>
                <w:p w14:paraId="29DB39B1">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18A4D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9" w:type="pct"/>
                  <w:vMerge w:val="restart"/>
                  <w:vAlign w:val="center"/>
                </w:tcPr>
                <w:p w14:paraId="76CC0BF0">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环境风险防控</w:t>
                  </w:r>
                </w:p>
              </w:tc>
              <w:tc>
                <w:tcPr>
                  <w:tcW w:w="2132" w:type="pct"/>
                  <w:vAlign w:val="center"/>
                </w:tcPr>
                <w:p w14:paraId="4CD441C9">
                  <w:pPr>
                    <w:keepNext w:val="0"/>
                    <w:keepLines/>
                    <w:pageBreakBefore w:val="0"/>
                    <w:widowControl/>
                    <w:kinsoku/>
                    <w:overflowPunct/>
                    <w:topLinePunct w:val="0"/>
                    <w:bidi w:val="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居民分布密集区和学校周边区域不宜布置日常储量构成重大危险源的使用危险化学品的项目。</w:t>
                  </w:r>
                </w:p>
              </w:tc>
              <w:tc>
                <w:tcPr>
                  <w:tcW w:w="1830" w:type="pct"/>
                  <w:vAlign w:val="center"/>
                </w:tcPr>
                <w:p w14:paraId="28CB784E">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本项目不涉及重大危险源</w:t>
                  </w:r>
                </w:p>
              </w:tc>
              <w:tc>
                <w:tcPr>
                  <w:tcW w:w="548" w:type="pct"/>
                  <w:vAlign w:val="center"/>
                </w:tcPr>
                <w:p w14:paraId="6EE345A3">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符合</w:t>
                  </w:r>
                </w:p>
              </w:tc>
            </w:tr>
            <w:tr w14:paraId="22ED0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continue"/>
                  <w:vAlign w:val="center"/>
                </w:tcPr>
                <w:p w14:paraId="1350FA7E">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132" w:type="pct"/>
                  <w:vAlign w:val="center"/>
                </w:tcPr>
                <w:p w14:paraId="2C523CE4">
                  <w:pPr>
                    <w:keepNext w:val="0"/>
                    <w:keepLines/>
                    <w:pageBreakBefore w:val="0"/>
                    <w:widowControl/>
                    <w:kinsoku/>
                    <w:overflowPunct/>
                    <w:topLinePunct w:val="0"/>
                    <w:bidi w:val="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工业企业应有完善的风险防范措施，其最大可信事故半致死浓度范围内不得有居民点存在。</w:t>
                  </w:r>
                </w:p>
              </w:tc>
              <w:tc>
                <w:tcPr>
                  <w:tcW w:w="1830" w:type="pct"/>
                  <w:vAlign w:val="center"/>
                </w:tcPr>
                <w:p w14:paraId="57B0E421">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本次使用环境风险评价系统</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RiskSystem</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进行预测，最大可信事故下，半致死浓度范围无居住村民点存在。</w:t>
                  </w:r>
                </w:p>
              </w:tc>
              <w:tc>
                <w:tcPr>
                  <w:tcW w:w="548" w:type="pct"/>
                  <w:vAlign w:val="center"/>
                </w:tcPr>
                <w:p w14:paraId="762AB3D5">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符合</w:t>
                  </w:r>
                </w:p>
              </w:tc>
            </w:tr>
            <w:tr w14:paraId="2D3AE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continue"/>
                  <w:vAlign w:val="center"/>
                </w:tcPr>
                <w:p w14:paraId="7BC2ACA0">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132" w:type="pct"/>
                  <w:vAlign w:val="center"/>
                </w:tcPr>
                <w:p w14:paraId="39A9939C">
                  <w:pPr>
                    <w:keepNext w:val="0"/>
                    <w:keepLines/>
                    <w:pageBreakBefore w:val="0"/>
                    <w:widowControl/>
                    <w:kinsoku/>
                    <w:overflowPunct/>
                    <w:topLinePunct w:val="0"/>
                    <w:bidi w:val="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重污染企业周边合理设置环境防护距离，保障居民生活环境的安全。及时完成重污染企业周边环境防护距离内居民的搬迁工作。</w:t>
                  </w:r>
                </w:p>
              </w:tc>
              <w:tc>
                <w:tcPr>
                  <w:tcW w:w="1830" w:type="pct"/>
                  <w:vAlign w:val="center"/>
                </w:tcPr>
                <w:p w14:paraId="07325203">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本项目为锅炉及环保设施技改项目，公司</w:t>
                  </w:r>
                  <w:r>
                    <w:rPr>
                      <w:rFonts w:hint="eastAsia" w:cs="Times New Roman"/>
                      <w:color w:val="000000" w:themeColor="text1"/>
                      <w:sz w:val="21"/>
                      <w:szCs w:val="21"/>
                      <w:lang w:val="en-US" w:eastAsia="zh-CN"/>
                      <w14:textFill>
                        <w14:solidFill>
                          <w14:schemeClr w14:val="tx1"/>
                        </w14:solidFill>
                      </w14:textFill>
                    </w:rPr>
                    <w:t>现有项目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为泡沫板材制造，不属于重污染企业</w:t>
                  </w:r>
                </w:p>
              </w:tc>
              <w:tc>
                <w:tcPr>
                  <w:tcW w:w="548" w:type="pct"/>
                  <w:vAlign w:val="center"/>
                </w:tcPr>
                <w:p w14:paraId="6747E7C5">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符合</w:t>
                  </w:r>
                </w:p>
              </w:tc>
            </w:tr>
            <w:tr w14:paraId="6E090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continue"/>
                  <w:vAlign w:val="center"/>
                </w:tcPr>
                <w:p w14:paraId="27FD40AE">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132" w:type="pct"/>
                  <w:vAlign w:val="center"/>
                </w:tcPr>
                <w:p w14:paraId="7CAF7FCE">
                  <w:pPr>
                    <w:keepNext w:val="0"/>
                    <w:keepLines/>
                    <w:pageBreakBefore w:val="0"/>
                    <w:widowControl/>
                    <w:kinsoku/>
                    <w:overflowPunct/>
                    <w:topLinePunct w:val="0"/>
                    <w:bidi w:val="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制定突发环境事件应急预案，完善风险管理机制，加强风险控制防范。建立区域环境监测制度，加强规划实施的跟踪监测与管理。</w:t>
                  </w:r>
                </w:p>
              </w:tc>
              <w:tc>
                <w:tcPr>
                  <w:tcW w:w="2695" w:type="dxa"/>
                  <w:vAlign w:val="center"/>
                </w:tcPr>
                <w:p w14:paraId="43714C0B">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本项目针对存在的环境风险采取了相应的风险防范措施，</w:t>
                  </w:r>
                </w:p>
                <w:p w14:paraId="4FFB772D">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公司已于2024年完成应急预案修编并于2024年7月11日取得《企业事业单位突发环境事件应急预案备案表》（备案编号530426-2024-020-L）。</w:t>
                  </w:r>
                </w:p>
                <w:p w14:paraId="121B9446">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本项目建成后及时修编突发环境事件应急预案，在当地生态环境主管部门进行备案后定期进行相关的培训和演练</w:t>
                  </w:r>
                  <w:r>
                    <w:rPr>
                      <w:rFonts w:hint="default" w:ascii="Times New Roman" w:hAnsi="Times New Roman" w:eastAsia="宋体" w:cs="Times New Roman"/>
                      <w:color w:val="000000" w:themeColor="text1"/>
                      <w:sz w:val="21"/>
                      <w:szCs w:val="21"/>
                      <w:vertAlign w:val="baseline"/>
                      <w14:textFill>
                        <w14:solidFill>
                          <w14:schemeClr w14:val="tx1"/>
                        </w14:solidFill>
                      </w14:textFill>
                    </w:rPr>
                    <w:t>。</w:t>
                  </w:r>
                </w:p>
              </w:tc>
              <w:tc>
                <w:tcPr>
                  <w:tcW w:w="548" w:type="pct"/>
                  <w:vAlign w:val="center"/>
                </w:tcPr>
                <w:p w14:paraId="15CB2183">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符合</w:t>
                  </w:r>
                </w:p>
              </w:tc>
            </w:tr>
            <w:tr w14:paraId="1CBDD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restart"/>
                  <w:vAlign w:val="center"/>
                </w:tcPr>
                <w:p w14:paraId="0A26D2E1">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资源开发效率要求</w:t>
                  </w:r>
                </w:p>
              </w:tc>
              <w:tc>
                <w:tcPr>
                  <w:tcW w:w="2132" w:type="pct"/>
                  <w:vAlign w:val="center"/>
                </w:tcPr>
                <w:p w14:paraId="6656AD04">
                  <w:pPr>
                    <w:keepNext w:val="0"/>
                    <w:keepLines/>
                    <w:pageBreakBefore w:val="0"/>
                    <w:widowControl/>
                    <w:kinsoku/>
                    <w:overflowPunct/>
                    <w:topLinePunct w:val="0"/>
                    <w:bidi w:val="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研和片区双小地块生活污水及工业污水集中处理率达到</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以上，再生水利用率达到</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，工业用水重复率不低于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80%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2695" w:type="dxa"/>
                  <w:vAlign w:val="center"/>
                </w:tcPr>
                <w:p w14:paraId="764A5669">
                  <w:pPr>
                    <w:keepNext w:val="0"/>
                    <w:keepLines/>
                    <w:pageBreakBefore w:val="0"/>
                    <w:widowControl/>
                    <w:kinsoku/>
                    <w:overflowPunct/>
                    <w:topLinePunct w:val="0"/>
                    <w:bidi w:val="0"/>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本项目用水量较小，不属于高耗水企业；</w:t>
                  </w:r>
                </w:p>
                <w:p w14:paraId="4940DF35">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本项目初期雨水经收集后进入</w:t>
                  </w:r>
                  <w:r>
                    <w:rPr>
                      <w:rFonts w:hint="eastAsia" w:eastAsia="宋体" w:cs="Times New Roman"/>
                      <w:b w:val="0"/>
                      <w:bCs w:val="0"/>
                      <w:color w:val="000000" w:themeColor="text1"/>
                      <w:sz w:val="21"/>
                      <w:szCs w:val="21"/>
                      <w:vertAlign w:val="baseline"/>
                      <w:lang w:val="en-US" w:eastAsia="zh-CN"/>
                      <w14:textFill>
                        <w14:solidFill>
                          <w14:schemeClr w14:val="tx1"/>
                        </w14:solidFill>
                      </w14:textFill>
                    </w:rPr>
                    <w:t>周边道路旁雨水沟</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；生活污水经化粪池处理后进入一体化生活污水处理设</w:t>
                  </w:r>
                  <w:r>
                    <w:rPr>
                      <w:rFonts w:hint="eastAsia" w:eastAsia="宋体" w:cs="Times New Roman"/>
                      <w:b w:val="0"/>
                      <w:bCs w:val="0"/>
                      <w:color w:val="000000" w:themeColor="text1"/>
                      <w:sz w:val="21"/>
                      <w:szCs w:val="21"/>
                      <w:vertAlign w:val="baseline"/>
                      <w:lang w:val="en-US" w:eastAsia="zh-CN"/>
                      <w14:textFill>
                        <w14:solidFill>
                          <w14:schemeClr w14:val="tx1"/>
                        </w14:solidFill>
                      </w14:textFill>
                    </w:rPr>
                    <w:t>施，处理达标后用于厂区绿化，不外排。</w:t>
                  </w:r>
                </w:p>
                <w:p w14:paraId="7CC5767E">
                  <w:pPr>
                    <w:keepNext w:val="0"/>
                    <w:keepLines w:val="0"/>
                    <w:pageBreakBefore w:val="0"/>
                    <w:widowControl/>
                    <w:kinsoku/>
                    <w:wordWrap/>
                    <w:overflowPunct/>
                    <w:topLinePunct w:val="0"/>
                    <w:autoSpaceDE/>
                    <w:autoSpaceDN/>
                    <w:bidi w:val="0"/>
                    <w:adjustRightInd w:val="0"/>
                    <w:snapToGrid w:val="0"/>
                    <w:spacing w:line="240" w:lineRule="auto"/>
                    <w:ind w:left="0" w:leftChars="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本项目软水制备废水及生物质锅炉排污水</w:t>
                  </w:r>
                  <w:r>
                    <w:rPr>
                      <w:rFonts w:hint="eastAsia" w:cs="Times New Roman"/>
                      <w:color w:val="000000" w:themeColor="text1"/>
                      <w:kern w:val="2"/>
                      <w:sz w:val="21"/>
                      <w:szCs w:val="21"/>
                      <w:lang w:val="en-US" w:eastAsia="zh-CN" w:bidi="ar-SA"/>
                      <w14:textFill>
                        <w14:solidFill>
                          <w14:schemeClr w14:val="tx1"/>
                        </w14:solidFill>
                      </w14:textFill>
                    </w:rPr>
                    <w:t>经收集处理后回用于厂区洒水降尘</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，不外排。发泡工段蒸汽冷凝水用于生物质锅炉损耗补充水，不外排。</w:t>
                  </w:r>
                  <w:r>
                    <w:rPr>
                      <w:rFonts w:hint="eastAsia" w:cs="Times New Roman"/>
                      <w:color w:val="000000" w:themeColor="text1"/>
                      <w:kern w:val="2"/>
                      <w:sz w:val="21"/>
                      <w:szCs w:val="21"/>
                      <w:lang w:val="en-US" w:eastAsia="zh-CN" w:bidi="ar-SA"/>
                      <w14:textFill>
                        <w14:solidFill>
                          <w14:schemeClr w14:val="tx1"/>
                        </w14:solidFill>
                      </w14:textFill>
                    </w:rPr>
                    <w:t>流化干燥、烘干环节蒸汽自然蒸发</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压模环节蒸汽加热成型后多余蒸汽排出，自然蒸发</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548" w:type="pct"/>
                  <w:vAlign w:val="center"/>
                </w:tcPr>
                <w:p w14:paraId="1095BE4D">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符合</w:t>
                  </w:r>
                </w:p>
              </w:tc>
            </w:tr>
            <w:tr w14:paraId="266F6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continue"/>
                  <w:vAlign w:val="center"/>
                </w:tcPr>
                <w:p w14:paraId="0B41319F">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132" w:type="pct"/>
                  <w:vAlign w:val="center"/>
                </w:tcPr>
                <w:p w14:paraId="0CB950C9">
                  <w:pPr>
                    <w:keepNext w:val="0"/>
                    <w:keepLines/>
                    <w:pageBreakBefore w:val="0"/>
                    <w:widowControl/>
                    <w:kinsoku/>
                    <w:overflowPunct/>
                    <w:topLinePunct w:val="0"/>
                    <w:bidi w:val="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绿色钢城片区工业用水循环利用率不低于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，中水回用率达到</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30" w:type="pct"/>
                  <w:vAlign w:val="center"/>
                </w:tcPr>
                <w:p w14:paraId="0892506B">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w:t>
                  </w:r>
                  <w:r>
                    <w:rPr>
                      <w:rFonts w:hint="eastAsia" w:cs="Times New Roman"/>
                      <w:color w:val="000000" w:themeColor="text1"/>
                      <w:sz w:val="21"/>
                      <w:szCs w:val="21"/>
                      <w:lang w:val="en-US" w:eastAsia="zh-CN"/>
                      <w14:textFill>
                        <w14:solidFill>
                          <w14:schemeClr w14:val="tx1"/>
                        </w14:solidFill>
                      </w14:textFill>
                    </w:rPr>
                    <w:t>云南红塔产业园区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研和片区双小地块，不涉及绿色钢城片区。</w:t>
                  </w:r>
                </w:p>
              </w:tc>
              <w:tc>
                <w:tcPr>
                  <w:tcW w:w="548" w:type="pct"/>
                  <w:vAlign w:val="center"/>
                </w:tcPr>
                <w:p w14:paraId="08945C9B">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符合</w:t>
                  </w:r>
                </w:p>
              </w:tc>
            </w:tr>
          </w:tbl>
          <w:p w14:paraId="1BC1EB81">
            <w:pPr>
              <w:pStyle w:val="17"/>
              <w:keepNext w:val="0"/>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cs="Times New Roman"/>
                <w:b/>
                <w:color w:val="000000" w:themeColor="text1"/>
                <w:sz w:val="24"/>
                <w14:textFill>
                  <w14:solidFill>
                    <w14:schemeClr w14:val="tx1"/>
                  </w14:solidFill>
                </w14:textFill>
              </w:rPr>
            </w:pPr>
            <w:r>
              <w:rPr>
                <w:rFonts w:hint="eastAsia" w:ascii="Times New Roman" w:hAnsi="Times New Roman" w:cs="Times New Roman"/>
                <w:b/>
                <w:color w:val="000000" w:themeColor="text1"/>
                <w:sz w:val="24"/>
                <w:lang w:val="en-US" w:eastAsia="zh-CN"/>
                <w14:textFill>
                  <w14:solidFill>
                    <w14:schemeClr w14:val="tx1"/>
                  </w14:solidFill>
                </w14:textFill>
              </w:rPr>
              <w:t>6</w:t>
            </w:r>
            <w:r>
              <w:rPr>
                <w:rFonts w:hint="default" w:ascii="Times New Roman" w:hAnsi="Times New Roman" w:cs="Times New Roman"/>
                <w:b/>
                <w:color w:val="000000" w:themeColor="text1"/>
                <w:sz w:val="24"/>
                <w14:textFill>
                  <w14:solidFill>
                    <w14:schemeClr w14:val="tx1"/>
                  </w14:solidFill>
                </w14:textFill>
              </w:rPr>
              <w:t>、《</w:t>
            </w:r>
            <w:r>
              <w:rPr>
                <w:rFonts w:hint="default" w:ascii="Times New Roman" w:hAnsi="Times New Roman" w:cs="Times New Roman"/>
                <w:b/>
                <w:color w:val="000000" w:themeColor="text1"/>
                <w:sz w:val="24"/>
                <w:lang w:eastAsia="zh-CN"/>
                <w14:textFill>
                  <w14:solidFill>
                    <w14:schemeClr w14:val="tx1"/>
                  </w14:solidFill>
                </w14:textFill>
              </w:rPr>
              <w:t>云南省</w:t>
            </w:r>
            <w:r>
              <w:rPr>
                <w:rFonts w:hint="default" w:ascii="Times New Roman" w:hAnsi="Times New Roman" w:cs="Times New Roman"/>
                <w:b/>
                <w:color w:val="000000" w:themeColor="text1"/>
                <w:sz w:val="24"/>
                <w14:textFill>
                  <w14:solidFill>
                    <w14:schemeClr w14:val="tx1"/>
                  </w14:solidFill>
                </w14:textFill>
              </w:rPr>
              <w:t>长江经济带发展负面清单指南</w:t>
            </w:r>
            <w:r>
              <w:rPr>
                <w:rFonts w:hint="default" w:ascii="Times New Roman" w:hAnsi="Times New Roman" w:cs="Times New Roman"/>
                <w:b/>
                <w:color w:val="000000" w:themeColor="text1"/>
                <w:sz w:val="24"/>
                <w:lang w:eastAsia="zh-CN"/>
                <w14:textFill>
                  <w14:solidFill>
                    <w14:schemeClr w14:val="tx1"/>
                  </w14:solidFill>
                </w14:textFill>
              </w:rPr>
              <w:t>实施细则</w:t>
            </w:r>
            <w:r>
              <w:rPr>
                <w:rFonts w:hint="default" w:ascii="Times New Roman" w:hAnsi="Times New Roman" w:cs="Times New Roman"/>
                <w:b/>
                <w:color w:val="000000" w:themeColor="text1"/>
                <w:sz w:val="24"/>
                <w14:textFill>
                  <w14:solidFill>
                    <w14:schemeClr w14:val="tx1"/>
                  </w14:solidFill>
                </w14:textFill>
              </w:rPr>
              <w:t>》（试行，2022年版）的符合性分析</w:t>
            </w:r>
          </w:p>
          <w:p w14:paraId="3646CAE3">
            <w:pPr>
              <w:pStyle w:val="3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lang w:val="en-US" w:eastAsia="zh-CN"/>
                <w14:textFill>
                  <w14:solidFill>
                    <w14:schemeClr w14:val="tx1"/>
                  </w14:solidFill>
                </w14:textFill>
              </w:rPr>
              <w:t>位于</w:t>
            </w:r>
            <w:r>
              <w:rPr>
                <w:rFonts w:hint="eastAsia" w:cs="Times New Roman"/>
                <w:color w:val="000000" w:themeColor="text1"/>
                <w:sz w:val="24"/>
                <w:lang w:val="en-US" w:eastAsia="zh-CN"/>
                <w14:textFill>
                  <w14:solidFill>
                    <w14:schemeClr w14:val="tx1"/>
                  </w14:solidFill>
                </w14:textFill>
              </w:rPr>
              <w:t>云南红塔产业园区</w:t>
            </w:r>
            <w:r>
              <w:rPr>
                <w:rFonts w:hint="eastAsia" w:ascii="Times New Roman" w:hAnsi="Times New Roman" w:eastAsia="宋体" w:cs="Times New Roman"/>
                <w:color w:val="000000" w:themeColor="text1"/>
                <w:sz w:val="24"/>
                <w:lang w:val="en-US" w:eastAsia="zh-CN"/>
                <w14:textFill>
                  <w14:solidFill>
                    <w14:schemeClr w14:val="tx1"/>
                  </w14:solidFill>
                </w14:textFill>
              </w:rPr>
              <w:t>研和片区双小地块，</w:t>
            </w:r>
            <w:r>
              <w:rPr>
                <w:rFonts w:hint="default" w:ascii="Times New Roman" w:hAnsi="Times New Roman" w:eastAsia="宋体" w:cs="Times New Roman"/>
                <w:color w:val="000000" w:themeColor="text1"/>
                <w:sz w:val="24"/>
                <w14:textFill>
                  <w14:solidFill>
                    <w14:schemeClr w14:val="tx1"/>
                  </w14:solidFill>
                </w14:textFill>
              </w:rPr>
              <w:t>不在《云南省</w:t>
            </w:r>
            <w:r>
              <w:rPr>
                <w:rFonts w:hint="default" w:ascii="Times New Roman" w:hAnsi="Times New Roman" w:cs="Times New Roman"/>
                <w:color w:val="000000" w:themeColor="text1"/>
                <w:sz w:val="24"/>
                <w14:textFill>
                  <w14:solidFill>
                    <w14:schemeClr w14:val="tx1"/>
                  </w14:solidFill>
                </w14:textFill>
              </w:rPr>
              <w:t>长江经济带发展负面清单指南实施细则（</w:t>
            </w:r>
            <w:r>
              <w:rPr>
                <w:rFonts w:hint="default" w:ascii="Times New Roman" w:hAnsi="Times New Roman" w:cs="Times New Roman"/>
                <w:color w:val="000000" w:themeColor="text1"/>
                <w:sz w:val="24"/>
                <w:lang w:val="en-US" w:eastAsia="zh-CN"/>
                <w14:textFill>
                  <w14:solidFill>
                    <w14:schemeClr w14:val="tx1"/>
                  </w14:solidFill>
                </w14:textFill>
              </w:rPr>
              <w:t>2022年版</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（云发改基础</w:t>
            </w:r>
            <w:r>
              <w:rPr>
                <w:rFonts w:hint="default" w:ascii="Times New Roman" w:hAnsi="Times New Roman" w:cs="Times New Roman"/>
                <w:color w:val="000000" w:themeColor="text1"/>
                <w:sz w:val="24"/>
                <w:lang w:val="en-US" w:eastAsia="zh-CN"/>
                <w14:textFill>
                  <w14:solidFill>
                    <w14:schemeClr w14:val="tx1"/>
                  </w14:solidFill>
                </w14:textFill>
              </w:rPr>
              <w:t>〔2022〕894号</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禁止建设的负面清单内。具体符合性分析见下表。</w:t>
            </w:r>
          </w:p>
          <w:p w14:paraId="67EA6AB5">
            <w:pPr>
              <w:keepNext w:val="0"/>
              <w:pageBreakBefore w:val="0"/>
              <w:kinsoku/>
              <w:overflowPunct/>
              <w:topLinePunct w:val="0"/>
              <w:bidi w:val="0"/>
              <w:ind w:left="0" w:leftChars="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表1-</w:t>
            </w:r>
            <w:r>
              <w:rPr>
                <w:rFonts w:hint="eastAsia" w:cs="Times New Roman"/>
                <w:b/>
                <w:color w:val="000000" w:themeColor="text1"/>
                <w:szCs w:val="21"/>
                <w:lang w:val="en-US" w:eastAsia="zh-CN"/>
                <w14:textFill>
                  <w14:solidFill>
                    <w14:schemeClr w14:val="tx1"/>
                  </w14:solidFill>
                </w14:textFill>
              </w:rPr>
              <w:t xml:space="preserve">5 </w:t>
            </w:r>
            <w:r>
              <w:rPr>
                <w:rFonts w:hint="default" w:ascii="Times New Roman" w:hAnsi="Times New Roman" w:cs="Times New Roman"/>
                <w:b/>
                <w:color w:val="000000" w:themeColor="text1"/>
                <w:szCs w:val="21"/>
                <w14:textFill>
                  <w14:solidFill>
                    <w14:schemeClr w14:val="tx1"/>
                  </w14:solidFill>
                </w14:textFill>
              </w:rPr>
              <w:t>项目与《云南省长江经济带发展负面清单指南实施细则（</w:t>
            </w:r>
            <w:r>
              <w:rPr>
                <w:rFonts w:hint="default" w:ascii="Times New Roman" w:hAnsi="Times New Roman" w:cs="Times New Roman"/>
                <w:b/>
                <w:color w:val="000000" w:themeColor="text1"/>
                <w:szCs w:val="21"/>
                <w:lang w:eastAsia="zh-CN"/>
                <w14:textFill>
                  <w14:solidFill>
                    <w14:schemeClr w14:val="tx1"/>
                  </w14:solidFill>
                </w14:textFill>
              </w:rPr>
              <w:t>试行，</w:t>
            </w:r>
            <w:r>
              <w:rPr>
                <w:rFonts w:hint="default" w:ascii="Times New Roman" w:hAnsi="Times New Roman" w:cs="Times New Roman"/>
                <w:b/>
                <w:color w:val="000000" w:themeColor="text1"/>
                <w:szCs w:val="21"/>
                <w:lang w:val="en-US" w:eastAsia="zh-CN"/>
                <w14:textFill>
                  <w14:solidFill>
                    <w14:schemeClr w14:val="tx1"/>
                  </w14:solidFill>
                </w14:textFill>
              </w:rPr>
              <w:t>2022年版</w:t>
            </w:r>
            <w:r>
              <w:rPr>
                <w:rFonts w:hint="default" w:ascii="Times New Roman" w:hAnsi="Times New Roman" w:cs="Times New Roman"/>
                <w:b/>
                <w:color w:val="000000" w:themeColor="text1"/>
                <w:szCs w:val="21"/>
                <w:lang w:eastAsia="zh-CN"/>
                <w14:textFill>
                  <w14:solidFill>
                    <w14:schemeClr w14:val="tx1"/>
                  </w14:solidFill>
                </w14:textFill>
              </w:rPr>
              <w:t>）</w:t>
            </w:r>
            <w:r>
              <w:rPr>
                <w:rFonts w:hint="default" w:ascii="Times New Roman" w:hAnsi="Times New Roman" w:cs="Times New Roman"/>
                <w:b/>
                <w:color w:val="000000" w:themeColor="text1"/>
                <w:szCs w:val="21"/>
                <w14:textFill>
                  <w14:solidFill>
                    <w14:schemeClr w14:val="tx1"/>
                  </w14:solidFill>
                </w14:textFill>
              </w:rPr>
              <w:t>》</w:t>
            </w:r>
            <w:r>
              <w:rPr>
                <w:rFonts w:hint="eastAsia" w:cs="Times New Roman"/>
                <w:b/>
                <w:color w:val="000000" w:themeColor="text1"/>
                <w:szCs w:val="21"/>
                <w:lang w:val="en-US" w:eastAsia="zh-CN"/>
                <w14:textFill>
                  <w14:solidFill>
                    <w14:schemeClr w14:val="tx1"/>
                  </w14:solidFill>
                </w14:textFill>
              </w:rPr>
              <w:t xml:space="preserve"> </w:t>
            </w:r>
            <w:r>
              <w:rPr>
                <w:rFonts w:hint="default" w:ascii="Times New Roman" w:hAnsi="Times New Roman" w:cs="Times New Roman"/>
                <w:b/>
                <w:color w:val="000000" w:themeColor="text1"/>
                <w:szCs w:val="21"/>
                <w14:textFill>
                  <w14:solidFill>
                    <w14:schemeClr w14:val="tx1"/>
                  </w14:solidFill>
                </w14:textFill>
              </w:rPr>
              <w:t>符合性分析一览表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43"/>
              <w:gridCol w:w="2958"/>
              <w:gridCol w:w="663"/>
            </w:tblGrid>
            <w:tr w14:paraId="6081C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05B3821B">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法律规定保护要求</w:t>
                  </w:r>
                </w:p>
              </w:tc>
              <w:tc>
                <w:tcPr>
                  <w:tcW w:w="2008" w:type="pct"/>
                  <w:vAlign w:val="center"/>
                </w:tcPr>
                <w:p w14:paraId="62EB3E20">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本项目保护情况</w:t>
                  </w:r>
                </w:p>
              </w:tc>
              <w:tc>
                <w:tcPr>
                  <w:tcW w:w="450" w:type="pct"/>
                  <w:vAlign w:val="center"/>
                </w:tcPr>
                <w:p w14:paraId="59C49836">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符合性</w:t>
                  </w:r>
                </w:p>
              </w:tc>
            </w:tr>
            <w:tr w14:paraId="5B65E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586CB6F1">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新建、改建和扩建不符合《全国内河航道与港口布局规划》等全国港口规划和《昭通市港口码头岸线规划（金沙江段2019年—2035年）》、《景洪港总体规划（2019—2035年）》等州（市）级以上港口布局规划以及港口总体规划的码头项目。</w:t>
                  </w:r>
                </w:p>
              </w:tc>
              <w:tc>
                <w:tcPr>
                  <w:tcW w:w="2008" w:type="pct"/>
                  <w:vAlign w:val="center"/>
                </w:tcPr>
                <w:p w14:paraId="0AF53B73">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w:t>
                  </w:r>
                  <w:r>
                    <w:rPr>
                      <w:rFonts w:hint="eastAsia" w:cs="Times New Roman"/>
                      <w:color w:val="000000" w:themeColor="text1"/>
                      <w:sz w:val="21"/>
                      <w:szCs w:val="21"/>
                      <w:lang w:val="en-US" w:eastAsia="zh-CN"/>
                      <w14:textFill>
                        <w14:solidFill>
                          <w14:schemeClr w14:val="tx1"/>
                        </w14:solidFill>
                      </w14:textFill>
                    </w:rPr>
                    <w:t>云南红塔产业园区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研和片区双小地块，</w:t>
                  </w:r>
                  <w:r>
                    <w:rPr>
                      <w:rFonts w:hint="default" w:ascii="Times New Roman" w:hAnsi="Times New Roman" w:eastAsia="宋体" w:cs="Times New Roman"/>
                      <w:bCs/>
                      <w:color w:val="000000" w:themeColor="text1"/>
                      <w:szCs w:val="21"/>
                      <w:lang w:eastAsia="zh-CN"/>
                      <w14:textFill>
                        <w14:solidFill>
                          <w14:schemeClr w14:val="tx1"/>
                        </w14:solidFill>
                      </w14:textFill>
                    </w:rPr>
                    <w:t>本项目不属于</w:t>
                  </w:r>
                  <w:r>
                    <w:rPr>
                      <w:rFonts w:hint="default" w:ascii="Times New Roman" w:hAnsi="Times New Roman" w:eastAsia="宋体" w:cs="Times New Roman"/>
                      <w:bCs/>
                      <w:color w:val="000000" w:themeColor="text1"/>
                      <w:szCs w:val="21"/>
                      <w:lang w:val="en-US" w:eastAsia="zh-CN"/>
                      <w14:textFill>
                        <w14:solidFill>
                          <w14:schemeClr w14:val="tx1"/>
                        </w14:solidFill>
                      </w14:textFill>
                    </w:rPr>
                    <w:t>码头项目</w:t>
                  </w:r>
                </w:p>
              </w:tc>
              <w:tc>
                <w:tcPr>
                  <w:tcW w:w="450" w:type="pct"/>
                  <w:vAlign w:val="center"/>
                </w:tcPr>
                <w:p w14:paraId="6851F36E">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r>
            <w:tr w14:paraId="15DE6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5BBCACCE">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r>
                    <w:rPr>
                      <w:rFonts w:hint="default" w:ascii="Times New Roman" w:hAnsi="Times New Roman" w:eastAsia="宋体" w:cs="Times New Roman"/>
                      <w:bCs/>
                      <w:color w:val="000000" w:themeColor="text1"/>
                      <w:szCs w:val="21"/>
                      <w:lang w:eastAsia="zh-CN"/>
                      <w14:textFill>
                        <w14:solidFill>
                          <w14:schemeClr w14:val="tx1"/>
                        </w14:solidFill>
                      </w14:textFill>
                    </w:rPr>
                    <w:t>。</w:t>
                  </w:r>
                </w:p>
              </w:tc>
              <w:tc>
                <w:tcPr>
                  <w:tcW w:w="2008" w:type="pct"/>
                  <w:vAlign w:val="center"/>
                </w:tcPr>
                <w:p w14:paraId="2C489951">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w:t>
                  </w:r>
                  <w:r>
                    <w:rPr>
                      <w:rFonts w:hint="eastAsia" w:cs="Times New Roman"/>
                      <w:color w:val="000000" w:themeColor="text1"/>
                      <w:sz w:val="21"/>
                      <w:szCs w:val="21"/>
                      <w:lang w:val="en-US" w:eastAsia="zh-CN"/>
                      <w14:textFill>
                        <w14:solidFill>
                          <w14:schemeClr w14:val="tx1"/>
                        </w14:solidFill>
                      </w14:textFill>
                    </w:rPr>
                    <w:t>云南红塔产业园区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研和片区双小地块，</w:t>
                  </w:r>
                  <w:r>
                    <w:rPr>
                      <w:rFonts w:hint="default" w:ascii="Times New Roman" w:hAnsi="Times New Roman" w:cs="Times New Roman"/>
                      <w:bCs/>
                      <w:color w:val="000000" w:themeColor="text1"/>
                      <w:szCs w:val="21"/>
                      <w14:textFill>
                        <w14:solidFill>
                          <w14:schemeClr w14:val="tx1"/>
                        </w14:solidFill>
                      </w14:textFill>
                    </w:rPr>
                    <w:t>本项目不</w:t>
                  </w:r>
                  <w:r>
                    <w:rPr>
                      <w:rFonts w:hint="default" w:ascii="Times New Roman" w:hAnsi="Times New Roman" w:cs="Times New Roman"/>
                      <w:bCs/>
                      <w:color w:val="000000" w:themeColor="text1"/>
                      <w:szCs w:val="21"/>
                      <w:lang w:eastAsia="zh-CN"/>
                      <w14:textFill>
                        <w14:solidFill>
                          <w14:schemeClr w14:val="tx1"/>
                        </w14:solidFill>
                      </w14:textFill>
                    </w:rPr>
                    <w:t>涉及</w:t>
                  </w:r>
                  <w:r>
                    <w:rPr>
                      <w:rFonts w:hint="default" w:ascii="Times New Roman" w:hAnsi="Times New Roman" w:eastAsia="宋体" w:cs="Times New Roman"/>
                      <w:bCs/>
                      <w:color w:val="000000" w:themeColor="text1"/>
                      <w:szCs w:val="21"/>
                      <w:lang w:val="en-US" w:eastAsia="zh-CN"/>
                      <w14:textFill>
                        <w14:solidFill>
                          <w14:schemeClr w14:val="tx1"/>
                        </w14:solidFill>
                      </w14:textFill>
                    </w:rPr>
                    <w:t>自然保护区</w:t>
                  </w:r>
                </w:p>
              </w:tc>
              <w:tc>
                <w:tcPr>
                  <w:tcW w:w="450" w:type="pct"/>
                  <w:vAlign w:val="center"/>
                </w:tcPr>
                <w:p w14:paraId="6DDA4CE4">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r>
            <w:tr w14:paraId="373B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5F673966">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2008" w:type="pct"/>
                  <w:vAlign w:val="center"/>
                </w:tcPr>
                <w:p w14:paraId="3C63CFB4">
                  <w:pPr>
                    <w:keepNext w:val="0"/>
                    <w:pageBreakBefore w:val="0"/>
                    <w:kinsoku/>
                    <w:overflowPunct/>
                    <w:topLinePunct w:val="0"/>
                    <w:bidi w:val="0"/>
                    <w:ind w:left="0" w:leftChars="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w:t>
                  </w:r>
                  <w:r>
                    <w:rPr>
                      <w:rFonts w:hint="eastAsia" w:cs="Times New Roman"/>
                      <w:color w:val="000000" w:themeColor="text1"/>
                      <w:sz w:val="21"/>
                      <w:szCs w:val="21"/>
                      <w:lang w:val="en-US" w:eastAsia="zh-CN"/>
                      <w14:textFill>
                        <w14:solidFill>
                          <w14:schemeClr w14:val="tx1"/>
                        </w14:solidFill>
                      </w14:textFill>
                    </w:rPr>
                    <w:t>云南红塔产业园区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研和片区双小地块，</w:t>
                  </w:r>
                  <w:r>
                    <w:rPr>
                      <w:rFonts w:hint="default" w:ascii="Times New Roman" w:hAnsi="Times New Roman" w:cs="Times New Roman"/>
                      <w:bCs/>
                      <w:color w:val="000000" w:themeColor="text1"/>
                      <w:szCs w:val="21"/>
                      <w14:textFill>
                        <w14:solidFill>
                          <w14:schemeClr w14:val="tx1"/>
                        </w14:solidFill>
                      </w14:textFill>
                    </w:rPr>
                    <w:t>本项目不</w:t>
                  </w:r>
                  <w:r>
                    <w:rPr>
                      <w:rFonts w:hint="default" w:ascii="Times New Roman" w:hAnsi="Times New Roman" w:cs="Times New Roman"/>
                      <w:bCs/>
                      <w:color w:val="000000" w:themeColor="text1"/>
                      <w:szCs w:val="21"/>
                      <w:lang w:eastAsia="zh-CN"/>
                      <w14:textFill>
                        <w14:solidFill>
                          <w14:schemeClr w14:val="tx1"/>
                        </w14:solidFill>
                      </w14:textFill>
                    </w:rPr>
                    <w:t>涉及</w:t>
                  </w:r>
                  <w:r>
                    <w:rPr>
                      <w:rFonts w:hint="default" w:ascii="Times New Roman" w:hAnsi="Times New Roman" w:eastAsia="宋体" w:cs="Times New Roman"/>
                      <w:bCs/>
                      <w:color w:val="000000" w:themeColor="text1"/>
                      <w:szCs w:val="21"/>
                      <w:lang w:val="en-US" w:eastAsia="zh-CN"/>
                      <w14:textFill>
                        <w14:solidFill>
                          <w14:schemeClr w14:val="tx1"/>
                        </w14:solidFill>
                      </w14:textFill>
                    </w:rPr>
                    <w:t>风景名胜区</w:t>
                  </w:r>
                  <w:r>
                    <w:rPr>
                      <w:rFonts w:hint="default" w:ascii="Times New Roman" w:hAnsi="Times New Roman" w:cs="Times New Roman"/>
                      <w:bCs/>
                      <w:color w:val="000000" w:themeColor="text1"/>
                      <w:szCs w:val="21"/>
                      <w:lang w:val="en-US" w:eastAsia="zh-CN"/>
                      <w14:textFill>
                        <w14:solidFill>
                          <w14:schemeClr w14:val="tx1"/>
                        </w14:solidFill>
                      </w14:textFill>
                    </w:rPr>
                    <w:t>。</w:t>
                  </w:r>
                </w:p>
                <w:p w14:paraId="4DA55210">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50" w:type="pct"/>
                  <w:vAlign w:val="center"/>
                </w:tcPr>
                <w:p w14:paraId="21E6E683">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r>
            <w:tr w14:paraId="08C3E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trPr>
              <w:tc>
                <w:tcPr>
                  <w:tcW w:w="2541" w:type="pct"/>
                  <w:vAlign w:val="top"/>
                </w:tcPr>
                <w:p w14:paraId="0A04D8CD">
                  <w:pPr>
                    <w:keepNext w:val="0"/>
                    <w:pageBreakBefore w:val="0"/>
                    <w:kinsoku/>
                    <w:overflowPunct/>
                    <w:topLinePunct w:val="0"/>
                    <w:bidi w:val="0"/>
                    <w:ind w:left="0" w:leftChars="0" w:right="0"/>
                    <w:jc w:val="both"/>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2008" w:type="pct"/>
                  <w:vAlign w:val="center"/>
                </w:tcPr>
                <w:p w14:paraId="6DE963E5">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w:t>
                  </w:r>
                  <w:r>
                    <w:rPr>
                      <w:rFonts w:hint="eastAsia" w:cs="Times New Roman"/>
                      <w:color w:val="000000" w:themeColor="text1"/>
                      <w:sz w:val="21"/>
                      <w:szCs w:val="21"/>
                      <w:lang w:val="en-US" w:eastAsia="zh-CN"/>
                      <w14:textFill>
                        <w14:solidFill>
                          <w14:schemeClr w14:val="tx1"/>
                        </w14:solidFill>
                      </w14:textFill>
                    </w:rPr>
                    <w:t>云南红塔产业园区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研和片区双小地块，</w:t>
                  </w:r>
                  <w:r>
                    <w:rPr>
                      <w:rFonts w:hint="default" w:ascii="Times New Roman" w:hAnsi="Times New Roman" w:eastAsia="宋体" w:cs="Times New Roman"/>
                      <w:bCs/>
                      <w:color w:val="000000" w:themeColor="text1"/>
                      <w:szCs w:val="21"/>
                      <w:lang w:val="en-US" w:eastAsia="zh-CN"/>
                      <w14:textFill>
                        <w14:solidFill>
                          <w14:schemeClr w14:val="tx1"/>
                        </w14:solidFill>
                      </w14:textFill>
                    </w:rPr>
                    <w:t>本项目不涉及饮用水水源一级保护区、二级保护区。</w:t>
                  </w:r>
                </w:p>
              </w:tc>
              <w:tc>
                <w:tcPr>
                  <w:tcW w:w="450" w:type="pct"/>
                  <w:vAlign w:val="center"/>
                </w:tcPr>
                <w:p w14:paraId="5AA55D46">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r>
            <w:tr w14:paraId="5E15A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6A2BAAB1">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2008" w:type="pct"/>
                  <w:vAlign w:val="center"/>
                </w:tcPr>
                <w:p w14:paraId="66BE9B0E">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w:t>
                  </w:r>
                  <w:r>
                    <w:rPr>
                      <w:rFonts w:hint="eastAsia" w:cs="Times New Roman"/>
                      <w:color w:val="000000" w:themeColor="text1"/>
                      <w:sz w:val="21"/>
                      <w:szCs w:val="21"/>
                      <w:lang w:val="en-US" w:eastAsia="zh-CN"/>
                      <w14:textFill>
                        <w14:solidFill>
                          <w14:schemeClr w14:val="tx1"/>
                        </w14:solidFill>
                      </w14:textFill>
                    </w:rPr>
                    <w:t>云南红塔产业园区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研和片区双小地块，</w:t>
                  </w:r>
                  <w:r>
                    <w:rPr>
                      <w:rFonts w:hint="default" w:ascii="Times New Roman" w:hAnsi="Times New Roman" w:cs="Times New Roman"/>
                      <w:bCs/>
                      <w:color w:val="000000" w:themeColor="text1"/>
                      <w:szCs w:val="21"/>
                      <w:lang w:eastAsia="zh-CN"/>
                      <w14:textFill>
                        <w14:solidFill>
                          <w14:schemeClr w14:val="tx1"/>
                        </w14:solidFill>
                      </w14:textFill>
                    </w:rPr>
                    <w:t>本项目</w:t>
                  </w:r>
                  <w:r>
                    <w:rPr>
                      <w:rFonts w:hint="default" w:ascii="Times New Roman" w:hAnsi="Times New Roman" w:cs="Times New Roman"/>
                      <w:bCs/>
                      <w:color w:val="000000" w:themeColor="text1"/>
                      <w:szCs w:val="21"/>
                      <w14:textFill>
                        <w14:solidFill>
                          <w14:schemeClr w14:val="tx1"/>
                        </w14:solidFill>
                      </w14:textFill>
                    </w:rPr>
                    <w:t>不</w:t>
                  </w:r>
                  <w:r>
                    <w:rPr>
                      <w:rFonts w:hint="default" w:ascii="Times New Roman" w:hAnsi="Times New Roman" w:cs="Times New Roman"/>
                      <w:bCs/>
                      <w:color w:val="000000" w:themeColor="text1"/>
                      <w:szCs w:val="21"/>
                      <w:lang w:eastAsia="zh-CN"/>
                      <w14:textFill>
                        <w14:solidFill>
                          <w14:schemeClr w14:val="tx1"/>
                        </w14:solidFill>
                      </w14:textFill>
                    </w:rPr>
                    <w:t>涉及</w:t>
                  </w:r>
                  <w:r>
                    <w:rPr>
                      <w:rFonts w:hint="default" w:ascii="Times New Roman" w:hAnsi="Times New Roman" w:eastAsia="宋体" w:cs="Times New Roman"/>
                      <w:bCs/>
                      <w:color w:val="000000" w:themeColor="text1"/>
                      <w:szCs w:val="21"/>
                      <w:lang w:val="en-US" w:eastAsia="zh-CN"/>
                      <w14:textFill>
                        <w14:solidFill>
                          <w14:schemeClr w14:val="tx1"/>
                        </w14:solidFill>
                      </w14:textFill>
                    </w:rPr>
                    <w:t>水产种质资源保护区</w:t>
                  </w:r>
                  <w:r>
                    <w:rPr>
                      <w:rFonts w:hint="default" w:ascii="Times New Roman" w:hAnsi="Times New Roman" w:cs="Times New Roman"/>
                      <w:bCs/>
                      <w:color w:val="000000" w:themeColor="text1"/>
                      <w:szCs w:val="21"/>
                      <w:lang w:val="en-US" w:eastAsia="zh-CN"/>
                      <w14:textFill>
                        <w14:solidFill>
                          <w14:schemeClr w14:val="tx1"/>
                        </w14:solidFill>
                      </w14:textFill>
                    </w:rPr>
                    <w:t>。</w:t>
                  </w:r>
                </w:p>
              </w:tc>
              <w:tc>
                <w:tcPr>
                  <w:tcW w:w="450" w:type="pct"/>
                  <w:vAlign w:val="center"/>
                </w:tcPr>
                <w:p w14:paraId="1BB71304">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r>
            <w:tr w14:paraId="35AE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37770C86">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2008" w:type="pct"/>
                  <w:vAlign w:val="center"/>
                </w:tcPr>
                <w:p w14:paraId="72B0F877">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eastAsia="zh-CN"/>
                      <w14:textFill>
                        <w14:solidFill>
                          <w14:schemeClr w14:val="tx1"/>
                        </w14:solidFill>
                      </w14:textFill>
                    </w:rPr>
                    <w:t>本项目</w:t>
                  </w:r>
                  <w:r>
                    <w:rPr>
                      <w:rFonts w:hint="default" w:ascii="Times New Roman" w:hAnsi="Times New Roman" w:cs="Times New Roman"/>
                      <w:bCs/>
                      <w:color w:val="000000" w:themeColor="text1"/>
                      <w:szCs w:val="21"/>
                      <w14:textFill>
                        <w14:solidFill>
                          <w14:schemeClr w14:val="tx1"/>
                        </w14:solidFill>
                      </w14:textFill>
                    </w:rPr>
                    <w:t>不</w:t>
                  </w:r>
                  <w:r>
                    <w:rPr>
                      <w:rFonts w:hint="default" w:ascii="Times New Roman" w:hAnsi="Times New Roman" w:cs="Times New Roman"/>
                      <w:bCs/>
                      <w:color w:val="000000" w:themeColor="text1"/>
                      <w:szCs w:val="21"/>
                      <w:lang w:eastAsia="zh-CN"/>
                      <w14:textFill>
                        <w14:solidFill>
                          <w14:schemeClr w14:val="tx1"/>
                        </w14:solidFill>
                      </w14:textFill>
                    </w:rPr>
                    <w:t>涉及</w:t>
                  </w:r>
                  <w:r>
                    <w:rPr>
                      <w:rFonts w:hint="default" w:ascii="Times New Roman" w:hAnsi="Times New Roman" w:eastAsia="宋体" w:cs="Times New Roman"/>
                      <w:bCs/>
                      <w:color w:val="000000" w:themeColor="text1"/>
                      <w:szCs w:val="21"/>
                      <w:lang w:val="en-US" w:eastAsia="zh-CN"/>
                      <w14:textFill>
                        <w14:solidFill>
                          <w14:schemeClr w14:val="tx1"/>
                        </w14:solidFill>
                      </w14:textFill>
                    </w:rPr>
                    <w:t>长江流域河湖岸线、金沙江干流、九大高原湖泊保护区、保留区。</w:t>
                  </w:r>
                </w:p>
              </w:tc>
              <w:tc>
                <w:tcPr>
                  <w:tcW w:w="450" w:type="pct"/>
                  <w:vAlign w:val="center"/>
                </w:tcPr>
                <w:p w14:paraId="182EA893">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r>
            <w:tr w14:paraId="35380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3C531398">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2008" w:type="pct"/>
                  <w:vAlign w:val="center"/>
                </w:tcPr>
                <w:p w14:paraId="4E8CE8E1">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eastAsia="zh-CN"/>
                      <w14:textFill>
                        <w14:solidFill>
                          <w14:schemeClr w14:val="tx1"/>
                        </w14:solidFill>
                      </w14:textFill>
                    </w:rPr>
                    <w:t>本项目</w:t>
                  </w:r>
                  <w:r>
                    <w:rPr>
                      <w:rFonts w:hint="default" w:ascii="Times New Roman" w:hAnsi="Times New Roman" w:cs="Times New Roman"/>
                      <w:bCs/>
                      <w:color w:val="000000" w:themeColor="text1"/>
                      <w:szCs w:val="21"/>
                      <w14:textFill>
                        <w14:solidFill>
                          <w14:schemeClr w14:val="tx1"/>
                        </w14:solidFill>
                      </w14:textFill>
                    </w:rPr>
                    <w:t>不</w:t>
                  </w:r>
                  <w:r>
                    <w:rPr>
                      <w:rFonts w:hint="default" w:ascii="Times New Roman" w:hAnsi="Times New Roman" w:cs="Times New Roman"/>
                      <w:bCs/>
                      <w:color w:val="000000" w:themeColor="text1"/>
                      <w:szCs w:val="21"/>
                      <w:lang w:eastAsia="zh-CN"/>
                      <w14:textFill>
                        <w14:solidFill>
                          <w14:schemeClr w14:val="tx1"/>
                        </w14:solidFill>
                      </w14:textFill>
                    </w:rPr>
                    <w:t>涉及</w:t>
                  </w:r>
                  <w:r>
                    <w:rPr>
                      <w:rFonts w:hint="default" w:ascii="Times New Roman" w:hAnsi="Times New Roman" w:eastAsia="宋体" w:cs="Times New Roman"/>
                      <w:bCs/>
                      <w:color w:val="000000" w:themeColor="text1"/>
                      <w:szCs w:val="21"/>
                      <w:lang w:val="en-US" w:eastAsia="zh-CN"/>
                      <w14:textFill>
                        <w14:solidFill>
                          <w14:schemeClr w14:val="tx1"/>
                        </w14:solidFill>
                      </w14:textFill>
                    </w:rPr>
                    <w:t>金沙江干流、长江一级支流。</w:t>
                  </w:r>
                </w:p>
              </w:tc>
              <w:tc>
                <w:tcPr>
                  <w:tcW w:w="450" w:type="pct"/>
                  <w:vAlign w:val="center"/>
                </w:tcPr>
                <w:p w14:paraId="5975C146">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r>
            <w:tr w14:paraId="17740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222007D7">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禁止在金沙江干流、长江一级支流、水生生物保护区和长江流域禁捕水域开展天然渔业资源生产性捕捞。</w:t>
                  </w:r>
                </w:p>
              </w:tc>
              <w:tc>
                <w:tcPr>
                  <w:tcW w:w="2008" w:type="pct"/>
                  <w:vAlign w:val="center"/>
                </w:tcPr>
                <w:p w14:paraId="591AC09C">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eastAsia="zh-CN"/>
                      <w14:textFill>
                        <w14:solidFill>
                          <w14:schemeClr w14:val="tx1"/>
                        </w14:solidFill>
                      </w14:textFill>
                    </w:rPr>
                    <w:t>本项目</w:t>
                  </w:r>
                  <w:r>
                    <w:rPr>
                      <w:rFonts w:hint="default" w:ascii="Times New Roman" w:hAnsi="Times New Roman" w:cs="Times New Roman"/>
                      <w:bCs/>
                      <w:color w:val="000000" w:themeColor="text1"/>
                      <w:szCs w:val="21"/>
                      <w14:textFill>
                        <w14:solidFill>
                          <w14:schemeClr w14:val="tx1"/>
                        </w14:solidFill>
                      </w14:textFill>
                    </w:rPr>
                    <w:t>不</w:t>
                  </w:r>
                  <w:r>
                    <w:rPr>
                      <w:rFonts w:hint="default" w:ascii="Times New Roman" w:hAnsi="Times New Roman" w:cs="Times New Roman"/>
                      <w:bCs/>
                      <w:color w:val="000000" w:themeColor="text1"/>
                      <w:szCs w:val="21"/>
                      <w:lang w:eastAsia="zh-CN"/>
                      <w14:textFill>
                        <w14:solidFill>
                          <w14:schemeClr w14:val="tx1"/>
                        </w14:solidFill>
                      </w14:textFill>
                    </w:rPr>
                    <w:t>涉及</w:t>
                  </w:r>
                  <w:r>
                    <w:rPr>
                      <w:rFonts w:hint="default" w:ascii="Times New Roman" w:hAnsi="Times New Roman" w:eastAsia="宋体" w:cs="Times New Roman"/>
                      <w:bCs/>
                      <w:color w:val="000000" w:themeColor="text1"/>
                      <w:szCs w:val="21"/>
                      <w:lang w:val="en-US" w:eastAsia="zh-CN"/>
                      <w14:textFill>
                        <w14:solidFill>
                          <w14:schemeClr w14:val="tx1"/>
                        </w14:solidFill>
                      </w14:textFill>
                    </w:rPr>
                    <w:t>金沙江干流、长江一级支流。</w:t>
                  </w:r>
                </w:p>
              </w:tc>
              <w:tc>
                <w:tcPr>
                  <w:tcW w:w="450" w:type="pct"/>
                  <w:vAlign w:val="center"/>
                </w:tcPr>
                <w:p w14:paraId="63B91CFB">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r>
            <w:tr w14:paraId="47666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79526A1E">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2008" w:type="pct"/>
                  <w:vAlign w:val="center"/>
                </w:tcPr>
                <w:p w14:paraId="1FB43676">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w:t>
                  </w:r>
                  <w:r>
                    <w:rPr>
                      <w:rFonts w:hint="eastAsia" w:cs="Times New Roman"/>
                      <w:color w:val="000000" w:themeColor="text1"/>
                      <w:sz w:val="21"/>
                      <w:szCs w:val="21"/>
                      <w:lang w:val="en-US" w:eastAsia="zh-CN"/>
                      <w14:textFill>
                        <w14:solidFill>
                          <w14:schemeClr w14:val="tx1"/>
                        </w14:solidFill>
                      </w14:textFill>
                    </w:rPr>
                    <w:t>云南红塔产业园区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研和片区双小地块，</w:t>
                  </w:r>
                  <w:r>
                    <w:rPr>
                      <w:rFonts w:hint="default" w:ascii="Times New Roman" w:hAnsi="Times New Roman" w:cs="Times New Roman"/>
                      <w:bCs/>
                      <w:color w:val="000000" w:themeColor="text1"/>
                      <w:szCs w:val="21"/>
                      <w:lang w:eastAsia="zh-CN"/>
                      <w14:textFill>
                        <w14:solidFill>
                          <w14:schemeClr w14:val="tx1"/>
                        </w14:solidFill>
                      </w14:textFill>
                    </w:rPr>
                    <w:t>本项目</w:t>
                  </w:r>
                  <w:r>
                    <w:rPr>
                      <w:rFonts w:hint="default" w:ascii="Times New Roman" w:hAnsi="Times New Roman" w:cs="Times New Roman"/>
                      <w:bCs/>
                      <w:color w:val="000000" w:themeColor="text1"/>
                      <w:szCs w:val="21"/>
                      <w14:textFill>
                        <w14:solidFill>
                          <w14:schemeClr w14:val="tx1"/>
                        </w14:solidFill>
                      </w14:textFill>
                    </w:rPr>
                    <w:t>不</w:t>
                  </w:r>
                  <w:r>
                    <w:rPr>
                      <w:rFonts w:hint="default" w:ascii="Times New Roman" w:hAnsi="Times New Roman" w:cs="Times New Roman"/>
                      <w:bCs/>
                      <w:color w:val="000000" w:themeColor="text1"/>
                      <w:szCs w:val="21"/>
                      <w:lang w:eastAsia="zh-CN"/>
                      <w14:textFill>
                        <w14:solidFill>
                          <w14:schemeClr w14:val="tx1"/>
                        </w14:solidFill>
                      </w14:textFill>
                    </w:rPr>
                    <w:t>涉及</w:t>
                  </w:r>
                  <w:r>
                    <w:rPr>
                      <w:rFonts w:hint="default" w:ascii="Times New Roman" w:hAnsi="Times New Roman" w:eastAsia="宋体" w:cs="Times New Roman"/>
                      <w:bCs/>
                      <w:color w:val="000000" w:themeColor="text1"/>
                      <w:szCs w:val="21"/>
                      <w:lang w:val="en-US" w:eastAsia="zh-CN"/>
                      <w14:textFill>
                        <w14:solidFill>
                          <w14:schemeClr w14:val="tx1"/>
                        </w14:solidFill>
                      </w14:textFill>
                    </w:rPr>
                    <w:t>金沙江干流、长江一级支流。</w:t>
                  </w:r>
                </w:p>
              </w:tc>
              <w:tc>
                <w:tcPr>
                  <w:tcW w:w="450" w:type="pct"/>
                  <w:vAlign w:val="center"/>
                </w:tcPr>
                <w:p w14:paraId="793FBA0D">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r>
            <w:tr w14:paraId="3B24D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6AC00F1C">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禁止在合规园区外新建、扩建钢铁、石化、化工、焦化、建材、有色、制浆造纸行业中的高污染项目。</w:t>
                  </w:r>
                </w:p>
              </w:tc>
              <w:tc>
                <w:tcPr>
                  <w:tcW w:w="2008" w:type="pct"/>
                  <w:vAlign w:val="center"/>
                </w:tcPr>
                <w:p w14:paraId="5237FB69">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w:t>
                  </w:r>
                  <w:r>
                    <w:rPr>
                      <w:rFonts w:hint="eastAsia" w:cs="Times New Roman"/>
                      <w:color w:val="000000" w:themeColor="text1"/>
                      <w:sz w:val="21"/>
                      <w:szCs w:val="21"/>
                      <w:lang w:val="en-US" w:eastAsia="zh-CN"/>
                      <w14:textFill>
                        <w14:solidFill>
                          <w14:schemeClr w14:val="tx1"/>
                        </w14:solidFill>
                      </w14:textFill>
                    </w:rPr>
                    <w:t>云南红塔产业园区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研和片区双小地块，</w:t>
                  </w:r>
                  <w:r>
                    <w:rPr>
                      <w:rFonts w:hint="default" w:ascii="Times New Roman" w:hAnsi="Times New Roman" w:eastAsia="宋体" w:cs="Times New Roman"/>
                      <w:bCs/>
                      <w:color w:val="000000" w:themeColor="text1"/>
                      <w:szCs w:val="21"/>
                      <w:lang w:val="en-US" w:eastAsia="zh-CN"/>
                      <w14:textFill>
                        <w14:solidFill>
                          <w14:schemeClr w14:val="tx1"/>
                        </w14:solidFill>
                      </w14:textFill>
                    </w:rPr>
                    <w:t>本项目为</w:t>
                  </w:r>
                  <w:r>
                    <w:rPr>
                      <w:rFonts w:hint="eastAsia" w:ascii="Times New Roman" w:hAnsi="Times New Roman" w:eastAsia="宋体" w:cs="Times New Roman"/>
                      <w:bCs/>
                      <w:color w:val="000000" w:themeColor="text1"/>
                      <w:szCs w:val="21"/>
                      <w:lang w:eastAsia="zh-CN"/>
                      <w14:textFill>
                        <w14:solidFill>
                          <w14:schemeClr w14:val="tx1"/>
                        </w14:solidFill>
                      </w14:textFill>
                    </w:rPr>
                    <w:t>锅炉及环保设施技改项目</w:t>
                  </w:r>
                  <w:r>
                    <w:rPr>
                      <w:rFonts w:hint="default" w:ascii="Times New Roman" w:hAnsi="Times New Roman" w:eastAsia="宋体" w:cs="Times New Roman"/>
                      <w:bCs/>
                      <w:color w:val="000000" w:themeColor="text1"/>
                      <w:szCs w:val="21"/>
                      <w:lang w:eastAsia="zh-CN"/>
                      <w14:textFill>
                        <w14:solidFill>
                          <w14:schemeClr w14:val="tx1"/>
                        </w14:solidFill>
                      </w14:textFill>
                    </w:rPr>
                    <w:t>，</w:t>
                  </w:r>
                  <w:r>
                    <w:rPr>
                      <w:rFonts w:hint="default" w:ascii="Times New Roman" w:hAnsi="Times New Roman" w:eastAsia="宋体" w:cs="Times New Roman"/>
                      <w:bCs/>
                      <w:color w:val="000000" w:themeColor="text1"/>
                      <w:szCs w:val="21"/>
                      <w:lang w:val="en-US" w:eastAsia="zh-CN"/>
                      <w14:textFill>
                        <w14:solidFill>
                          <w14:schemeClr w14:val="tx1"/>
                        </w14:solidFill>
                      </w14:textFill>
                    </w:rPr>
                    <w:t>不属于高污染项目</w:t>
                  </w:r>
                </w:p>
              </w:tc>
              <w:tc>
                <w:tcPr>
                  <w:tcW w:w="450" w:type="pct"/>
                  <w:vAlign w:val="center"/>
                </w:tcPr>
                <w:p w14:paraId="6ED1F26F">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eastAsia="zh-CN"/>
                      <w14:textFill>
                        <w14:solidFill>
                          <w14:schemeClr w14:val="tx1"/>
                        </w14:solidFill>
                      </w14:textFill>
                    </w:rPr>
                    <w:t>符合</w:t>
                  </w:r>
                </w:p>
              </w:tc>
            </w:tr>
            <w:tr w14:paraId="558F7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541" w:type="pct"/>
                  <w:vAlign w:val="center"/>
                </w:tcPr>
                <w:p w14:paraId="0266E252">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禁止新建、扩建不符合国家石化、现代煤化工等产业布局规划的项目。禁止列入《云南省城镇人口密集区危险化学品生产企业搬迁改造名单》的搬迁改造企业在原址新建、扩建危险化学品生产项目</w:t>
                  </w:r>
                </w:p>
              </w:tc>
              <w:tc>
                <w:tcPr>
                  <w:tcW w:w="2008" w:type="pct"/>
                  <w:vAlign w:val="center"/>
                </w:tcPr>
                <w:p w14:paraId="352DD675">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w:t>
                  </w:r>
                  <w:r>
                    <w:rPr>
                      <w:rFonts w:hint="eastAsia" w:cs="Times New Roman"/>
                      <w:color w:val="000000" w:themeColor="text1"/>
                      <w:sz w:val="21"/>
                      <w:szCs w:val="21"/>
                      <w:lang w:val="en-US" w:eastAsia="zh-CN"/>
                      <w14:textFill>
                        <w14:solidFill>
                          <w14:schemeClr w14:val="tx1"/>
                        </w14:solidFill>
                      </w14:textFill>
                    </w:rPr>
                    <w:t>云南红塔产业园区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研和片区双小地块，</w:t>
                  </w:r>
                  <w:r>
                    <w:rPr>
                      <w:rFonts w:hint="default" w:ascii="Times New Roman" w:hAnsi="Times New Roman" w:eastAsia="宋体" w:cs="Times New Roman"/>
                      <w:bCs/>
                      <w:color w:val="000000" w:themeColor="text1"/>
                      <w:szCs w:val="21"/>
                      <w:lang w:val="en-US" w:eastAsia="zh-CN"/>
                      <w14:textFill>
                        <w14:solidFill>
                          <w14:schemeClr w14:val="tx1"/>
                        </w14:solidFill>
                      </w14:textFill>
                    </w:rPr>
                    <w:t>本项目为</w:t>
                  </w:r>
                  <w:r>
                    <w:rPr>
                      <w:rFonts w:hint="eastAsia" w:ascii="Times New Roman" w:hAnsi="Times New Roman" w:eastAsia="宋体" w:cs="Times New Roman"/>
                      <w:bCs/>
                      <w:color w:val="000000" w:themeColor="text1"/>
                      <w:szCs w:val="21"/>
                      <w:lang w:eastAsia="zh-CN"/>
                      <w14:textFill>
                        <w14:solidFill>
                          <w14:schemeClr w14:val="tx1"/>
                        </w14:solidFill>
                      </w14:textFill>
                    </w:rPr>
                    <w:t>锅炉及环保设施技改项目</w:t>
                  </w:r>
                  <w:r>
                    <w:rPr>
                      <w:rFonts w:hint="default" w:ascii="Times New Roman" w:hAnsi="Times New Roman" w:eastAsia="宋体" w:cs="Times New Roman"/>
                      <w:bCs/>
                      <w:color w:val="000000" w:themeColor="text1"/>
                      <w:szCs w:val="21"/>
                      <w:lang w:eastAsia="zh-CN"/>
                      <w14:textFill>
                        <w14:solidFill>
                          <w14:schemeClr w14:val="tx1"/>
                        </w14:solidFill>
                      </w14:textFill>
                    </w:rPr>
                    <w:t>，</w:t>
                  </w:r>
                  <w:r>
                    <w:rPr>
                      <w:rFonts w:hint="default" w:ascii="Times New Roman" w:hAnsi="Times New Roman" w:cs="Times New Roman"/>
                      <w:bCs/>
                      <w:color w:val="000000" w:themeColor="text1"/>
                      <w:szCs w:val="21"/>
                      <w:lang w:eastAsia="zh-CN"/>
                      <w14:textFill>
                        <w14:solidFill>
                          <w14:schemeClr w14:val="tx1"/>
                        </w14:solidFill>
                      </w14:textFill>
                    </w:rPr>
                    <w:t>不涉及</w:t>
                  </w:r>
                  <w:r>
                    <w:rPr>
                      <w:rFonts w:hint="default" w:ascii="Times New Roman" w:hAnsi="Times New Roman" w:eastAsia="宋体" w:cs="Times New Roman"/>
                      <w:bCs/>
                      <w:color w:val="000000" w:themeColor="text1"/>
                      <w:szCs w:val="21"/>
                      <w:lang w:val="en-US" w:eastAsia="zh-CN"/>
                      <w14:textFill>
                        <w14:solidFill>
                          <w14:schemeClr w14:val="tx1"/>
                        </w14:solidFill>
                      </w14:textFill>
                    </w:rPr>
                    <w:t>不符合国家石化、现代煤化工等产业布局规划的项目</w:t>
                  </w:r>
                </w:p>
              </w:tc>
              <w:tc>
                <w:tcPr>
                  <w:tcW w:w="450" w:type="pct"/>
                  <w:vAlign w:val="center"/>
                </w:tcPr>
                <w:p w14:paraId="78342DBC">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符合</w:t>
                  </w:r>
                </w:p>
              </w:tc>
            </w:tr>
            <w:tr w14:paraId="5760D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0AD9C625">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w:t>
                  </w:r>
                  <w:r>
                    <w:rPr>
                      <w:rFonts w:hint="eastAsia" w:cs="Times New Roman"/>
                      <w:bCs/>
                      <w:color w:val="000000" w:themeColor="text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Cs w:val="21"/>
                      <w:lang w:val="en-US" w:eastAsia="zh-CN"/>
                      <w14:textFill>
                        <w14:solidFill>
                          <w14:schemeClr w14:val="tx1"/>
                        </w14:solidFill>
                      </w14:textFill>
                    </w:rPr>
                    <w:t>限制类</w:t>
                  </w:r>
                  <w:r>
                    <w:rPr>
                      <w:rFonts w:hint="eastAsia" w:cs="Times New Roman"/>
                      <w:bCs/>
                      <w:color w:val="000000" w:themeColor="text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Cs w:val="21"/>
                      <w:lang w:val="en-US" w:eastAsia="zh-CN"/>
                      <w14:textFill>
                        <w14:solidFill>
                          <w14:schemeClr w14:val="tx1"/>
                        </w14:solidFill>
                      </w14:textFill>
                    </w:rPr>
                    <w:t>产能。禁止建设高毒高残留以及对环境影响大的农药原药生产装置，严控尿素、磷铵、电石、焦炭、黄磷、烧碱、纯碱、聚氯乙烯等行业新增产能。</w:t>
                  </w:r>
                </w:p>
              </w:tc>
              <w:tc>
                <w:tcPr>
                  <w:tcW w:w="2008" w:type="pct"/>
                  <w:vAlign w:val="center"/>
                </w:tcPr>
                <w:p w14:paraId="3A31831A">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w:t>
                  </w:r>
                  <w:r>
                    <w:rPr>
                      <w:rFonts w:hint="eastAsia" w:cs="Times New Roman"/>
                      <w:color w:val="000000" w:themeColor="text1"/>
                      <w:sz w:val="21"/>
                      <w:szCs w:val="21"/>
                      <w:lang w:val="en-US" w:eastAsia="zh-CN"/>
                      <w14:textFill>
                        <w14:solidFill>
                          <w14:schemeClr w14:val="tx1"/>
                        </w14:solidFill>
                      </w14:textFill>
                    </w:rPr>
                    <w:t>云南红塔产业园区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研和片区双小地块，</w:t>
                  </w:r>
                  <w:r>
                    <w:rPr>
                      <w:rFonts w:hint="default" w:ascii="Times New Roman" w:hAnsi="Times New Roman" w:eastAsia="宋体" w:cs="Times New Roman"/>
                      <w:bCs/>
                      <w:color w:val="000000" w:themeColor="text1"/>
                      <w:szCs w:val="21"/>
                      <w:lang w:val="en-US" w:eastAsia="zh-CN"/>
                      <w14:textFill>
                        <w14:solidFill>
                          <w14:schemeClr w14:val="tx1"/>
                        </w14:solidFill>
                      </w14:textFill>
                    </w:rPr>
                    <w:t>本项目为</w:t>
                  </w:r>
                  <w:r>
                    <w:rPr>
                      <w:rFonts w:hint="eastAsia" w:ascii="Times New Roman" w:hAnsi="Times New Roman" w:eastAsia="宋体" w:cs="Times New Roman"/>
                      <w:bCs/>
                      <w:color w:val="000000" w:themeColor="text1"/>
                      <w:szCs w:val="21"/>
                      <w:lang w:eastAsia="zh-CN"/>
                      <w14:textFill>
                        <w14:solidFill>
                          <w14:schemeClr w14:val="tx1"/>
                        </w14:solidFill>
                      </w14:textFill>
                    </w:rPr>
                    <w:t>锅炉及环保设施技改项目</w:t>
                  </w:r>
                  <w:r>
                    <w:rPr>
                      <w:rFonts w:hint="default" w:ascii="Times New Roman" w:hAnsi="Times New Roman" w:eastAsia="宋体" w:cs="Times New Roman"/>
                      <w:bCs/>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不属于法律法规和相关政策明令禁止的落后产能项目。不属于国家产能置换要求的严重过剩产能行业的项目，不属于高耗能高排放项目</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不</w:t>
                  </w:r>
                  <w:r>
                    <w:rPr>
                      <w:rFonts w:hint="default" w:ascii="Times New Roman" w:hAnsi="Times New Roman" w:cs="Times New Roman"/>
                      <w:color w:val="000000" w:themeColor="text1"/>
                      <w:szCs w:val="21"/>
                      <w:lang w:eastAsia="zh-CN"/>
                      <w14:textFill>
                        <w14:solidFill>
                          <w14:schemeClr w14:val="tx1"/>
                        </w14:solidFill>
                      </w14:textFill>
                    </w:rPr>
                    <w:t>涉及</w:t>
                  </w:r>
                  <w:r>
                    <w:rPr>
                      <w:rFonts w:hint="default" w:ascii="Times New Roman" w:hAnsi="Times New Roman" w:eastAsia="宋体" w:cs="Times New Roman"/>
                      <w:color w:val="000000" w:themeColor="text1"/>
                      <w:szCs w:val="21"/>
                      <w14:textFill>
                        <w14:solidFill>
                          <w14:schemeClr w14:val="tx1"/>
                        </w14:solidFill>
                      </w14:textFill>
                    </w:rPr>
                    <w:t>高毒高残留以及对环境影响大的农药原药生产装置</w:t>
                  </w:r>
                  <w:r>
                    <w:rPr>
                      <w:rFonts w:hint="default" w:ascii="Times New Roman" w:hAnsi="Times New Roman" w:cs="Times New Roman"/>
                      <w:color w:val="000000" w:themeColor="text1"/>
                      <w:szCs w:val="21"/>
                      <w:lang w:eastAsia="zh-CN"/>
                      <w14:textFill>
                        <w14:solidFill>
                          <w14:schemeClr w14:val="tx1"/>
                        </w14:solidFill>
                      </w14:textFill>
                    </w:rPr>
                    <w:t>。</w:t>
                  </w:r>
                </w:p>
              </w:tc>
              <w:tc>
                <w:tcPr>
                  <w:tcW w:w="450" w:type="pct"/>
                  <w:vAlign w:val="center"/>
                </w:tcPr>
                <w:p w14:paraId="7CC249BF">
                  <w:pPr>
                    <w:keepNext w:val="0"/>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符合</w:t>
                  </w:r>
                </w:p>
              </w:tc>
            </w:tr>
          </w:tbl>
          <w:p w14:paraId="4C49CC7D">
            <w:pPr>
              <w:pStyle w:val="32"/>
              <w:keepNext w:val="0"/>
              <w:pageBreakBefore w:val="0"/>
              <w:kinsoku/>
              <w:overflowPunct/>
              <w:topLinePunct w:val="0"/>
              <w:bidi w:val="0"/>
              <w:spacing w:after="0" w:line="360" w:lineRule="auto"/>
              <w:ind w:left="0" w:leftChars="0" w:firstLine="482"/>
              <w:jc w:val="left"/>
              <w:textAlignment w:val="center"/>
              <w:rPr>
                <w:rFonts w:hint="default" w:ascii="Times New Roman" w:hAnsi="Times New Roman" w:cs="Times New Roman"/>
                <w:b/>
                <w:bCs/>
                <w:color w:val="000000" w:themeColor="text1"/>
                <w:sz w:val="24"/>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7</w:t>
            </w:r>
            <w:r>
              <w:rPr>
                <w:rFonts w:hint="default" w:ascii="Times New Roman" w:hAnsi="Times New Roman" w:cs="Times New Roman"/>
                <w:b/>
                <w:bCs/>
                <w:color w:val="000000" w:themeColor="text1"/>
                <w:sz w:val="24"/>
                <w14:textFill>
                  <w14:solidFill>
                    <w14:schemeClr w14:val="tx1"/>
                  </w14:solidFill>
                </w14:textFill>
              </w:rPr>
              <w:t>、与《玉溪市</w:t>
            </w:r>
            <w:r>
              <w:rPr>
                <w:rFonts w:hint="eastAsia" w:cs="Times New Roman"/>
                <w:b/>
                <w:bCs/>
                <w:color w:val="000000" w:themeColor="text1"/>
                <w:sz w:val="24"/>
                <w:lang w:eastAsia="zh-CN"/>
                <w14:textFill>
                  <w14:solidFill>
                    <w14:schemeClr w14:val="tx1"/>
                  </w14:solidFill>
                </w14:textFill>
              </w:rPr>
              <w:t>“</w:t>
            </w:r>
            <w:r>
              <w:rPr>
                <w:rFonts w:hint="default" w:ascii="Times New Roman" w:hAnsi="Times New Roman" w:cs="Times New Roman"/>
                <w:b/>
                <w:bCs/>
                <w:color w:val="000000" w:themeColor="text1"/>
                <w:sz w:val="24"/>
                <w14:textFill>
                  <w14:solidFill>
                    <w14:schemeClr w14:val="tx1"/>
                  </w14:solidFill>
                </w14:textFill>
              </w:rPr>
              <w:t>十四五</w:t>
            </w:r>
            <w:r>
              <w:rPr>
                <w:rFonts w:hint="eastAsia" w:cs="Times New Roman"/>
                <w:b/>
                <w:bCs/>
                <w:color w:val="000000" w:themeColor="text1"/>
                <w:sz w:val="24"/>
                <w:lang w:eastAsia="zh-CN"/>
                <w14:textFill>
                  <w14:solidFill>
                    <w14:schemeClr w14:val="tx1"/>
                  </w14:solidFill>
                </w14:textFill>
              </w:rPr>
              <w:t>”</w:t>
            </w:r>
            <w:r>
              <w:rPr>
                <w:rFonts w:hint="default" w:ascii="Times New Roman" w:hAnsi="Times New Roman" w:cs="Times New Roman"/>
                <w:b/>
                <w:bCs/>
                <w:color w:val="000000" w:themeColor="text1"/>
                <w:sz w:val="24"/>
                <w14:textFill>
                  <w14:solidFill>
                    <w14:schemeClr w14:val="tx1"/>
                  </w14:solidFill>
                </w14:textFill>
              </w:rPr>
              <w:t>生态建设和环境保护规划（2021-2025年）》符合性分析</w:t>
            </w:r>
          </w:p>
          <w:p w14:paraId="2F828832">
            <w:pPr>
              <w:keepNext w:val="0"/>
              <w:pageBreakBefore w:val="0"/>
              <w:tabs>
                <w:tab w:val="left" w:pos="4830"/>
              </w:tabs>
              <w:kinsoku/>
              <w:overflowPunct/>
              <w:topLinePunct w:val="0"/>
              <w:bidi w:val="0"/>
              <w:ind w:left="0" w:leftChars="0"/>
              <w:jc w:val="center"/>
              <w:rPr>
                <w:rFonts w:hint="default" w:ascii="Times New Roman" w:hAnsi="Times New Roman" w:cs="Times New Roman"/>
                <w:b/>
                <w:bCs/>
                <w:color w:val="000000" w:themeColor="text1"/>
                <w:sz w:val="22"/>
                <w:szCs w:val="20"/>
                <w14:textFill>
                  <w14:solidFill>
                    <w14:schemeClr w14:val="tx1"/>
                  </w14:solidFill>
                </w14:textFill>
              </w:rPr>
            </w:pPr>
            <w:r>
              <w:rPr>
                <w:rFonts w:hint="default" w:ascii="Times New Roman" w:hAnsi="Times New Roman" w:cs="Times New Roman"/>
                <w:b/>
                <w:bCs/>
                <w:color w:val="000000" w:themeColor="text1"/>
                <w:sz w:val="22"/>
                <w:szCs w:val="20"/>
                <w14:textFill>
                  <w14:solidFill>
                    <w14:schemeClr w14:val="tx1"/>
                  </w14:solidFill>
                </w14:textFill>
              </w:rPr>
              <w:t>表1-</w:t>
            </w:r>
            <w:r>
              <w:rPr>
                <w:rFonts w:hint="eastAsia" w:cs="Times New Roman"/>
                <w:b/>
                <w:bCs/>
                <w:color w:val="000000" w:themeColor="text1"/>
                <w:sz w:val="22"/>
                <w:szCs w:val="20"/>
                <w:lang w:val="en-US" w:eastAsia="zh-CN"/>
                <w14:textFill>
                  <w14:solidFill>
                    <w14:schemeClr w14:val="tx1"/>
                  </w14:solidFill>
                </w14:textFill>
              </w:rPr>
              <w:t xml:space="preserve">6  </w:t>
            </w:r>
            <w:r>
              <w:rPr>
                <w:rFonts w:hint="default" w:ascii="Times New Roman" w:hAnsi="Times New Roman" w:cs="Times New Roman"/>
                <w:b/>
                <w:bCs/>
                <w:color w:val="000000" w:themeColor="text1"/>
                <w:sz w:val="22"/>
                <w:szCs w:val="20"/>
                <w14:textFill>
                  <w14:solidFill>
                    <w14:schemeClr w14:val="tx1"/>
                  </w14:solidFill>
                </w14:textFill>
              </w:rPr>
              <w:t>项目与《玉溪市</w:t>
            </w:r>
            <w:r>
              <w:rPr>
                <w:rFonts w:hint="eastAsia" w:cs="Times New Roman"/>
                <w:b/>
                <w:bCs/>
                <w:color w:val="000000" w:themeColor="text1"/>
                <w:sz w:val="22"/>
                <w:szCs w:val="20"/>
                <w:lang w:eastAsia="zh-CN"/>
                <w14:textFill>
                  <w14:solidFill>
                    <w14:schemeClr w14:val="tx1"/>
                  </w14:solidFill>
                </w14:textFill>
              </w:rPr>
              <w:t>“</w:t>
            </w:r>
            <w:r>
              <w:rPr>
                <w:rFonts w:hint="default" w:ascii="Times New Roman" w:hAnsi="Times New Roman" w:cs="Times New Roman"/>
                <w:b/>
                <w:bCs/>
                <w:color w:val="000000" w:themeColor="text1"/>
                <w:sz w:val="22"/>
                <w:szCs w:val="20"/>
                <w14:textFill>
                  <w14:solidFill>
                    <w14:schemeClr w14:val="tx1"/>
                  </w14:solidFill>
                </w14:textFill>
              </w:rPr>
              <w:t>十四五</w:t>
            </w:r>
            <w:r>
              <w:rPr>
                <w:rFonts w:hint="eastAsia" w:cs="Times New Roman"/>
                <w:b/>
                <w:bCs/>
                <w:color w:val="000000" w:themeColor="text1"/>
                <w:sz w:val="22"/>
                <w:szCs w:val="20"/>
                <w:lang w:eastAsia="zh-CN"/>
                <w14:textFill>
                  <w14:solidFill>
                    <w14:schemeClr w14:val="tx1"/>
                  </w14:solidFill>
                </w14:textFill>
              </w:rPr>
              <w:t>”</w:t>
            </w:r>
            <w:r>
              <w:rPr>
                <w:rFonts w:hint="default" w:ascii="Times New Roman" w:hAnsi="Times New Roman" w:cs="Times New Roman"/>
                <w:b/>
                <w:bCs/>
                <w:color w:val="000000" w:themeColor="text1"/>
                <w:sz w:val="22"/>
                <w:szCs w:val="20"/>
                <w14:textFill>
                  <w14:solidFill>
                    <w14:schemeClr w14:val="tx1"/>
                  </w14:solidFill>
                </w14:textFill>
              </w:rPr>
              <w:t>生态建设和环境保护规划（2021-2025年）》符合性分析一览表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0"/>
              <w:gridCol w:w="2725"/>
              <w:gridCol w:w="709"/>
            </w:tblGrid>
            <w:tr w14:paraId="3DCF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668" w:type="pct"/>
                  <w:vAlign w:val="center"/>
                </w:tcPr>
                <w:p w14:paraId="691DC01D">
                  <w:pPr>
                    <w:keepNext w:val="0"/>
                    <w:pageBreakBefore w:val="0"/>
                    <w:tabs>
                      <w:tab w:val="left" w:pos="4830"/>
                    </w:tabs>
                    <w:kinsoku/>
                    <w:overflowPunct/>
                    <w:topLinePunct w:val="0"/>
                    <w:bidi w:val="0"/>
                    <w:ind w:left="0" w:leftChars="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法律规定保护要求</w:t>
                  </w:r>
                </w:p>
              </w:tc>
              <w:tc>
                <w:tcPr>
                  <w:tcW w:w="1850" w:type="pct"/>
                  <w:vAlign w:val="center"/>
                </w:tcPr>
                <w:p w14:paraId="2CAD5CF9">
                  <w:pPr>
                    <w:keepNext w:val="0"/>
                    <w:pageBreakBefore w:val="0"/>
                    <w:tabs>
                      <w:tab w:val="left" w:pos="4830"/>
                    </w:tabs>
                    <w:kinsoku/>
                    <w:overflowPunct/>
                    <w:topLinePunct w:val="0"/>
                    <w:bidi w:val="0"/>
                    <w:ind w:left="0" w:leftChars="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本项目情况</w:t>
                  </w:r>
                </w:p>
              </w:tc>
              <w:tc>
                <w:tcPr>
                  <w:tcW w:w="481" w:type="pct"/>
                  <w:vAlign w:val="center"/>
                </w:tcPr>
                <w:p w14:paraId="795FA171">
                  <w:pPr>
                    <w:keepNext w:val="0"/>
                    <w:pageBreakBefore w:val="0"/>
                    <w:tabs>
                      <w:tab w:val="left" w:pos="4830"/>
                    </w:tabs>
                    <w:kinsoku/>
                    <w:overflowPunct/>
                    <w:topLinePunct w:val="0"/>
                    <w:bidi w:val="0"/>
                    <w:ind w:left="0" w:leftChars="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符合性</w:t>
                  </w:r>
                </w:p>
              </w:tc>
            </w:tr>
            <w:tr w14:paraId="6D68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8" w:type="pct"/>
                  <w:vAlign w:val="center"/>
                </w:tcPr>
                <w:p w14:paraId="744B7A56">
                  <w:pPr>
                    <w:keepNext w:val="0"/>
                    <w:pageBreakBefore w:val="0"/>
                    <w:tabs>
                      <w:tab w:val="left" w:pos="4830"/>
                    </w:tabs>
                    <w:kinsoku/>
                    <w:overflowPunct/>
                    <w:topLinePunct w:val="0"/>
                    <w:bidi w:val="0"/>
                    <w:ind w:left="0" w:left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一、加快推动绿色低碳发展</w:t>
                  </w:r>
                </w:p>
                <w:p w14:paraId="0E008763">
                  <w:pPr>
                    <w:keepNext w:val="0"/>
                    <w:pageBreakBefore w:val="0"/>
                    <w:tabs>
                      <w:tab w:val="left" w:pos="4830"/>
                    </w:tabs>
                    <w:kinsoku/>
                    <w:overflowPunct/>
                    <w:topLinePunct w:val="0"/>
                    <w:bidi w:val="0"/>
                    <w:ind w:left="0" w:left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（一）</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健全绿色低碳发展支撑体系</w:t>
                  </w:r>
                </w:p>
                <w:p w14:paraId="29A221E4">
                  <w:pPr>
                    <w:keepNext w:val="0"/>
                    <w:pageBreakBefore w:val="0"/>
                    <w:tabs>
                      <w:tab w:val="left" w:pos="4830"/>
                    </w:tabs>
                    <w:kinsoku/>
                    <w:overflowPunct/>
                    <w:topLinePunct w:val="0"/>
                    <w:bidi w:val="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强化绿色发展的法规和政策保障，推进环境保护、节能减排约束性指标的刚性管理。发展绿色金融，加快构建绿色金融政策体系，引导金融和实体经济开展绿色投融资活动。深化环保投融资体制改革，探索环保治理投融资新形态，积极引导社会资本投入污染防治和绿色低碳发展。全面落实国家支持节能环保产业和低碳发展的一系列优惠政策，完善促进绿色发展的价格形成机制，深化水资源价格改革，推进电价市场化改革，优化污水垃圾收费机制。支持和推进绿色发展科技创新，加强绿色发展领域人才队伍建设。</w:t>
                  </w:r>
                </w:p>
                <w:p w14:paraId="34B9CE28">
                  <w:pPr>
                    <w:keepNext w:val="0"/>
                    <w:pageBreakBefore w:val="0"/>
                    <w:tabs>
                      <w:tab w:val="left" w:pos="4830"/>
                    </w:tabs>
                    <w:kinsoku/>
                    <w:overflowPunct/>
                    <w:topLinePunct w:val="0"/>
                    <w:bidi w:val="0"/>
                    <w:ind w:left="0" w:leftChars="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850" w:type="pct"/>
                  <w:vAlign w:val="center"/>
                </w:tcPr>
                <w:p w14:paraId="7CDF8FC7">
                  <w:pPr>
                    <w:keepNext w:val="0"/>
                    <w:pageBreakBefore w:val="0"/>
                    <w:tabs>
                      <w:tab w:val="left" w:pos="4830"/>
                    </w:tabs>
                    <w:kinsoku/>
                    <w:overflowPunct/>
                    <w:topLinePunct w:val="0"/>
                    <w:bidi w:val="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w:t>
                  </w:r>
                  <w:r>
                    <w:rPr>
                      <w:rFonts w:hint="eastAsia" w:cs="Times New Roman"/>
                      <w:color w:val="000000" w:themeColor="text1"/>
                      <w:sz w:val="21"/>
                      <w:szCs w:val="21"/>
                      <w:lang w:val="en-US" w:eastAsia="zh-CN"/>
                      <w14:textFill>
                        <w14:solidFill>
                          <w14:schemeClr w14:val="tx1"/>
                        </w14:solidFill>
                      </w14:textFill>
                    </w:rPr>
                    <w:t>云南红塔产业园区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研和片区双小地块，</w:t>
                  </w:r>
                </w:p>
                <w:p w14:paraId="45DA9FEF">
                  <w:pPr>
                    <w:keepNext w:val="0"/>
                    <w:pageBreakBefore w:val="0"/>
                    <w:kinsoku/>
                    <w:wordWrap/>
                    <w:overflowPunct/>
                    <w:topLinePunct w:val="0"/>
                    <w:autoSpaceDE/>
                    <w:autoSpaceDN/>
                    <w:bidi w:val="0"/>
                    <w:adjustRightInd/>
                    <w:snapToGrid/>
                    <w:spacing w:line="240" w:lineRule="auto"/>
                    <w:ind w:left="0" w:leftChars="0" w:right="0" w:firstLine="0" w:firstLineChars="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本项目为锅炉及环保设施技改项目，项目原有燃煤锅炉</w:t>
                  </w:r>
                  <w:r>
                    <w:rPr>
                      <w:rFonts w:hint="eastAsia" w:eastAsia="宋体" w:cs="Times New Roman"/>
                      <w:color w:val="000000" w:themeColor="text1"/>
                      <w:sz w:val="21"/>
                      <w:szCs w:val="21"/>
                      <w:lang w:val="en-US" w:eastAsia="zh-CN"/>
                      <w14:textFill>
                        <w14:solidFill>
                          <w14:schemeClr w14:val="tx1"/>
                        </w14:solidFill>
                      </w14:textFill>
                    </w:rPr>
                    <w:t>废气经双碱脱硫除尘设施处理后通过</w:t>
                  </w:r>
                  <w:r>
                    <w:rPr>
                      <w:rFonts w:hint="eastAsia" w:cs="Times New Roman"/>
                      <w:color w:val="000000" w:themeColor="text1"/>
                      <w:sz w:val="21"/>
                      <w:szCs w:val="21"/>
                      <w:lang w:val="en-US" w:eastAsia="zh-CN"/>
                      <w14:textFill>
                        <w14:solidFill>
                          <w14:schemeClr w14:val="tx1"/>
                        </w14:solidFill>
                      </w14:textFill>
                    </w:rPr>
                    <w:t>30m高排气筒DA001排放</w:t>
                  </w:r>
                  <w:r>
                    <w:rPr>
                      <w:rFonts w:hint="eastAsia"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本项目建设</w:t>
                  </w:r>
                  <w:r>
                    <w:rPr>
                      <w:rFonts w:hint="eastAsia" w:eastAsia="宋体" w:cs="Times New Roman"/>
                      <w:color w:val="000000" w:themeColor="text1"/>
                      <w:sz w:val="21"/>
                      <w:szCs w:val="21"/>
                      <w:lang w:val="en-US" w:eastAsia="zh-CN"/>
                      <w14:textFill>
                        <w14:solidFill>
                          <w14:schemeClr w14:val="tx1"/>
                        </w14:solidFill>
                      </w14:textFill>
                    </w:rPr>
                    <w:t>完成</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后</w:t>
                  </w:r>
                  <w:r>
                    <w:rPr>
                      <w:rFonts w:hint="eastAsia" w:eastAsia="宋体" w:cs="Times New Roman"/>
                      <w:color w:val="000000" w:themeColor="text1"/>
                      <w:sz w:val="21"/>
                      <w:szCs w:val="21"/>
                      <w:lang w:val="en-US" w:eastAsia="zh-CN"/>
                      <w14:textFill>
                        <w14:solidFill>
                          <w14:schemeClr w14:val="tx1"/>
                        </w14:solidFill>
                      </w14:textFill>
                    </w:rPr>
                    <w:t>燃煤锅炉</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拆除更换为生物质锅炉</w:t>
                  </w:r>
                  <w:r>
                    <w:rPr>
                      <w:rFonts w:hint="eastAsia" w:eastAsia="宋体" w:cs="Times New Roman"/>
                      <w:color w:val="000000" w:themeColor="text1"/>
                      <w:sz w:val="21"/>
                      <w:szCs w:val="21"/>
                      <w:lang w:val="en-US" w:eastAsia="zh-CN"/>
                      <w14:textFill>
                        <w14:solidFill>
                          <w14:schemeClr w14:val="tx1"/>
                        </w14:solidFill>
                      </w14:textFill>
                    </w:rPr>
                    <w:t>，锅炉废气经</w:t>
                  </w:r>
                  <w:r>
                    <w:rPr>
                      <w:rFonts w:hint="eastAsia" w:cs="Times New Roman"/>
                      <w:color w:val="000000" w:themeColor="text1"/>
                      <w:sz w:val="21"/>
                      <w:szCs w:val="21"/>
                      <w:lang w:val="en-US" w:eastAsia="zh-CN"/>
                      <w14:textFill>
                        <w14:solidFill>
                          <w14:schemeClr w14:val="tx1"/>
                        </w14:solidFill>
                      </w14:textFill>
                    </w:rPr>
                    <w:t>“低氮燃烧+旋风除尘+布袋除尘”</w:t>
                  </w:r>
                  <w:r>
                    <w:rPr>
                      <w:rFonts w:hint="eastAsia" w:eastAsia="宋体" w:cs="Times New Roman"/>
                      <w:color w:val="000000" w:themeColor="text1"/>
                      <w:sz w:val="21"/>
                      <w:szCs w:val="21"/>
                      <w:lang w:val="en-US" w:eastAsia="zh-CN"/>
                      <w14:textFill>
                        <w14:solidFill>
                          <w14:schemeClr w14:val="tx1"/>
                        </w14:solidFill>
                      </w14:textFill>
                    </w:rPr>
                    <w:t>设施处理后通过</w:t>
                  </w:r>
                  <w:r>
                    <w:rPr>
                      <w:rFonts w:hint="eastAsia" w:cs="Times New Roman"/>
                      <w:color w:val="000000" w:themeColor="text1"/>
                      <w:sz w:val="21"/>
                      <w:szCs w:val="21"/>
                      <w:lang w:val="en-US" w:eastAsia="zh-CN"/>
                      <w14:textFill>
                        <w14:solidFill>
                          <w14:schemeClr w14:val="tx1"/>
                        </w14:solidFill>
                      </w14:textFill>
                    </w:rPr>
                    <w:t>30m高排气筒DA001排放</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p w14:paraId="472EAC7B">
                  <w:pPr>
                    <w:keepNext w:val="0"/>
                    <w:pageBreakBefore w:val="0"/>
                    <w:tabs>
                      <w:tab w:val="left" w:pos="4830"/>
                    </w:tabs>
                    <w:kinsoku/>
                    <w:overflowPunct/>
                    <w:topLinePunct w:val="0"/>
                    <w:bidi w:val="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现有项目有机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废气无组织排放，本项目建设</w:t>
                  </w:r>
                  <w:r>
                    <w:rPr>
                      <w:rFonts w:hint="eastAsia" w:eastAsia="宋体" w:cs="Times New Roman"/>
                      <w:color w:val="000000" w:themeColor="text1"/>
                      <w:sz w:val="21"/>
                      <w:szCs w:val="21"/>
                      <w:lang w:val="en-US" w:eastAsia="zh-CN"/>
                      <w14:textFill>
                        <w14:solidFill>
                          <w14:schemeClr w14:val="tx1"/>
                        </w14:solidFill>
                      </w14:textFill>
                    </w:rPr>
                    <w:t>完成</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后</w:t>
                  </w:r>
                  <w:r>
                    <w:rPr>
                      <w:rFonts w:hint="eastAsia" w:cs="Times New Roman"/>
                      <w:color w:val="000000" w:themeColor="text1"/>
                      <w:sz w:val="21"/>
                      <w:szCs w:val="21"/>
                      <w:lang w:val="en-US" w:eastAsia="zh-CN"/>
                      <w14:textFill>
                        <w14:solidFill>
                          <w14:schemeClr w14:val="tx1"/>
                        </w14:solidFill>
                      </w14:textFill>
                    </w:rPr>
                    <w:t>发泡、成型工序设置集气罩有机废气</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经收集后进入</w:t>
                  </w:r>
                  <w:r>
                    <w:rPr>
                      <w:rFonts w:hint="eastAsia" w:cs="Times New Roman"/>
                      <w:color w:val="000000" w:themeColor="text1"/>
                      <w:sz w:val="21"/>
                      <w:szCs w:val="21"/>
                      <w:lang w:val="en-US" w:eastAsia="zh-CN"/>
                      <w14:textFill>
                        <w14:solidFill>
                          <w14:schemeClr w14:val="tx1"/>
                        </w14:solidFill>
                      </w14:textFill>
                    </w:rPr>
                    <w:t>“两级活性炭吸附装置”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处理后通过</w:t>
                  </w:r>
                  <w:r>
                    <w:rPr>
                      <w:rFonts w:hint="eastAsia" w:cs="Times New Roman"/>
                      <w:color w:val="000000" w:themeColor="text1"/>
                      <w:sz w:val="21"/>
                      <w:szCs w:val="21"/>
                      <w:lang w:val="en-US" w:eastAsia="zh-CN"/>
                      <w14:textFill>
                        <w14:solidFill>
                          <w14:schemeClr w14:val="tx1"/>
                        </w14:solidFill>
                      </w14:textFill>
                    </w:rPr>
                    <w:t>15m高排气筒DA002排放</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481" w:type="pct"/>
                  <w:vAlign w:val="center"/>
                </w:tcPr>
                <w:p w14:paraId="67672831">
                  <w:pPr>
                    <w:keepNext w:val="0"/>
                    <w:pageBreakBefore w:val="0"/>
                    <w:tabs>
                      <w:tab w:val="left" w:pos="4830"/>
                    </w:tabs>
                    <w:kinsoku/>
                    <w:overflowPunct/>
                    <w:topLinePunct w:val="0"/>
                    <w:bidi w:val="0"/>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3D49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8" w:type="pct"/>
                  <w:vAlign w:val="center"/>
                </w:tcPr>
                <w:p w14:paraId="03AD8899">
                  <w:pPr>
                    <w:keepNext w:val="0"/>
                    <w:pageBreakBefore w:val="0"/>
                    <w:tabs>
                      <w:tab w:val="left" w:pos="4830"/>
                    </w:tabs>
                    <w:kinsoku/>
                    <w:overflowPunct/>
                    <w:topLinePunct w:val="0"/>
                    <w:bidi w:val="0"/>
                    <w:ind w:left="0" w:leftChars="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二、严控产业准入门槛</w:t>
                  </w:r>
                </w:p>
                <w:p w14:paraId="4941CAFA">
                  <w:pPr>
                    <w:keepNext w:val="0"/>
                    <w:pageBreakBefore w:val="0"/>
                    <w:tabs>
                      <w:tab w:val="left" w:pos="4830"/>
                    </w:tabs>
                    <w:kinsoku/>
                    <w:overflowPunct/>
                    <w:topLinePunct w:val="0"/>
                    <w:bidi w:val="0"/>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调整优化产业结构，推进产业绿色发展。加快完成生态保护红线、环境质量底线、资源利用上线、环境准入清单编制工作，明确禁止和限制发展的行业、生产工艺和产业目录。修订完善高耗能、高污染和资源型行业准入条件，制订更严格的产业准入门槛</w:t>
                  </w:r>
                </w:p>
              </w:tc>
              <w:tc>
                <w:tcPr>
                  <w:tcW w:w="1850" w:type="pct"/>
                  <w:shd w:val="clear" w:color="auto" w:fill="auto"/>
                  <w:vAlign w:val="center"/>
                </w:tcPr>
                <w:p w14:paraId="0ADC1938">
                  <w:pPr>
                    <w:keepNext w:val="0"/>
                    <w:keepLines w:val="0"/>
                    <w:pageBreakBefore w:val="0"/>
                    <w:widowControl/>
                    <w:suppressLineNumbers w:val="0"/>
                    <w:kinsoku/>
                    <w:wordWrap w:val="0"/>
                    <w:overflowPunct/>
                    <w:topLinePunct w:val="0"/>
                    <w:autoSpaceDE/>
                    <w:autoSpaceDN/>
                    <w:bidi w:val="0"/>
                    <w:adjustRightInd/>
                    <w:snapToGrid/>
                    <w:ind w:left="0" w:leftChars="0"/>
                    <w:jc w:val="left"/>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本项目为锅炉及环保设施技改项目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，本项目符合国家产业政策，</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项目于2025年11月27日取得了峨山县发展和改革局核发的《云南省固定资产投资项目备案证》（备案号：2511-530426-04-02-334555），同意项目建设。</w:t>
                  </w:r>
                </w:p>
              </w:tc>
              <w:tc>
                <w:tcPr>
                  <w:tcW w:w="481" w:type="pct"/>
                  <w:vAlign w:val="center"/>
                </w:tcPr>
                <w:p w14:paraId="108AB9EF">
                  <w:pPr>
                    <w:keepNext w:val="0"/>
                    <w:pageBreakBefore w:val="0"/>
                    <w:tabs>
                      <w:tab w:val="left" w:pos="4830"/>
                    </w:tabs>
                    <w:kinsoku/>
                    <w:overflowPunct/>
                    <w:topLinePunct w:val="0"/>
                    <w:bidi w:val="0"/>
                    <w:ind w:left="0" w:lef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符合</w:t>
                  </w:r>
                </w:p>
              </w:tc>
            </w:tr>
            <w:tr w14:paraId="03EBC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8" w:type="pct"/>
                  <w:vAlign w:val="center"/>
                </w:tcPr>
                <w:p w14:paraId="315A65A5">
                  <w:pPr>
                    <w:keepNext w:val="0"/>
                    <w:pageBreakBefore w:val="0"/>
                    <w:tabs>
                      <w:tab w:val="left" w:pos="4830"/>
                    </w:tabs>
                    <w:kinsoku/>
                    <w:overflowPunct/>
                    <w:topLinePunct w:val="0"/>
                    <w:bidi w:val="0"/>
                    <w:ind w:left="0" w:leftChars="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三、淘汰落后产能</w:t>
                  </w:r>
                </w:p>
                <w:p w14:paraId="1D49B51C">
                  <w:pPr>
                    <w:keepNext w:val="0"/>
                    <w:pageBreakBefore w:val="0"/>
                    <w:tabs>
                      <w:tab w:val="left" w:pos="4830"/>
                    </w:tabs>
                    <w:kinsoku/>
                    <w:overflowPunct/>
                    <w:topLinePunct w:val="0"/>
                    <w:bidi w:val="0"/>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认真落实产业政策，严格环境影响评价，坚决遏制高耗能高排放项目盲目发展，加快淘汰落后产能，推动产业结构优化升级。严格执行质量、环保、能耗、安全等法规标准，加大钢铁、水泥熟料等行业落后产能淘汰和过剩产能压减力度。推进建材行业绿色发展，鼓励行业产能整合，严格落实水泥行业产能置换政策，到2025年，全市现有日产2000吨以下的新型干法水泥生产线全部淘汰。淘汰磷化工生产工艺落后、污染严重、不具备安全生产条件的落后产能，提高磷化工产业聚集度。建设高浓度磷复肥生产基地，发展高浓度磷复肥。</w:t>
                  </w:r>
                </w:p>
              </w:tc>
              <w:tc>
                <w:tcPr>
                  <w:tcW w:w="1850" w:type="pct"/>
                  <w:vAlign w:val="center"/>
                </w:tcPr>
                <w:p w14:paraId="0D7A9D1C">
                  <w:pPr>
                    <w:keepNext w:val="0"/>
                    <w:pageBreakBefore w:val="0"/>
                    <w:kinsoku/>
                    <w:overflowPunct/>
                    <w:topLinePunct w:val="0"/>
                    <w:bidi w:val="0"/>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本项目不属于法律法规和相关政策明令禁止的落后产能项目。不属于国家产能置换要求的严重过剩产能行业的项目，不属于高耗能高排放项目。</w:t>
                  </w:r>
                </w:p>
              </w:tc>
              <w:tc>
                <w:tcPr>
                  <w:tcW w:w="481" w:type="pct"/>
                  <w:vAlign w:val="center"/>
                </w:tcPr>
                <w:p w14:paraId="2A5DFC7E">
                  <w:pPr>
                    <w:keepNext w:val="0"/>
                    <w:pageBreakBefore w:val="0"/>
                    <w:tabs>
                      <w:tab w:val="left" w:pos="4830"/>
                    </w:tabs>
                    <w:kinsoku/>
                    <w:overflowPunct/>
                    <w:topLinePunct w:val="0"/>
                    <w:bidi w:val="0"/>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bl>
          <w:p w14:paraId="4A2632CC">
            <w:pPr>
              <w:pStyle w:val="32"/>
              <w:keepNext w:val="0"/>
              <w:keepLines w:val="0"/>
              <w:pageBreakBefore w:val="0"/>
              <w:widowControl w:val="0"/>
              <w:kinsoku/>
              <w:wordWrap/>
              <w:overflowPunct/>
              <w:topLinePunct w:val="0"/>
              <w:autoSpaceDE/>
              <w:autoSpaceDN/>
              <w:bidi w:val="0"/>
              <w:adjustRightInd/>
              <w:snapToGrid/>
              <w:spacing w:after="0" w:line="360" w:lineRule="auto"/>
              <w:ind w:left="0" w:leftChars="0" w:firstLine="482"/>
              <w:jc w:val="left"/>
              <w:textAlignment w:val="center"/>
              <w:rPr>
                <w:rFonts w:hint="default" w:ascii="Times New Roman" w:hAnsi="Times New Roman" w:cs="Times New Roman"/>
                <w:b/>
                <w:bCs/>
                <w:color w:val="000000" w:themeColor="text1"/>
                <w:sz w:val="24"/>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8</w:t>
            </w:r>
            <w:r>
              <w:rPr>
                <w:rFonts w:hint="default" w:ascii="Times New Roman" w:hAnsi="Times New Roman" w:cs="Times New Roman"/>
                <w:b/>
                <w:bCs/>
                <w:color w:val="000000" w:themeColor="text1"/>
                <w:sz w:val="24"/>
                <w14:textFill>
                  <w14:solidFill>
                    <w14:schemeClr w14:val="tx1"/>
                  </w14:solidFill>
                </w14:textFill>
              </w:rPr>
              <w:t>、与《云南省关于深入打好污染防治攻坚战的实施方案》符合性分析</w:t>
            </w:r>
          </w:p>
          <w:p w14:paraId="519469FF">
            <w:pPr>
              <w:keepNext w:val="0"/>
              <w:pageBreakBefore w:val="0"/>
              <w:tabs>
                <w:tab w:val="left" w:pos="4830"/>
              </w:tabs>
              <w:kinsoku/>
              <w:overflowPunct/>
              <w:topLinePunct w:val="0"/>
              <w:bidi w:val="0"/>
              <w:ind w:left="0" w:leftChars="0"/>
              <w:jc w:val="center"/>
              <w:rPr>
                <w:rFonts w:hint="default" w:ascii="Times New Roman" w:hAnsi="Times New Roman" w:cs="Times New Roman"/>
                <w:b/>
                <w:bCs/>
                <w:color w:val="000000" w:themeColor="text1"/>
                <w:sz w:val="21"/>
                <w:szCs w:val="18"/>
                <w14:textFill>
                  <w14:solidFill>
                    <w14:schemeClr w14:val="tx1"/>
                  </w14:solidFill>
                </w14:textFill>
              </w:rPr>
            </w:pPr>
            <w:r>
              <w:rPr>
                <w:rFonts w:hint="default" w:ascii="Times New Roman" w:hAnsi="Times New Roman" w:cs="Times New Roman"/>
                <w:b/>
                <w:bCs/>
                <w:color w:val="000000" w:themeColor="text1"/>
                <w:sz w:val="21"/>
                <w:szCs w:val="18"/>
                <w14:textFill>
                  <w14:solidFill>
                    <w14:schemeClr w14:val="tx1"/>
                  </w14:solidFill>
                </w14:textFill>
              </w:rPr>
              <w:t>表1-</w:t>
            </w:r>
            <w:r>
              <w:rPr>
                <w:rFonts w:hint="eastAsia" w:cs="Times New Roman"/>
                <w:b/>
                <w:bCs/>
                <w:color w:val="000000" w:themeColor="text1"/>
                <w:sz w:val="21"/>
                <w:szCs w:val="18"/>
                <w:lang w:val="en-US" w:eastAsia="zh-CN"/>
                <w14:textFill>
                  <w14:solidFill>
                    <w14:schemeClr w14:val="tx1"/>
                  </w14:solidFill>
                </w14:textFill>
              </w:rPr>
              <w:t xml:space="preserve">7  </w:t>
            </w:r>
            <w:r>
              <w:rPr>
                <w:rFonts w:hint="default" w:ascii="Times New Roman" w:hAnsi="Times New Roman" w:cs="Times New Roman"/>
                <w:b/>
                <w:bCs/>
                <w:color w:val="000000" w:themeColor="text1"/>
                <w:sz w:val="21"/>
                <w:szCs w:val="18"/>
                <w14:textFill>
                  <w14:solidFill>
                    <w14:schemeClr w14:val="tx1"/>
                  </w14:solidFill>
                </w14:textFill>
              </w:rPr>
              <w:t>项目与《云南省关于深入打好污染防治攻坚战的实施方案》符合性分析</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3403"/>
              <w:gridCol w:w="2441"/>
              <w:gridCol w:w="792"/>
            </w:tblGrid>
            <w:tr w14:paraId="3B2F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804" w:type="pct"/>
                  <w:gridSpan w:val="2"/>
                  <w:vAlign w:val="center"/>
                </w:tcPr>
                <w:p w14:paraId="146C3BBB">
                  <w:pPr>
                    <w:keepNext w:val="0"/>
                    <w:pageBreakBefore w:val="0"/>
                    <w:tabs>
                      <w:tab w:val="left" w:pos="4830"/>
                    </w:tabs>
                    <w:kinsoku/>
                    <w:overflowPunct/>
                    <w:topLinePunct w:val="0"/>
                    <w:bidi w:val="0"/>
                    <w:ind w:left="0" w:leftChars="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法规要求</w:t>
                  </w:r>
                </w:p>
              </w:tc>
              <w:tc>
                <w:tcPr>
                  <w:tcW w:w="1657" w:type="pct"/>
                  <w:vAlign w:val="center"/>
                </w:tcPr>
                <w:p w14:paraId="4FD9E6F5">
                  <w:pPr>
                    <w:keepNext w:val="0"/>
                    <w:pageBreakBefore w:val="0"/>
                    <w:tabs>
                      <w:tab w:val="left" w:pos="4830"/>
                    </w:tabs>
                    <w:kinsoku/>
                    <w:overflowPunct/>
                    <w:topLinePunct w:val="0"/>
                    <w:bidi w:val="0"/>
                    <w:ind w:left="0" w:leftChars="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本项目保护情况</w:t>
                  </w:r>
                </w:p>
              </w:tc>
              <w:tc>
                <w:tcPr>
                  <w:tcW w:w="538" w:type="pct"/>
                  <w:vAlign w:val="center"/>
                </w:tcPr>
                <w:p w14:paraId="16A3E854">
                  <w:pPr>
                    <w:keepNext w:val="0"/>
                    <w:pageBreakBefore w:val="0"/>
                    <w:tabs>
                      <w:tab w:val="left" w:pos="4830"/>
                    </w:tabs>
                    <w:kinsoku/>
                    <w:overflowPunct/>
                    <w:topLinePunct w:val="0"/>
                    <w:bidi w:val="0"/>
                    <w:ind w:left="0" w:leftChars="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符合性</w:t>
                  </w:r>
                </w:p>
              </w:tc>
            </w:tr>
            <w:tr w14:paraId="0BF78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pct"/>
                  <w:vMerge w:val="restart"/>
                  <w:vAlign w:val="center"/>
                </w:tcPr>
                <w:p w14:paraId="615F005E">
                  <w:pPr>
                    <w:keepNext w:val="0"/>
                    <w:pageBreakBefore w:val="0"/>
                    <w:tabs>
                      <w:tab w:val="left" w:pos="4830"/>
                    </w:tabs>
                    <w:kinsoku/>
                    <w:overflowPunct/>
                    <w:topLinePunct w:val="0"/>
                    <w:bidi w:val="0"/>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shd w:val="clear" w:color="auto" w:fill="FFFFFF"/>
                      <w14:textFill>
                        <w14:solidFill>
                          <w14:schemeClr w14:val="tx1"/>
                        </w14:solidFill>
                      </w14:textFill>
                    </w:rPr>
                    <w:t>加快推动绿色高质量发展</w:t>
                  </w:r>
                </w:p>
              </w:tc>
              <w:tc>
                <w:tcPr>
                  <w:tcW w:w="2310" w:type="pct"/>
                  <w:vAlign w:val="center"/>
                </w:tcPr>
                <w:p w14:paraId="7B463C01">
                  <w:pPr>
                    <w:keepNext w:val="0"/>
                    <w:pageBreakBefore w:val="0"/>
                    <w:tabs>
                      <w:tab w:val="left" w:pos="4830"/>
                    </w:tabs>
                    <w:kinsoku/>
                    <w:overflowPunct/>
                    <w:topLinePunct w:val="0"/>
                    <w:bidi w:val="0"/>
                    <w:ind w:left="0" w:leftChars="0"/>
                    <w:jc w:val="center"/>
                    <w:rPr>
                      <w:rFonts w:hint="default" w:ascii="Times New Roman" w:hAnsi="Times New Roman" w:cs="Times New Roman"/>
                      <w:b/>
                      <w:bCs/>
                      <w:color w:val="000000" w:themeColor="text1"/>
                      <w:szCs w:val="21"/>
                      <w:shd w:val="clear" w:color="auto" w:fill="FFFFFF"/>
                      <w14:textFill>
                        <w14:solidFill>
                          <w14:schemeClr w14:val="tx1"/>
                        </w14:solidFill>
                      </w14:textFill>
                    </w:rPr>
                  </w:pPr>
                  <w:r>
                    <w:rPr>
                      <w:rFonts w:hint="default" w:ascii="Times New Roman" w:hAnsi="Times New Roman" w:cs="Times New Roman"/>
                      <w:color w:val="000000" w:themeColor="text1"/>
                      <w:szCs w:val="21"/>
                      <w:shd w:val="clear" w:color="auto" w:fill="FFFFFF"/>
                      <w14:textFill>
                        <w14:solidFill>
                          <w14:schemeClr w14:val="tx1"/>
                        </w14:solidFill>
                      </w14:textFill>
                    </w:rPr>
                    <w:t>推进清洁生产和能源资源节约高效利用。引导重点行业深入实施清洁生产改造。大力推行绿色制造，加快构建资源循环利用体系。强化能源和水资源</w:t>
                  </w:r>
                  <w:r>
                    <w:rPr>
                      <w:rFonts w:hint="eastAsia" w:cs="Times New Roman"/>
                      <w:color w:val="000000" w:themeColor="text1"/>
                      <w:szCs w:val="21"/>
                      <w:shd w:val="clear" w:color="auto" w:fill="FFFFFF"/>
                      <w:lang w:eastAsia="zh-CN"/>
                      <w14:textFill>
                        <w14:solidFill>
                          <w14:schemeClr w14:val="tx1"/>
                        </w14:solidFill>
                      </w14:textFill>
                    </w:rPr>
                    <w:t>“</w:t>
                  </w:r>
                  <w:r>
                    <w:rPr>
                      <w:rFonts w:hint="default" w:ascii="Times New Roman" w:hAnsi="Times New Roman" w:cs="Times New Roman"/>
                      <w:color w:val="000000" w:themeColor="text1"/>
                      <w:szCs w:val="21"/>
                      <w:shd w:val="clear" w:color="auto" w:fill="FFFFFF"/>
                      <w14:textFill>
                        <w14:solidFill>
                          <w14:schemeClr w14:val="tx1"/>
                        </w14:solidFill>
                      </w14:textFill>
                    </w:rPr>
                    <w:t>双控</w:t>
                  </w:r>
                  <w:r>
                    <w:rPr>
                      <w:rFonts w:hint="eastAsia" w:cs="Times New Roman"/>
                      <w:color w:val="000000" w:themeColor="text1"/>
                      <w:szCs w:val="21"/>
                      <w:shd w:val="clear" w:color="auto" w:fill="FFFFFF"/>
                      <w:lang w:eastAsia="zh-CN"/>
                      <w14:textFill>
                        <w14:solidFill>
                          <w14:schemeClr w14:val="tx1"/>
                        </w14:solidFill>
                      </w14:textFill>
                    </w:rPr>
                    <w:t>”</w:t>
                  </w:r>
                  <w:r>
                    <w:rPr>
                      <w:rFonts w:hint="default" w:ascii="Times New Roman" w:hAnsi="Times New Roman" w:cs="Times New Roman"/>
                      <w:color w:val="000000" w:themeColor="text1"/>
                      <w:szCs w:val="21"/>
                      <w:shd w:val="clear" w:color="auto" w:fill="FFFFFF"/>
                      <w14:textFill>
                        <w14:solidFill>
                          <w14:schemeClr w14:val="tx1"/>
                        </w14:solidFill>
                      </w14:textFill>
                    </w:rPr>
                    <w:t>，提高利用效率。实施节水行动，推进县域节水型社会达标建设。</w:t>
                  </w:r>
                </w:p>
              </w:tc>
              <w:tc>
                <w:tcPr>
                  <w:tcW w:w="1657" w:type="pct"/>
                  <w:vAlign w:val="center"/>
                </w:tcPr>
                <w:p w14:paraId="5487DF71">
                  <w:pPr>
                    <w:keepNext w:val="0"/>
                    <w:keepLines/>
                    <w:pageBreakBefore w:val="0"/>
                    <w:widowControl/>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w:t>
                  </w:r>
                  <w:r>
                    <w:rPr>
                      <w:rFonts w:hint="eastAsia" w:cs="Times New Roman"/>
                      <w:color w:val="000000" w:themeColor="text1"/>
                      <w:sz w:val="21"/>
                      <w:szCs w:val="21"/>
                      <w:lang w:val="en-US" w:eastAsia="zh-CN"/>
                      <w14:textFill>
                        <w14:solidFill>
                          <w14:schemeClr w14:val="tx1"/>
                        </w14:solidFill>
                      </w14:textFill>
                    </w:rPr>
                    <w:t>云南红塔产业园区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研和片区双小地块，本项目为锅炉及环保设施技改项目，</w:t>
                  </w:r>
                </w:p>
                <w:p w14:paraId="24BE59B4">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本项目初期雨水经收集后进入</w:t>
                  </w:r>
                  <w:r>
                    <w:rPr>
                      <w:rFonts w:hint="eastAsia" w:eastAsia="宋体" w:cs="Times New Roman"/>
                      <w:b w:val="0"/>
                      <w:bCs w:val="0"/>
                      <w:color w:val="000000" w:themeColor="text1"/>
                      <w:sz w:val="21"/>
                      <w:szCs w:val="21"/>
                      <w:vertAlign w:val="baseline"/>
                      <w:lang w:val="en-US" w:eastAsia="zh-CN"/>
                      <w14:textFill>
                        <w14:solidFill>
                          <w14:schemeClr w14:val="tx1"/>
                        </w14:solidFill>
                      </w14:textFill>
                    </w:rPr>
                    <w:t>周边道路旁雨水沟</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；生活污水经化粪池处理后进入一体化生活污水处理设</w:t>
                  </w:r>
                  <w:r>
                    <w:rPr>
                      <w:rFonts w:hint="eastAsia" w:eastAsia="宋体" w:cs="Times New Roman"/>
                      <w:b w:val="0"/>
                      <w:bCs w:val="0"/>
                      <w:color w:val="000000" w:themeColor="text1"/>
                      <w:sz w:val="21"/>
                      <w:szCs w:val="21"/>
                      <w:vertAlign w:val="baseline"/>
                      <w:lang w:val="en-US" w:eastAsia="zh-CN"/>
                      <w14:textFill>
                        <w14:solidFill>
                          <w14:schemeClr w14:val="tx1"/>
                        </w14:solidFill>
                      </w14:textFill>
                    </w:rPr>
                    <w:t>施，处理达标后用于厂区绿化，不外排。</w:t>
                  </w:r>
                </w:p>
                <w:p w14:paraId="5E539DE2">
                  <w:pPr>
                    <w:keepNext w:val="0"/>
                    <w:keepLines w:val="0"/>
                    <w:pageBreakBefore w:val="0"/>
                    <w:widowControl/>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本项目软水制备废水及生物质锅炉排污水</w:t>
                  </w:r>
                  <w:r>
                    <w:rPr>
                      <w:rFonts w:hint="eastAsia" w:cs="Times New Roman"/>
                      <w:color w:val="000000" w:themeColor="text1"/>
                      <w:kern w:val="2"/>
                      <w:sz w:val="21"/>
                      <w:szCs w:val="21"/>
                      <w:lang w:val="en-US" w:eastAsia="zh-CN" w:bidi="ar-SA"/>
                      <w14:textFill>
                        <w14:solidFill>
                          <w14:schemeClr w14:val="tx1"/>
                        </w14:solidFill>
                      </w14:textFill>
                    </w:rPr>
                    <w:t>经收集处理后回用于厂区洒水降尘</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，不外排。发泡工段蒸汽冷凝水用于生物质锅炉损耗补充水，不外排。</w:t>
                  </w:r>
                  <w:r>
                    <w:rPr>
                      <w:rFonts w:hint="eastAsia" w:cs="Times New Roman"/>
                      <w:color w:val="000000" w:themeColor="text1"/>
                      <w:kern w:val="2"/>
                      <w:sz w:val="21"/>
                      <w:szCs w:val="21"/>
                      <w:lang w:val="en-US" w:eastAsia="zh-CN" w:bidi="ar-SA"/>
                      <w14:textFill>
                        <w14:solidFill>
                          <w14:schemeClr w14:val="tx1"/>
                        </w14:solidFill>
                      </w14:textFill>
                    </w:rPr>
                    <w:t>流化干燥、烘干环节蒸汽自然蒸发</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压模环节蒸汽加热成型后多余蒸汽排出，自然蒸发</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38" w:type="pct"/>
                  <w:vAlign w:val="center"/>
                </w:tcPr>
                <w:p w14:paraId="7CC1FF71">
                  <w:pPr>
                    <w:keepNext w:val="0"/>
                    <w:pageBreakBefore w:val="0"/>
                    <w:tabs>
                      <w:tab w:val="left" w:pos="4830"/>
                    </w:tabs>
                    <w:kinsoku/>
                    <w:overflowPunct/>
                    <w:topLinePunct w:val="0"/>
                    <w:bidi w:val="0"/>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46FC7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pct"/>
                  <w:vMerge w:val="continue"/>
                  <w:vAlign w:val="center"/>
                </w:tcPr>
                <w:p w14:paraId="12F599FE">
                  <w:pPr>
                    <w:keepNext w:val="0"/>
                    <w:pageBreakBefore w:val="0"/>
                    <w:tabs>
                      <w:tab w:val="left" w:pos="4830"/>
                    </w:tabs>
                    <w:kinsoku/>
                    <w:overflowPunct/>
                    <w:topLinePunct w:val="0"/>
                    <w:bidi w:val="0"/>
                    <w:ind w:left="0" w:leftChars="0"/>
                    <w:jc w:val="center"/>
                    <w:rPr>
                      <w:rFonts w:hint="default" w:ascii="Times New Roman" w:hAnsi="Times New Roman" w:cs="Times New Roman"/>
                      <w:color w:val="000000" w:themeColor="text1"/>
                      <w:szCs w:val="21"/>
                      <w:shd w:val="clear" w:color="auto" w:fill="FFFFFF"/>
                      <w14:textFill>
                        <w14:solidFill>
                          <w14:schemeClr w14:val="tx1"/>
                        </w14:solidFill>
                      </w14:textFill>
                    </w:rPr>
                  </w:pPr>
                </w:p>
              </w:tc>
              <w:tc>
                <w:tcPr>
                  <w:tcW w:w="2310" w:type="pct"/>
                  <w:vAlign w:val="center"/>
                </w:tcPr>
                <w:p w14:paraId="00AB9E68">
                  <w:pPr>
                    <w:keepNext w:val="0"/>
                    <w:pageBreakBefore w:val="0"/>
                    <w:tabs>
                      <w:tab w:val="left" w:pos="4830"/>
                    </w:tabs>
                    <w:kinsoku/>
                    <w:overflowPunct/>
                    <w:topLinePunct w:val="0"/>
                    <w:bidi w:val="0"/>
                    <w:ind w:left="0" w:leftChars="0"/>
                    <w:jc w:val="center"/>
                    <w:rPr>
                      <w:rFonts w:hint="default" w:ascii="Times New Roman" w:hAnsi="Times New Roman" w:cs="Times New Roman"/>
                      <w:b/>
                      <w:bCs/>
                      <w:color w:val="000000" w:themeColor="text1"/>
                      <w:szCs w:val="21"/>
                      <w:shd w:val="clear" w:color="auto" w:fill="FFFFFF"/>
                      <w14:textFill>
                        <w14:solidFill>
                          <w14:schemeClr w14:val="tx1"/>
                        </w14:solidFill>
                      </w14:textFill>
                    </w:rPr>
                  </w:pPr>
                  <w:r>
                    <w:rPr>
                      <w:rFonts w:hint="default" w:ascii="Times New Roman" w:hAnsi="Times New Roman" w:cs="Times New Roman"/>
                      <w:color w:val="000000" w:themeColor="text1"/>
                      <w:szCs w:val="21"/>
                      <w:shd w:val="clear" w:color="auto" w:fill="FFFFFF"/>
                      <w14:textFill>
                        <w14:solidFill>
                          <w14:schemeClr w14:val="tx1"/>
                        </w14:solidFill>
                      </w14:textFill>
                    </w:rPr>
                    <w:t>加强生态环境分区管控。优化</w:t>
                  </w:r>
                  <w:r>
                    <w:rPr>
                      <w:rFonts w:hint="eastAsia" w:cs="Times New Roman"/>
                      <w:color w:val="000000" w:themeColor="text1"/>
                      <w:szCs w:val="21"/>
                      <w:shd w:val="clear" w:color="auto" w:fill="FFFFFF"/>
                      <w:lang w:eastAsia="zh-CN"/>
                      <w14:textFill>
                        <w14:solidFill>
                          <w14:schemeClr w14:val="tx1"/>
                        </w14:solidFill>
                      </w14:textFill>
                    </w:rPr>
                    <w:t>“</w:t>
                  </w:r>
                  <w:r>
                    <w:rPr>
                      <w:rFonts w:hint="default" w:ascii="Times New Roman" w:hAnsi="Times New Roman" w:cs="Times New Roman"/>
                      <w:color w:val="000000" w:themeColor="text1"/>
                      <w:szCs w:val="21"/>
                      <w:shd w:val="clear" w:color="auto" w:fill="FFFFFF"/>
                      <w14:textFill>
                        <w14:solidFill>
                          <w14:schemeClr w14:val="tx1"/>
                        </w14:solidFill>
                      </w14:textFill>
                    </w:rPr>
                    <w:t>三线一单</w:t>
                  </w:r>
                  <w:r>
                    <w:rPr>
                      <w:rFonts w:hint="eastAsia" w:cs="Times New Roman"/>
                      <w:color w:val="000000" w:themeColor="text1"/>
                      <w:szCs w:val="21"/>
                      <w:shd w:val="clear" w:color="auto" w:fill="FFFFFF"/>
                      <w:lang w:eastAsia="zh-CN"/>
                      <w14:textFill>
                        <w14:solidFill>
                          <w14:schemeClr w14:val="tx1"/>
                        </w14:solidFill>
                      </w14:textFill>
                    </w:rPr>
                    <w:t>”</w:t>
                  </w:r>
                  <w:r>
                    <w:rPr>
                      <w:rFonts w:hint="default" w:ascii="Times New Roman" w:hAnsi="Times New Roman" w:cs="Times New Roman"/>
                      <w:color w:val="000000" w:themeColor="text1"/>
                      <w:szCs w:val="21"/>
                      <w:shd w:val="clear" w:color="auto" w:fill="FFFFFF"/>
                      <w14:textFill>
                        <w14:solidFill>
                          <w14:schemeClr w14:val="tx1"/>
                        </w14:solidFill>
                      </w14:textFill>
                    </w:rPr>
                    <w:t>生态环境分区管控格局，细化落实分区管控要求，加强成果运用。严格规划环评审查和项目环评准入，健全以环评制度为主体的源头预防体系。</w:t>
                  </w:r>
                </w:p>
              </w:tc>
              <w:tc>
                <w:tcPr>
                  <w:tcW w:w="1657" w:type="pct"/>
                  <w:vAlign w:val="center"/>
                </w:tcPr>
                <w:p w14:paraId="5ACD1011">
                  <w:pPr>
                    <w:keepNext w:val="0"/>
                    <w:pageBreakBefore w:val="0"/>
                    <w:tabs>
                      <w:tab w:val="left" w:pos="4830"/>
                    </w:tabs>
                    <w:kinsoku/>
                    <w:overflowPunct/>
                    <w:topLinePunct w:val="0"/>
                    <w:bidi w:val="0"/>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w:t>
                  </w:r>
                  <w:r>
                    <w:rPr>
                      <w:rFonts w:hint="eastAsia" w:cs="Times New Roman"/>
                      <w:color w:val="000000" w:themeColor="text1"/>
                      <w:sz w:val="21"/>
                      <w:szCs w:val="21"/>
                      <w:lang w:val="en-US" w:eastAsia="zh-CN"/>
                      <w14:textFill>
                        <w14:solidFill>
                          <w14:schemeClr w14:val="tx1"/>
                        </w14:solidFill>
                      </w14:textFill>
                    </w:rPr>
                    <w:t>云南红塔产业园区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研和片区双小地块</w:t>
                  </w:r>
                  <w:r>
                    <w:rPr>
                      <w:rFonts w:hint="default" w:ascii="Times New Roman" w:hAnsi="Times New Roman" w:eastAsia="宋体" w:cs="Times New Roman"/>
                      <w:bCs/>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不涉及生态保护红线、不涉及基本农田、生态环境敏感区。根据分析，本项目符合《玉溪市生态环境局关于印发玉溪市生态环境分区管控动态更新调整方案（2023年）的通知》（玉市环〔2024〕40号）的要求。</w:t>
                  </w:r>
                </w:p>
              </w:tc>
              <w:tc>
                <w:tcPr>
                  <w:tcW w:w="538" w:type="pct"/>
                  <w:vAlign w:val="center"/>
                </w:tcPr>
                <w:p w14:paraId="321B4E73">
                  <w:pPr>
                    <w:keepNext w:val="0"/>
                    <w:pageBreakBefore w:val="0"/>
                    <w:tabs>
                      <w:tab w:val="left" w:pos="4830"/>
                    </w:tabs>
                    <w:kinsoku/>
                    <w:overflowPunct/>
                    <w:topLinePunct w:val="0"/>
                    <w:bidi w:val="0"/>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符合</w:t>
                  </w:r>
                </w:p>
              </w:tc>
            </w:tr>
            <w:tr w14:paraId="36360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pct"/>
                  <w:vMerge w:val="restart"/>
                  <w:vAlign w:val="center"/>
                </w:tcPr>
                <w:p w14:paraId="20D39AD5">
                  <w:pPr>
                    <w:keepNext w:val="0"/>
                    <w:pageBreakBefore w:val="0"/>
                    <w:tabs>
                      <w:tab w:val="left" w:pos="4830"/>
                    </w:tabs>
                    <w:kinsoku/>
                    <w:overflowPunct/>
                    <w:topLinePunct w:val="0"/>
                    <w:bidi w:val="0"/>
                    <w:ind w:left="0" w:leftChars="0"/>
                    <w:jc w:val="center"/>
                    <w:rPr>
                      <w:rFonts w:hint="default" w:ascii="Times New Roman" w:hAnsi="Times New Roman" w:cs="Times New Roman"/>
                      <w:color w:val="000000" w:themeColor="text1"/>
                      <w:szCs w:val="21"/>
                      <w:shd w:val="clear" w:color="auto" w:fill="FFFFFF"/>
                      <w14:textFill>
                        <w14:solidFill>
                          <w14:schemeClr w14:val="tx1"/>
                        </w14:solidFill>
                      </w14:textFill>
                    </w:rPr>
                  </w:pPr>
                  <w:r>
                    <w:rPr>
                      <w:rFonts w:hint="default" w:ascii="Times New Roman" w:hAnsi="Times New Roman" w:cs="Times New Roman"/>
                      <w:color w:val="000000" w:themeColor="text1"/>
                      <w:szCs w:val="21"/>
                      <w:shd w:val="clear" w:color="auto" w:fill="FFFFFF"/>
                      <w14:textFill>
                        <w14:solidFill>
                          <w14:schemeClr w14:val="tx1"/>
                        </w14:solidFill>
                      </w14:textFill>
                    </w:rPr>
                    <w:t>深入打好蓝天保卫战</w:t>
                  </w:r>
                </w:p>
              </w:tc>
              <w:tc>
                <w:tcPr>
                  <w:tcW w:w="2310" w:type="pct"/>
                  <w:vAlign w:val="center"/>
                </w:tcPr>
                <w:p w14:paraId="293F5448">
                  <w:pPr>
                    <w:keepNext w:val="0"/>
                    <w:pageBreakBefore w:val="0"/>
                    <w:tabs>
                      <w:tab w:val="left" w:pos="4830"/>
                    </w:tabs>
                    <w:kinsoku/>
                    <w:overflowPunct/>
                    <w:topLinePunct w:val="0"/>
                    <w:bidi w:val="0"/>
                    <w:ind w:left="0" w:leftChars="0"/>
                    <w:jc w:val="center"/>
                    <w:rPr>
                      <w:rFonts w:hint="default" w:ascii="Times New Roman" w:hAnsi="Times New Roman" w:cs="Times New Roman"/>
                      <w:b/>
                      <w:bCs/>
                      <w:color w:val="000000" w:themeColor="text1"/>
                      <w:szCs w:val="21"/>
                      <w:shd w:val="clear" w:color="auto" w:fill="FFFFFF"/>
                      <w14:textFill>
                        <w14:solidFill>
                          <w14:schemeClr w14:val="tx1"/>
                        </w14:solidFill>
                      </w14:textFill>
                    </w:rPr>
                  </w:pPr>
                  <w:r>
                    <w:rPr>
                      <w:rFonts w:hint="default" w:ascii="Times New Roman" w:hAnsi="Times New Roman" w:cs="Times New Roman"/>
                      <w:b/>
                      <w:bCs/>
                      <w:color w:val="000000" w:themeColor="text1"/>
                      <w:szCs w:val="21"/>
                      <w:shd w:val="clear" w:color="auto" w:fill="FFFFFF"/>
                      <w14:textFill>
                        <w14:solidFill>
                          <w14:schemeClr w14:val="tx1"/>
                        </w14:solidFill>
                      </w14:textFill>
                    </w:rPr>
                    <w:t>深入打好建筑施工工地扬尘污染治理攻坚战。</w:t>
                  </w:r>
                  <w:r>
                    <w:rPr>
                      <w:rFonts w:hint="default" w:ascii="Times New Roman" w:hAnsi="Times New Roman" w:cs="Times New Roman"/>
                      <w:color w:val="000000" w:themeColor="text1"/>
                      <w:szCs w:val="21"/>
                      <w:shd w:val="clear" w:color="auto" w:fill="FFFFFF"/>
                      <w14:textFill>
                        <w14:solidFill>
                          <w14:schemeClr w14:val="tx1"/>
                        </w14:solidFill>
                      </w14:textFill>
                    </w:rPr>
                    <w:t>全面推行绿色施工，落实施工工地</w:t>
                  </w:r>
                  <w:r>
                    <w:rPr>
                      <w:rFonts w:hint="eastAsia" w:cs="Times New Roman"/>
                      <w:color w:val="000000" w:themeColor="text1"/>
                      <w:szCs w:val="21"/>
                      <w:shd w:val="clear" w:color="auto" w:fill="FFFFFF"/>
                      <w:lang w:eastAsia="zh-CN"/>
                      <w14:textFill>
                        <w14:solidFill>
                          <w14:schemeClr w14:val="tx1"/>
                        </w14:solidFill>
                      </w14:textFill>
                    </w:rPr>
                    <w:t>“</w:t>
                  </w:r>
                  <w:r>
                    <w:rPr>
                      <w:rFonts w:hint="default" w:ascii="Times New Roman" w:hAnsi="Times New Roman" w:cs="Times New Roman"/>
                      <w:color w:val="000000" w:themeColor="text1"/>
                      <w:szCs w:val="21"/>
                      <w:shd w:val="clear" w:color="auto" w:fill="FFFFFF"/>
                      <w14:textFill>
                        <w14:solidFill>
                          <w14:schemeClr w14:val="tx1"/>
                        </w14:solidFill>
                      </w14:textFill>
                    </w:rPr>
                    <w:t>六个百分之百</w:t>
                  </w:r>
                  <w:r>
                    <w:rPr>
                      <w:rFonts w:hint="eastAsia" w:cs="Times New Roman"/>
                      <w:color w:val="000000" w:themeColor="text1"/>
                      <w:szCs w:val="21"/>
                      <w:shd w:val="clear" w:color="auto" w:fill="FFFFFF"/>
                      <w:lang w:eastAsia="zh-CN"/>
                      <w14:textFill>
                        <w14:solidFill>
                          <w14:schemeClr w14:val="tx1"/>
                        </w14:solidFill>
                      </w14:textFill>
                    </w:rPr>
                    <w:t>”</w:t>
                  </w:r>
                  <w:r>
                    <w:rPr>
                      <w:rFonts w:hint="default" w:ascii="Times New Roman" w:hAnsi="Times New Roman" w:cs="Times New Roman"/>
                      <w:color w:val="000000" w:themeColor="text1"/>
                      <w:szCs w:val="21"/>
                      <w:shd w:val="clear" w:color="auto" w:fill="FFFFFF"/>
                      <w14:textFill>
                        <w14:solidFill>
                          <w14:schemeClr w14:val="tx1"/>
                        </w14:solidFill>
                      </w14:textFill>
                    </w:rPr>
                    <w:t>工作要求，开展全市建筑施工工地扬尘专项治理。加强建筑渣土运输管理。强化施工、裸露地面等扬尘管控。</w:t>
                  </w:r>
                </w:p>
              </w:tc>
              <w:tc>
                <w:tcPr>
                  <w:tcW w:w="1657" w:type="pct"/>
                  <w:vAlign w:val="center"/>
                </w:tcPr>
                <w:p w14:paraId="2E3A80A5">
                  <w:pPr>
                    <w:keepNext w:val="0"/>
                    <w:pageBreakBefore w:val="0"/>
                    <w:tabs>
                      <w:tab w:val="left" w:pos="4830"/>
                    </w:tabs>
                    <w:kinsoku/>
                    <w:overflowPunct/>
                    <w:topLinePunct w:val="0"/>
                    <w:bidi w:val="0"/>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本项目利用厂区内现有锅炉房进行建设，</w:t>
                  </w:r>
                  <w:r>
                    <w:rPr>
                      <w:rFonts w:hint="eastAsia" w:ascii="Times New Roman" w:hAnsi="Times New Roman" w:cs="Times New Roman"/>
                      <w:color w:val="000000" w:themeColor="text1"/>
                      <w:szCs w:val="21"/>
                      <w:lang w:eastAsia="zh-CN"/>
                      <w14:textFill>
                        <w14:solidFill>
                          <w14:schemeClr w14:val="tx1"/>
                        </w14:solidFill>
                      </w14:textFill>
                    </w:rPr>
                    <w:t>不涉及地基开挖及土建工程，总体工程量不大，施工</w:t>
                  </w:r>
                  <w:r>
                    <w:rPr>
                      <w:rFonts w:hint="default" w:ascii="Times New Roman" w:hAnsi="Times New Roman" w:cs="Times New Roman"/>
                      <w:color w:val="000000" w:themeColor="text1"/>
                      <w:szCs w:val="21"/>
                      <w14:textFill>
                        <w14:solidFill>
                          <w14:schemeClr w14:val="tx1"/>
                        </w14:solidFill>
                      </w14:textFill>
                    </w:rPr>
                    <w:t>周期</w:t>
                  </w:r>
                  <w:r>
                    <w:rPr>
                      <w:rFonts w:hint="eastAsia" w:ascii="Times New Roman" w:hAnsi="Times New Roman" w:cs="Times New Roman"/>
                      <w:color w:val="000000" w:themeColor="text1"/>
                      <w:szCs w:val="21"/>
                      <w:lang w:eastAsia="zh-CN"/>
                      <w14:textFill>
                        <w14:solidFill>
                          <w14:schemeClr w14:val="tx1"/>
                        </w14:solidFill>
                      </w14:textFill>
                    </w:rPr>
                    <w:t>较短，</w:t>
                  </w:r>
                  <w:r>
                    <w:rPr>
                      <w:rFonts w:hint="default" w:ascii="Times New Roman" w:hAnsi="Times New Roman" w:cs="Times New Roman"/>
                      <w:color w:val="000000" w:themeColor="text1"/>
                      <w:szCs w:val="21"/>
                      <w14:textFill>
                        <w14:solidFill>
                          <w14:schemeClr w14:val="tx1"/>
                        </w14:solidFill>
                      </w14:textFill>
                    </w:rPr>
                    <w:t>采取本环评提出的施工期环境保护措施</w:t>
                  </w:r>
                  <w:r>
                    <w:rPr>
                      <w:rFonts w:hint="eastAsia" w:ascii="Times New Roman" w:hAnsi="Times New Roman" w:cs="Times New Roman"/>
                      <w:color w:val="000000" w:themeColor="text1"/>
                      <w:szCs w:val="21"/>
                      <w:lang w:eastAsia="zh-CN"/>
                      <w14:textFill>
                        <w14:solidFill>
                          <w14:schemeClr w14:val="tx1"/>
                        </w14:solidFill>
                      </w14:textFill>
                    </w:rPr>
                    <w:t>后，对周边环境影响不大</w:t>
                  </w:r>
                  <w:r>
                    <w:rPr>
                      <w:rFonts w:hint="default" w:ascii="Times New Roman" w:hAnsi="Times New Roman" w:cs="Times New Roman"/>
                      <w:color w:val="000000" w:themeColor="text1"/>
                      <w:szCs w:val="21"/>
                      <w14:textFill>
                        <w14:solidFill>
                          <w14:schemeClr w14:val="tx1"/>
                        </w14:solidFill>
                      </w14:textFill>
                    </w:rPr>
                    <w:t>。</w:t>
                  </w:r>
                </w:p>
              </w:tc>
              <w:tc>
                <w:tcPr>
                  <w:tcW w:w="538" w:type="pct"/>
                  <w:vAlign w:val="center"/>
                </w:tcPr>
                <w:p w14:paraId="433C1CC0">
                  <w:pPr>
                    <w:keepNext w:val="0"/>
                    <w:pageBreakBefore w:val="0"/>
                    <w:tabs>
                      <w:tab w:val="left" w:pos="4830"/>
                    </w:tabs>
                    <w:kinsoku/>
                    <w:overflowPunct/>
                    <w:topLinePunct w:val="0"/>
                    <w:bidi w:val="0"/>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4311D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pct"/>
                  <w:vMerge w:val="continue"/>
                  <w:vAlign w:val="center"/>
                </w:tcPr>
                <w:p w14:paraId="74054BA2">
                  <w:pPr>
                    <w:keepNext w:val="0"/>
                    <w:pageBreakBefore w:val="0"/>
                    <w:tabs>
                      <w:tab w:val="left" w:pos="4830"/>
                    </w:tabs>
                    <w:kinsoku/>
                    <w:overflowPunct/>
                    <w:topLinePunct w:val="0"/>
                    <w:bidi w:val="0"/>
                    <w:ind w:left="0" w:leftChars="0"/>
                    <w:jc w:val="center"/>
                    <w:rPr>
                      <w:rFonts w:hint="default" w:ascii="Times New Roman" w:hAnsi="Times New Roman" w:cs="Times New Roman"/>
                      <w:color w:val="000000" w:themeColor="text1"/>
                      <w:szCs w:val="21"/>
                      <w:shd w:val="clear" w:color="auto" w:fill="FFFFFF"/>
                      <w14:textFill>
                        <w14:solidFill>
                          <w14:schemeClr w14:val="tx1"/>
                        </w14:solidFill>
                      </w14:textFill>
                    </w:rPr>
                  </w:pPr>
                </w:p>
              </w:tc>
              <w:tc>
                <w:tcPr>
                  <w:tcW w:w="2310" w:type="pct"/>
                  <w:vAlign w:val="center"/>
                </w:tcPr>
                <w:p w14:paraId="14DA4212">
                  <w:pPr>
                    <w:keepNext w:val="0"/>
                    <w:pageBreakBefore w:val="0"/>
                    <w:tabs>
                      <w:tab w:val="left" w:pos="4830"/>
                    </w:tabs>
                    <w:kinsoku/>
                    <w:overflowPunct/>
                    <w:topLinePunct w:val="0"/>
                    <w:bidi w:val="0"/>
                    <w:ind w:left="0" w:leftChars="0"/>
                    <w:jc w:val="center"/>
                    <w:rPr>
                      <w:rFonts w:hint="default" w:ascii="Times New Roman" w:hAnsi="Times New Roman" w:cs="Times New Roman"/>
                      <w:b/>
                      <w:bCs/>
                      <w:color w:val="000000" w:themeColor="text1"/>
                      <w:szCs w:val="21"/>
                      <w:shd w:val="clear" w:color="auto" w:fill="FFFFFF"/>
                      <w14:textFill>
                        <w14:solidFill>
                          <w14:schemeClr w14:val="tx1"/>
                        </w14:solidFill>
                      </w14:textFill>
                    </w:rPr>
                  </w:pPr>
                  <w:r>
                    <w:rPr>
                      <w:rFonts w:hint="default" w:ascii="Times New Roman" w:hAnsi="Times New Roman" w:cs="Times New Roman"/>
                      <w:b/>
                      <w:bCs/>
                      <w:color w:val="000000" w:themeColor="text1"/>
                      <w:szCs w:val="21"/>
                      <w:shd w:val="clear" w:color="auto" w:fill="FFFFFF"/>
                      <w14:textFill>
                        <w14:solidFill>
                          <w14:schemeClr w14:val="tx1"/>
                        </w14:solidFill>
                      </w14:textFill>
                    </w:rPr>
                    <w:t>改善区域大气和声环境质量。</w:t>
                  </w:r>
                  <w:r>
                    <w:rPr>
                      <w:rFonts w:hint="default" w:ascii="Times New Roman" w:hAnsi="Times New Roman" w:cs="Times New Roman"/>
                      <w:color w:val="000000" w:themeColor="text1"/>
                      <w:szCs w:val="21"/>
                      <w:shd w:val="clear" w:color="auto" w:fill="FFFFFF"/>
                      <w14:textFill>
                        <w14:solidFill>
                          <w14:schemeClr w14:val="tx1"/>
                        </w14:solidFill>
                      </w14:textFill>
                    </w:rPr>
                    <w:t>强化大气污染协同治理，持续开展春夏季攻坚行动，推进细颗粒物和臭氧协同控制。落实大气污染联防联控机制。加大餐饮油烟污染、恶臭异味治理力度，强化秸秆综合利用和禁烧管控。实施噪声污染防治行动，创造安静的生活环境。</w:t>
                  </w:r>
                </w:p>
              </w:tc>
              <w:tc>
                <w:tcPr>
                  <w:tcW w:w="1657" w:type="pct"/>
                  <w:vAlign w:val="center"/>
                </w:tcPr>
                <w:p w14:paraId="5D716E97">
                  <w:pPr>
                    <w:keepNext w:val="0"/>
                    <w:pageBreakBefore w:val="0"/>
                    <w:tabs>
                      <w:tab w:val="left" w:pos="4830"/>
                    </w:tabs>
                    <w:kinsoku/>
                    <w:overflowPunct/>
                    <w:topLinePunct w:val="0"/>
                    <w:bidi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w:t>
                  </w:r>
                  <w:r>
                    <w:rPr>
                      <w:rFonts w:hint="eastAsia" w:cs="Times New Roman"/>
                      <w:color w:val="000000" w:themeColor="text1"/>
                      <w:sz w:val="21"/>
                      <w:szCs w:val="21"/>
                      <w:lang w:val="en-US" w:eastAsia="zh-CN"/>
                      <w14:textFill>
                        <w14:solidFill>
                          <w14:schemeClr w14:val="tx1"/>
                        </w14:solidFill>
                      </w14:textFill>
                    </w:rPr>
                    <w:t>云南红塔产业园区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研和片区双小地块，本项目为锅炉及环保设施技改项目，项目原有燃煤锅炉</w:t>
                  </w:r>
                  <w:r>
                    <w:rPr>
                      <w:rFonts w:hint="eastAsia" w:eastAsia="宋体" w:cs="Times New Roman"/>
                      <w:color w:val="000000" w:themeColor="text1"/>
                      <w:sz w:val="21"/>
                      <w:szCs w:val="21"/>
                      <w:lang w:val="en-US" w:eastAsia="zh-CN"/>
                      <w14:textFill>
                        <w14:solidFill>
                          <w14:schemeClr w14:val="tx1"/>
                        </w14:solidFill>
                      </w14:textFill>
                    </w:rPr>
                    <w:t>废气经双碱脱硫除尘设施处理后通过</w:t>
                  </w:r>
                  <w:r>
                    <w:rPr>
                      <w:rFonts w:hint="eastAsia" w:cs="Times New Roman"/>
                      <w:color w:val="000000" w:themeColor="text1"/>
                      <w:sz w:val="21"/>
                      <w:szCs w:val="21"/>
                      <w:lang w:val="en-US" w:eastAsia="zh-CN"/>
                      <w14:textFill>
                        <w14:solidFill>
                          <w14:schemeClr w14:val="tx1"/>
                        </w14:solidFill>
                      </w14:textFill>
                    </w:rPr>
                    <w:t>30m高排气筒DA001排放</w:t>
                  </w:r>
                  <w:r>
                    <w:rPr>
                      <w:rFonts w:hint="eastAsia"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本项目建设</w:t>
                  </w:r>
                  <w:r>
                    <w:rPr>
                      <w:rFonts w:hint="eastAsia" w:eastAsia="宋体" w:cs="Times New Roman"/>
                      <w:color w:val="000000" w:themeColor="text1"/>
                      <w:sz w:val="21"/>
                      <w:szCs w:val="21"/>
                      <w:lang w:val="en-US" w:eastAsia="zh-CN"/>
                      <w14:textFill>
                        <w14:solidFill>
                          <w14:schemeClr w14:val="tx1"/>
                        </w14:solidFill>
                      </w14:textFill>
                    </w:rPr>
                    <w:t>完成</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后</w:t>
                  </w:r>
                  <w:r>
                    <w:rPr>
                      <w:rFonts w:hint="eastAsia" w:eastAsia="宋体" w:cs="Times New Roman"/>
                      <w:color w:val="000000" w:themeColor="text1"/>
                      <w:sz w:val="21"/>
                      <w:szCs w:val="21"/>
                      <w:lang w:val="en-US" w:eastAsia="zh-CN"/>
                      <w14:textFill>
                        <w14:solidFill>
                          <w14:schemeClr w14:val="tx1"/>
                        </w14:solidFill>
                      </w14:textFill>
                    </w:rPr>
                    <w:t>燃煤锅炉</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拆除更换为生物质锅炉</w:t>
                  </w:r>
                  <w:r>
                    <w:rPr>
                      <w:rFonts w:hint="eastAsia" w:eastAsia="宋体" w:cs="Times New Roman"/>
                      <w:color w:val="000000" w:themeColor="text1"/>
                      <w:sz w:val="21"/>
                      <w:szCs w:val="21"/>
                      <w:lang w:val="en-US" w:eastAsia="zh-CN"/>
                      <w14:textFill>
                        <w14:solidFill>
                          <w14:schemeClr w14:val="tx1"/>
                        </w14:solidFill>
                      </w14:textFill>
                    </w:rPr>
                    <w:t>，锅炉废气经</w:t>
                  </w:r>
                  <w:r>
                    <w:rPr>
                      <w:rFonts w:hint="eastAsia" w:cs="Times New Roman"/>
                      <w:color w:val="000000" w:themeColor="text1"/>
                      <w:sz w:val="21"/>
                      <w:szCs w:val="21"/>
                      <w:lang w:val="en-US" w:eastAsia="zh-CN"/>
                      <w14:textFill>
                        <w14:solidFill>
                          <w14:schemeClr w14:val="tx1"/>
                        </w14:solidFill>
                      </w14:textFill>
                    </w:rPr>
                    <w:t>“低氮燃烧+旋风除尘+布袋除尘”</w:t>
                  </w:r>
                  <w:r>
                    <w:rPr>
                      <w:rFonts w:hint="eastAsia" w:eastAsia="宋体" w:cs="Times New Roman"/>
                      <w:color w:val="000000" w:themeColor="text1"/>
                      <w:sz w:val="21"/>
                      <w:szCs w:val="21"/>
                      <w:lang w:val="en-US" w:eastAsia="zh-CN"/>
                      <w14:textFill>
                        <w14:solidFill>
                          <w14:schemeClr w14:val="tx1"/>
                        </w14:solidFill>
                      </w14:textFill>
                    </w:rPr>
                    <w:t>设施处理后通过</w:t>
                  </w:r>
                  <w:r>
                    <w:rPr>
                      <w:rFonts w:hint="eastAsia" w:cs="Times New Roman"/>
                      <w:color w:val="000000" w:themeColor="text1"/>
                      <w:sz w:val="21"/>
                      <w:szCs w:val="21"/>
                      <w:lang w:val="en-US" w:eastAsia="zh-CN"/>
                      <w14:textFill>
                        <w14:solidFill>
                          <w14:schemeClr w14:val="tx1"/>
                        </w14:solidFill>
                      </w14:textFill>
                    </w:rPr>
                    <w:t>30m高排气筒DA001排放</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p w14:paraId="328406D4">
                  <w:pPr>
                    <w:keepNext w:val="0"/>
                    <w:pageBreakBefore w:val="0"/>
                    <w:tabs>
                      <w:tab w:val="left" w:pos="4830"/>
                    </w:tabs>
                    <w:kinsoku/>
                    <w:overflowPunct/>
                    <w:topLinePunct w:val="0"/>
                    <w:bidi w:val="0"/>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现有项目有机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废气无组织排放，本项目建设</w:t>
                  </w:r>
                  <w:r>
                    <w:rPr>
                      <w:rFonts w:hint="eastAsia" w:eastAsia="宋体" w:cs="Times New Roman"/>
                      <w:color w:val="000000" w:themeColor="text1"/>
                      <w:sz w:val="21"/>
                      <w:szCs w:val="21"/>
                      <w:lang w:val="en-US" w:eastAsia="zh-CN"/>
                      <w14:textFill>
                        <w14:solidFill>
                          <w14:schemeClr w14:val="tx1"/>
                        </w14:solidFill>
                      </w14:textFill>
                    </w:rPr>
                    <w:t>完成</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后</w:t>
                  </w:r>
                  <w:r>
                    <w:rPr>
                      <w:rFonts w:hint="eastAsia" w:cs="Times New Roman"/>
                      <w:color w:val="000000" w:themeColor="text1"/>
                      <w:sz w:val="21"/>
                      <w:szCs w:val="21"/>
                      <w:lang w:val="en-US" w:eastAsia="zh-CN"/>
                      <w14:textFill>
                        <w14:solidFill>
                          <w14:schemeClr w14:val="tx1"/>
                        </w14:solidFill>
                      </w14:textFill>
                    </w:rPr>
                    <w:t>发泡、成型工序设置集气罩有机废气</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经收集后进入</w:t>
                  </w:r>
                  <w:r>
                    <w:rPr>
                      <w:rFonts w:hint="eastAsia" w:cs="Times New Roman"/>
                      <w:color w:val="000000" w:themeColor="text1"/>
                      <w:sz w:val="21"/>
                      <w:szCs w:val="21"/>
                      <w:lang w:val="en-US" w:eastAsia="zh-CN"/>
                      <w14:textFill>
                        <w14:solidFill>
                          <w14:schemeClr w14:val="tx1"/>
                        </w14:solidFill>
                      </w14:textFill>
                    </w:rPr>
                    <w:t>“两级活性炭吸附装置”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处理后通过</w:t>
                  </w:r>
                  <w:r>
                    <w:rPr>
                      <w:rFonts w:hint="eastAsia" w:cs="Times New Roman"/>
                      <w:color w:val="000000" w:themeColor="text1"/>
                      <w:sz w:val="21"/>
                      <w:szCs w:val="21"/>
                      <w:lang w:val="en-US" w:eastAsia="zh-CN"/>
                      <w14:textFill>
                        <w14:solidFill>
                          <w14:schemeClr w14:val="tx1"/>
                        </w14:solidFill>
                      </w14:textFill>
                    </w:rPr>
                    <w:t>15m高排气筒DA002排放</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p w14:paraId="75E0A74C">
                  <w:pPr>
                    <w:keepNext w:val="0"/>
                    <w:pageBreakBefore w:val="0"/>
                    <w:tabs>
                      <w:tab w:val="left" w:pos="4830"/>
                    </w:tabs>
                    <w:kinsoku/>
                    <w:overflowPunct/>
                    <w:topLinePunct w:val="0"/>
                    <w:bidi w:val="0"/>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项目均采取了相应的废气治理措施</w:t>
                  </w:r>
                  <w:r>
                    <w:rPr>
                      <w:rFonts w:hint="default" w:ascii="Times New Roman" w:hAnsi="Times New Roman" w:eastAsia="宋体" w:cs="Times New Roman"/>
                      <w:color w:val="000000" w:themeColor="text1"/>
                      <w:szCs w:val="21"/>
                      <w14:textFill>
                        <w14:solidFill>
                          <w14:schemeClr w14:val="tx1"/>
                        </w14:solidFill>
                      </w14:textFill>
                    </w:rPr>
                    <w:t>，经采取本环评提供的污染防治措施以后对周边影响不大</w:t>
                  </w:r>
                  <w:r>
                    <w:rPr>
                      <w:rFonts w:hint="default" w:ascii="Times New Roman" w:hAnsi="Times New Roman" w:eastAsia="宋体" w:cs="Times New Roman"/>
                      <w:color w:val="000000" w:themeColor="text1"/>
                      <w:szCs w:val="21"/>
                      <w:lang w:eastAsia="zh-CN"/>
                      <w14:textFill>
                        <w14:solidFill>
                          <w14:schemeClr w14:val="tx1"/>
                        </w14:solidFill>
                      </w14:textFill>
                    </w:rPr>
                    <w:t>。</w:t>
                  </w:r>
                </w:p>
                <w:p w14:paraId="5E1D2982">
                  <w:pPr>
                    <w:keepNext w:val="0"/>
                    <w:pageBreakBefore w:val="0"/>
                    <w:tabs>
                      <w:tab w:val="left" w:pos="4830"/>
                    </w:tabs>
                    <w:kinsoku/>
                    <w:overflowPunct/>
                    <w:topLinePunct w:val="0"/>
                    <w:bidi w:val="0"/>
                    <w:ind w:left="0" w:leftChars="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通过预测分析，</w:t>
                  </w:r>
                  <w:r>
                    <w:rPr>
                      <w:rFonts w:hint="default" w:ascii="Times New Roman" w:hAnsi="Times New Roman" w:eastAsia="宋体" w:cs="Times New Roman"/>
                      <w:color w:val="000000" w:themeColor="text1"/>
                      <w:szCs w:val="21"/>
                      <w14:textFill>
                        <w14:solidFill>
                          <w14:schemeClr w14:val="tx1"/>
                        </w14:solidFill>
                      </w14:textFill>
                    </w:rPr>
                    <w:t>本项目厂界</w:t>
                  </w:r>
                  <w:r>
                    <w:rPr>
                      <w:rFonts w:hint="eastAsia" w:cs="Times New Roman"/>
                      <w:color w:val="000000" w:themeColor="text1"/>
                      <w:szCs w:val="21"/>
                      <w:lang w:eastAsia="zh-CN"/>
                      <w14:textFill>
                        <w14:solidFill>
                          <w14:schemeClr w14:val="tx1"/>
                        </w14:solidFill>
                      </w14:textFill>
                    </w:rPr>
                    <w:t>西侧、南侧、北侧</w:t>
                  </w:r>
                  <w:r>
                    <w:rPr>
                      <w:rFonts w:hint="default" w:ascii="Times New Roman" w:hAnsi="Times New Roman" w:eastAsia="宋体" w:cs="Times New Roman"/>
                      <w:color w:val="000000" w:themeColor="text1"/>
                      <w:szCs w:val="21"/>
                      <w14:textFill>
                        <w14:solidFill>
                          <w14:schemeClr w14:val="tx1"/>
                        </w14:solidFill>
                      </w14:textFill>
                    </w:rPr>
                    <w:t>能达到《工业企业厂界环境噪声排放标准》（GB12348-2008）中</w:t>
                  </w:r>
                  <w:r>
                    <w:rPr>
                      <w:rFonts w:hint="default" w:ascii="Times New Roman" w:hAnsi="Times New Roman" w:eastAsia="宋体" w:cs="Times New Roman"/>
                      <w:color w:val="000000" w:themeColor="text1"/>
                      <w:szCs w:val="21"/>
                      <w:lang w:val="en-US" w:eastAsia="zh-CN"/>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类标准限值要求</w:t>
                  </w:r>
                  <w:r>
                    <w:rPr>
                      <w:rFonts w:hint="eastAsia" w:cs="Times New Roman"/>
                      <w:color w:val="000000" w:themeColor="text1"/>
                      <w:szCs w:val="21"/>
                      <w:lang w:eastAsia="zh-CN"/>
                      <w14:textFill>
                        <w14:solidFill>
                          <w14:schemeClr w14:val="tx1"/>
                        </w14:solidFill>
                      </w14:textFill>
                    </w:rPr>
                    <w:t>，东侧能够达标</w:t>
                  </w:r>
                  <w:r>
                    <w:rPr>
                      <w:rFonts w:hint="default" w:ascii="Times New Roman" w:hAnsi="Times New Roman" w:eastAsia="宋体" w:cs="Times New Roman"/>
                      <w:color w:val="000000" w:themeColor="text1"/>
                      <w:szCs w:val="21"/>
                      <w14:textFill>
                        <w14:solidFill>
                          <w14:schemeClr w14:val="tx1"/>
                        </w14:solidFill>
                      </w14:textFill>
                    </w:rPr>
                    <w:t>《工业企业厂界环境噪声排放标准》（GB12348-2008）</w:t>
                  </w:r>
                  <w:r>
                    <w:rPr>
                      <w:rFonts w:hint="eastAsia" w:cs="Times New Roman"/>
                      <w:color w:val="000000" w:themeColor="text1"/>
                      <w:szCs w:val="21"/>
                      <w:lang w:val="en-US" w:eastAsia="zh-CN"/>
                      <w14:textFill>
                        <w14:solidFill>
                          <w14:schemeClr w14:val="tx1"/>
                        </w14:solidFill>
                      </w14:textFill>
                    </w:rPr>
                    <w:t>4类</w:t>
                  </w:r>
                  <w:r>
                    <w:rPr>
                      <w:rFonts w:hint="default" w:ascii="Times New Roman" w:hAnsi="Times New Roman" w:eastAsia="宋体" w:cs="Times New Roman"/>
                      <w:color w:val="000000" w:themeColor="text1"/>
                      <w:szCs w:val="21"/>
                      <w14:textFill>
                        <w14:solidFill>
                          <w14:schemeClr w14:val="tx1"/>
                        </w14:solidFill>
                      </w14:textFill>
                    </w:rPr>
                    <w:t>标准限值要求</w:t>
                  </w:r>
                  <w:r>
                    <w:rPr>
                      <w:rFonts w:hint="default" w:ascii="Times New Roman" w:hAnsi="Times New Roman" w:eastAsia="宋体" w:cs="Times New Roman"/>
                      <w:color w:val="000000" w:themeColor="text1"/>
                      <w:szCs w:val="21"/>
                      <w:lang w:eastAsia="zh-CN"/>
                      <w14:textFill>
                        <w14:solidFill>
                          <w14:schemeClr w14:val="tx1"/>
                        </w14:solidFill>
                      </w14:textFill>
                    </w:rPr>
                    <w:t>。</w:t>
                  </w:r>
                </w:p>
              </w:tc>
              <w:tc>
                <w:tcPr>
                  <w:tcW w:w="538" w:type="pct"/>
                  <w:vAlign w:val="center"/>
                </w:tcPr>
                <w:p w14:paraId="1E93FB93">
                  <w:pPr>
                    <w:keepNext w:val="0"/>
                    <w:pageBreakBefore w:val="0"/>
                    <w:tabs>
                      <w:tab w:val="left" w:pos="4830"/>
                    </w:tabs>
                    <w:kinsoku/>
                    <w:overflowPunct/>
                    <w:topLinePunct w:val="0"/>
                    <w:bidi w:val="0"/>
                    <w:ind w:left="0" w:left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符合</w:t>
                  </w:r>
                </w:p>
              </w:tc>
            </w:tr>
            <w:tr w14:paraId="15C03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pct"/>
                  <w:vAlign w:val="center"/>
                </w:tcPr>
                <w:p w14:paraId="13107F68">
                  <w:pPr>
                    <w:keepNext w:val="0"/>
                    <w:pageBreakBefore w:val="0"/>
                    <w:tabs>
                      <w:tab w:val="left" w:pos="4830"/>
                    </w:tabs>
                    <w:kinsoku/>
                    <w:overflowPunct/>
                    <w:topLinePunct w:val="0"/>
                    <w:bidi w:val="0"/>
                    <w:ind w:left="0" w:leftChars="0"/>
                    <w:jc w:val="center"/>
                    <w:rPr>
                      <w:rFonts w:hint="default" w:ascii="Times New Roman" w:hAnsi="Times New Roman" w:cs="Times New Roman"/>
                      <w:color w:val="000000" w:themeColor="text1"/>
                      <w:szCs w:val="21"/>
                      <w:shd w:val="clear" w:color="auto" w:fill="FFFFFF"/>
                      <w14:textFill>
                        <w14:solidFill>
                          <w14:schemeClr w14:val="tx1"/>
                        </w14:solidFill>
                      </w14:textFill>
                    </w:rPr>
                  </w:pPr>
                  <w:r>
                    <w:rPr>
                      <w:rFonts w:hint="default" w:ascii="Times New Roman" w:hAnsi="Times New Roman" w:cs="Times New Roman"/>
                      <w:color w:val="000000" w:themeColor="text1"/>
                      <w:szCs w:val="21"/>
                      <w:shd w:val="clear" w:color="auto" w:fill="FFFFFF"/>
                      <w14:textFill>
                        <w14:solidFill>
                          <w14:schemeClr w14:val="tx1"/>
                        </w14:solidFill>
                      </w14:textFill>
                    </w:rPr>
                    <w:t>深入打好碧水保卫战</w:t>
                  </w:r>
                </w:p>
              </w:tc>
              <w:tc>
                <w:tcPr>
                  <w:tcW w:w="2310" w:type="pct"/>
                  <w:vAlign w:val="center"/>
                </w:tcPr>
                <w:p w14:paraId="39C26FBB">
                  <w:pPr>
                    <w:keepNext w:val="0"/>
                    <w:pageBreakBefore w:val="0"/>
                    <w:tabs>
                      <w:tab w:val="left" w:pos="4830"/>
                    </w:tabs>
                    <w:kinsoku/>
                    <w:overflowPunct/>
                    <w:topLinePunct w:val="0"/>
                    <w:bidi w:val="0"/>
                    <w:ind w:left="0" w:leftChars="0"/>
                    <w:jc w:val="center"/>
                    <w:rPr>
                      <w:rFonts w:hint="default" w:ascii="Times New Roman" w:hAnsi="Times New Roman" w:cs="Times New Roman"/>
                      <w:b/>
                      <w:bCs/>
                      <w:color w:val="000000" w:themeColor="text1"/>
                      <w:szCs w:val="21"/>
                      <w:shd w:val="clear" w:color="auto" w:fill="FFFFFF"/>
                      <w14:textFill>
                        <w14:solidFill>
                          <w14:schemeClr w14:val="tx1"/>
                        </w14:solidFill>
                      </w14:textFill>
                    </w:rPr>
                  </w:pPr>
                  <w:r>
                    <w:rPr>
                      <w:rFonts w:hint="default" w:ascii="Times New Roman" w:hAnsi="Times New Roman" w:cs="Times New Roman"/>
                      <w:b/>
                      <w:bCs/>
                      <w:color w:val="000000" w:themeColor="text1"/>
                      <w:szCs w:val="21"/>
                      <w:shd w:val="clear" w:color="auto" w:fill="FFFFFF"/>
                      <w14:textFill>
                        <w14:solidFill>
                          <w14:schemeClr w14:val="tx1"/>
                        </w14:solidFill>
                      </w14:textFill>
                    </w:rPr>
                    <w:t>深入打好珠江流域（玉溪段）保护治理攻坚战。</w:t>
                  </w:r>
                  <w:r>
                    <w:rPr>
                      <w:rFonts w:hint="default" w:ascii="Times New Roman" w:hAnsi="Times New Roman" w:cs="Times New Roman"/>
                      <w:color w:val="000000" w:themeColor="text1"/>
                      <w:szCs w:val="21"/>
                      <w:shd w:val="clear" w:color="auto" w:fill="FFFFFF"/>
                      <w14:textFill>
                        <w14:solidFill>
                          <w14:schemeClr w14:val="tx1"/>
                        </w14:solidFill>
                      </w14:textFill>
                    </w:rPr>
                    <w:t>加大南盘江干流等流域水生态环境综合治理力度，开展沿河城镇、农村生活污水治理，加大农业面源污染治理力度，执行最严格水资源管理制度，保障珠江流域（玉溪段）生态流量。持续开展工业园区污染治理、</w:t>
                  </w:r>
                  <w:r>
                    <w:rPr>
                      <w:rFonts w:hint="eastAsia" w:cs="Times New Roman"/>
                      <w:color w:val="000000" w:themeColor="text1"/>
                      <w:szCs w:val="21"/>
                      <w:shd w:val="clear" w:color="auto" w:fill="FFFFFF"/>
                      <w:lang w:eastAsia="zh-CN"/>
                      <w14:textFill>
                        <w14:solidFill>
                          <w14:schemeClr w14:val="tx1"/>
                        </w14:solidFill>
                      </w14:textFill>
                    </w:rPr>
                    <w:t>“</w:t>
                  </w:r>
                  <w:r>
                    <w:rPr>
                      <w:rFonts w:hint="default" w:ascii="Times New Roman" w:hAnsi="Times New Roman" w:cs="Times New Roman"/>
                      <w:color w:val="000000" w:themeColor="text1"/>
                      <w:szCs w:val="21"/>
                      <w:shd w:val="clear" w:color="auto" w:fill="FFFFFF"/>
                      <w14:textFill>
                        <w14:solidFill>
                          <w14:schemeClr w14:val="tx1"/>
                        </w14:solidFill>
                      </w14:textFill>
                    </w:rPr>
                    <w:t>三磷</w:t>
                  </w:r>
                  <w:r>
                    <w:rPr>
                      <w:rFonts w:hint="eastAsia" w:cs="Times New Roman"/>
                      <w:color w:val="000000" w:themeColor="text1"/>
                      <w:szCs w:val="21"/>
                      <w:shd w:val="clear" w:color="auto" w:fill="FFFFFF"/>
                      <w:lang w:eastAsia="zh-CN"/>
                      <w14:textFill>
                        <w14:solidFill>
                          <w14:schemeClr w14:val="tx1"/>
                        </w14:solidFill>
                      </w14:textFill>
                    </w:rPr>
                    <w:t>”</w:t>
                  </w:r>
                  <w:r>
                    <w:rPr>
                      <w:rFonts w:hint="default" w:ascii="Times New Roman" w:hAnsi="Times New Roman" w:cs="Times New Roman"/>
                      <w:color w:val="000000" w:themeColor="text1"/>
                      <w:szCs w:val="21"/>
                      <w:shd w:val="clear" w:color="auto" w:fill="FFFFFF"/>
                      <w14:textFill>
                        <w14:solidFill>
                          <w14:schemeClr w14:val="tx1"/>
                        </w14:solidFill>
                      </w14:textFill>
                    </w:rPr>
                    <w:t>和重金属行业排查整治。</w:t>
                  </w:r>
                </w:p>
              </w:tc>
              <w:tc>
                <w:tcPr>
                  <w:tcW w:w="2415" w:type="dxa"/>
                  <w:vAlign w:val="center"/>
                </w:tcPr>
                <w:p w14:paraId="7A118032">
                  <w:pPr>
                    <w:keepNext w:val="0"/>
                    <w:keepLines/>
                    <w:pageBreakBefore w:val="0"/>
                    <w:widowControl/>
                    <w:kinsoku/>
                    <w:overflowPunct/>
                    <w:topLinePunct w:val="0"/>
                    <w:bidi w:val="0"/>
                    <w:ind w:left="0" w:lef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本项目的建设不会降低和改变周边水环境质量现状。</w:t>
                  </w:r>
                </w:p>
                <w:p w14:paraId="2B58A86A">
                  <w:pPr>
                    <w:keepNext w:val="0"/>
                    <w:keepLines/>
                    <w:pageBreakBefore w:val="0"/>
                    <w:widowControl/>
                    <w:kinsoku/>
                    <w:overflowPunct/>
                    <w:topLinePunct w:val="0"/>
                    <w:bidi w:val="0"/>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项目废水采取了相应的处置措施，满足相关标准要求。项目无生产废水</w:t>
                  </w:r>
                  <w:r>
                    <w:rPr>
                      <w:rFonts w:hint="default" w:ascii="Times New Roman" w:hAnsi="Times New Roman" w:cs="Times New Roman"/>
                      <w:color w:val="000000" w:themeColor="text1"/>
                      <w:sz w:val="21"/>
                      <w:szCs w:val="21"/>
                      <w:lang w:val="en-US" w:eastAsia="zh-CN"/>
                      <w14:textFill>
                        <w14:solidFill>
                          <w14:schemeClr w14:val="tx1"/>
                        </w14:solidFill>
                      </w14:textFill>
                    </w:rPr>
                    <w:t>、生活污水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外排。</w:t>
                  </w:r>
                </w:p>
              </w:tc>
              <w:tc>
                <w:tcPr>
                  <w:tcW w:w="538" w:type="pct"/>
                  <w:vAlign w:val="center"/>
                </w:tcPr>
                <w:p w14:paraId="119E7F76">
                  <w:pPr>
                    <w:keepNext w:val="0"/>
                    <w:pageBreakBefore w:val="0"/>
                    <w:tabs>
                      <w:tab w:val="left" w:pos="4830"/>
                    </w:tabs>
                    <w:kinsoku/>
                    <w:overflowPunct/>
                    <w:topLinePunct w:val="0"/>
                    <w:bidi w:val="0"/>
                    <w:ind w:left="0" w:leftChars="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符合</w:t>
                  </w:r>
                </w:p>
              </w:tc>
            </w:tr>
            <w:tr w14:paraId="232EF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pct"/>
                  <w:vMerge w:val="restart"/>
                  <w:vAlign w:val="center"/>
                </w:tcPr>
                <w:p w14:paraId="21BE5CA0">
                  <w:pPr>
                    <w:keepNext w:val="0"/>
                    <w:pageBreakBefore w:val="0"/>
                    <w:tabs>
                      <w:tab w:val="left" w:pos="4830"/>
                    </w:tabs>
                    <w:kinsoku/>
                    <w:overflowPunct/>
                    <w:topLinePunct w:val="0"/>
                    <w:bidi w:val="0"/>
                    <w:ind w:left="0" w:leftChars="0"/>
                    <w:jc w:val="center"/>
                    <w:rPr>
                      <w:rFonts w:hint="default" w:ascii="Times New Roman" w:hAnsi="Times New Roman" w:cs="Times New Roman"/>
                      <w:color w:val="000000" w:themeColor="text1"/>
                      <w:szCs w:val="21"/>
                      <w:shd w:val="clear" w:color="auto" w:fill="FFFFFF"/>
                      <w14:textFill>
                        <w14:solidFill>
                          <w14:schemeClr w14:val="tx1"/>
                        </w14:solidFill>
                      </w14:textFill>
                    </w:rPr>
                  </w:pPr>
                  <w:r>
                    <w:rPr>
                      <w:rFonts w:hint="default" w:ascii="Times New Roman" w:hAnsi="Times New Roman" w:cs="Times New Roman"/>
                      <w:color w:val="000000" w:themeColor="text1"/>
                      <w:szCs w:val="21"/>
                      <w:shd w:val="clear" w:color="auto" w:fill="FFFFFF"/>
                      <w14:textFill>
                        <w14:solidFill>
                          <w14:schemeClr w14:val="tx1"/>
                        </w14:solidFill>
                      </w14:textFill>
                    </w:rPr>
                    <w:t>深入打好净土保卫战</w:t>
                  </w:r>
                </w:p>
              </w:tc>
              <w:tc>
                <w:tcPr>
                  <w:tcW w:w="2310" w:type="pct"/>
                  <w:vAlign w:val="center"/>
                </w:tcPr>
                <w:p w14:paraId="0DD3C6E3">
                  <w:pPr>
                    <w:keepNext w:val="0"/>
                    <w:pageBreakBefore w:val="0"/>
                    <w:tabs>
                      <w:tab w:val="left" w:pos="4830"/>
                    </w:tabs>
                    <w:kinsoku/>
                    <w:overflowPunct/>
                    <w:topLinePunct w:val="0"/>
                    <w:bidi w:val="0"/>
                    <w:ind w:left="0" w:leftChars="0"/>
                    <w:jc w:val="center"/>
                    <w:rPr>
                      <w:rFonts w:hint="default" w:ascii="Times New Roman" w:hAnsi="Times New Roman" w:cs="Times New Roman"/>
                      <w:b/>
                      <w:bCs/>
                      <w:color w:val="000000" w:themeColor="text1"/>
                      <w:szCs w:val="21"/>
                      <w:shd w:val="clear" w:color="auto" w:fill="FFFFFF"/>
                      <w14:textFill>
                        <w14:solidFill>
                          <w14:schemeClr w14:val="tx1"/>
                        </w14:solidFill>
                      </w14:textFill>
                    </w:rPr>
                  </w:pPr>
                  <w:r>
                    <w:rPr>
                      <w:rFonts w:hint="default" w:ascii="Times New Roman" w:hAnsi="Times New Roman" w:cs="Times New Roman"/>
                      <w:b/>
                      <w:bCs/>
                      <w:color w:val="000000" w:themeColor="text1"/>
                      <w:szCs w:val="21"/>
                      <w:shd w:val="clear" w:color="auto" w:fill="FFFFFF"/>
                      <w14:textFill>
                        <w14:solidFill>
                          <w14:schemeClr w14:val="tx1"/>
                        </w14:solidFill>
                      </w14:textFill>
                    </w:rPr>
                    <w:t>有效管控建设用地土壤污染风险。</w:t>
                  </w:r>
                  <w:r>
                    <w:rPr>
                      <w:rFonts w:hint="default" w:ascii="Times New Roman" w:hAnsi="Times New Roman" w:cs="Times New Roman"/>
                      <w:color w:val="000000" w:themeColor="text1"/>
                      <w:szCs w:val="21"/>
                      <w:shd w:val="clear" w:color="auto" w:fill="FFFFFF"/>
                      <w14:textFill>
                        <w14:solidFill>
                          <w14:schemeClr w14:val="tx1"/>
                        </w14:solidFill>
                      </w14:textFill>
                    </w:rPr>
                    <w:t>严格建设用地土壤污染风险管控和修复名录内地块的准入管理。落实土壤污染状况调查和风险评估要求，从严管控化工等行业重度污染地块的规划用途。</w:t>
                  </w:r>
                </w:p>
              </w:tc>
              <w:tc>
                <w:tcPr>
                  <w:tcW w:w="1657" w:type="pct"/>
                  <w:vAlign w:val="center"/>
                </w:tcPr>
                <w:p w14:paraId="3D56E0F5">
                  <w:pPr>
                    <w:keepNext w:val="0"/>
                    <w:pageBreakBefore w:val="0"/>
                    <w:tabs>
                      <w:tab w:val="left" w:pos="4830"/>
                    </w:tabs>
                    <w:kinsoku/>
                    <w:overflowPunct/>
                    <w:topLinePunct w:val="0"/>
                    <w:bidi w:val="0"/>
                    <w:ind w:left="0" w:leftChars="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eastAsia="zh-CN"/>
                      <w14:textFill>
                        <w14:solidFill>
                          <w14:schemeClr w14:val="tx1"/>
                        </w14:solidFill>
                      </w14:textFill>
                    </w:rPr>
                    <w:t>本环评要求</w:t>
                  </w:r>
                  <w:r>
                    <w:rPr>
                      <w:rFonts w:hint="eastAsia" w:cs="Times New Roman"/>
                      <w:color w:val="000000" w:themeColor="text1"/>
                      <w:kern w:val="0"/>
                      <w:szCs w:val="21"/>
                      <w:lang w:eastAsia="zh-CN"/>
                      <w14:textFill>
                        <w14:solidFill>
                          <w14:schemeClr w14:val="tx1"/>
                        </w14:solidFill>
                      </w14:textFill>
                    </w:rPr>
                    <w:t>危险废物贮存库</w:t>
                  </w:r>
                  <w:r>
                    <w:rPr>
                      <w:rFonts w:hint="default" w:ascii="Times New Roman" w:hAnsi="Times New Roman" w:cs="Times New Roman"/>
                      <w:color w:val="000000" w:themeColor="text1"/>
                      <w:kern w:val="0"/>
                      <w:szCs w:val="21"/>
                      <w:lang w:eastAsia="zh-CN"/>
                      <w14:textFill>
                        <w14:solidFill>
                          <w14:schemeClr w14:val="tx1"/>
                        </w14:solidFill>
                      </w14:textFill>
                    </w:rPr>
                    <w:t>为重点防渗区，</w:t>
                  </w:r>
                  <w:r>
                    <w:rPr>
                      <w:rFonts w:hint="default" w:ascii="Times New Roman" w:hAnsi="Times New Roman" w:cs="Times New Roman"/>
                      <w:color w:val="000000" w:themeColor="text1"/>
                      <w:lang w:val="en-US" w:eastAsia="zh-CN"/>
                      <w14:textFill>
                        <w14:solidFill>
                          <w14:schemeClr w14:val="tx1"/>
                        </w14:solidFill>
                      </w14:textFill>
                    </w:rPr>
                    <w:t>按照重点防渗区防渗技术要求建造。</w:t>
                  </w:r>
                </w:p>
              </w:tc>
              <w:tc>
                <w:tcPr>
                  <w:tcW w:w="538" w:type="pct"/>
                  <w:vAlign w:val="center"/>
                </w:tcPr>
                <w:p w14:paraId="20ACC642">
                  <w:pPr>
                    <w:keepNext w:val="0"/>
                    <w:pageBreakBefore w:val="0"/>
                    <w:tabs>
                      <w:tab w:val="left" w:pos="4830"/>
                    </w:tabs>
                    <w:kinsoku/>
                    <w:overflowPunct/>
                    <w:topLinePunct w:val="0"/>
                    <w:bidi w:val="0"/>
                    <w:ind w:left="0" w:leftChars="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符合</w:t>
                  </w:r>
                </w:p>
              </w:tc>
            </w:tr>
            <w:tr w14:paraId="4BE3C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pct"/>
                  <w:vMerge w:val="continue"/>
                  <w:vAlign w:val="center"/>
                </w:tcPr>
                <w:p w14:paraId="6CCFBD4A">
                  <w:pPr>
                    <w:keepNext w:val="0"/>
                    <w:pageBreakBefore w:val="0"/>
                    <w:tabs>
                      <w:tab w:val="left" w:pos="4830"/>
                    </w:tabs>
                    <w:kinsoku/>
                    <w:overflowPunct/>
                    <w:topLinePunct w:val="0"/>
                    <w:bidi w:val="0"/>
                    <w:ind w:left="0" w:leftChars="0"/>
                    <w:jc w:val="center"/>
                    <w:rPr>
                      <w:rFonts w:hint="default" w:ascii="Times New Roman" w:hAnsi="Times New Roman" w:cs="Times New Roman"/>
                      <w:b/>
                      <w:bCs/>
                      <w:color w:val="000000" w:themeColor="text1"/>
                      <w:szCs w:val="21"/>
                      <w:shd w:val="clear" w:color="auto" w:fill="FFFFFF"/>
                      <w14:textFill>
                        <w14:solidFill>
                          <w14:schemeClr w14:val="tx1"/>
                        </w14:solidFill>
                      </w14:textFill>
                    </w:rPr>
                  </w:pPr>
                </w:p>
              </w:tc>
              <w:tc>
                <w:tcPr>
                  <w:tcW w:w="2310" w:type="pct"/>
                  <w:vAlign w:val="center"/>
                </w:tcPr>
                <w:p w14:paraId="17E5544E">
                  <w:pPr>
                    <w:keepNext w:val="0"/>
                    <w:pageBreakBefore w:val="0"/>
                    <w:tabs>
                      <w:tab w:val="left" w:pos="4830"/>
                    </w:tabs>
                    <w:kinsoku/>
                    <w:overflowPunct/>
                    <w:topLinePunct w:val="0"/>
                    <w:bidi w:val="0"/>
                    <w:ind w:left="0" w:leftChars="0"/>
                    <w:jc w:val="center"/>
                    <w:rPr>
                      <w:rFonts w:hint="default" w:ascii="Times New Roman" w:hAnsi="Times New Roman" w:cs="Times New Roman"/>
                      <w:b/>
                      <w:bCs/>
                      <w:color w:val="000000" w:themeColor="text1"/>
                      <w:szCs w:val="21"/>
                      <w:shd w:val="clear" w:color="auto" w:fill="FFFFFF"/>
                      <w14:textFill>
                        <w14:solidFill>
                          <w14:schemeClr w14:val="tx1"/>
                        </w14:solidFill>
                      </w14:textFill>
                    </w:rPr>
                  </w:pPr>
                  <w:r>
                    <w:rPr>
                      <w:rFonts w:hint="default" w:ascii="Times New Roman" w:hAnsi="Times New Roman" w:cs="Times New Roman"/>
                      <w:b/>
                      <w:bCs/>
                      <w:color w:val="000000" w:themeColor="text1"/>
                      <w:szCs w:val="21"/>
                      <w:shd w:val="clear" w:color="auto" w:fill="FFFFFF"/>
                      <w14:textFill>
                        <w14:solidFill>
                          <w14:schemeClr w14:val="tx1"/>
                        </w14:solidFill>
                      </w14:textFill>
                    </w:rPr>
                    <w:t>稳步推进</w:t>
                  </w:r>
                  <w:r>
                    <w:rPr>
                      <w:rFonts w:hint="eastAsia" w:cs="Times New Roman"/>
                      <w:b/>
                      <w:bCs/>
                      <w:color w:val="000000" w:themeColor="text1"/>
                      <w:szCs w:val="21"/>
                      <w:shd w:val="clear" w:color="auto" w:fill="FFFFFF"/>
                      <w:lang w:eastAsia="zh-CN"/>
                      <w14:textFill>
                        <w14:solidFill>
                          <w14:schemeClr w14:val="tx1"/>
                        </w14:solidFill>
                      </w14:textFill>
                    </w:rPr>
                    <w:t>“</w:t>
                  </w:r>
                  <w:r>
                    <w:rPr>
                      <w:rFonts w:hint="default" w:ascii="Times New Roman" w:hAnsi="Times New Roman" w:cs="Times New Roman"/>
                      <w:b/>
                      <w:bCs/>
                      <w:color w:val="000000" w:themeColor="text1"/>
                      <w:szCs w:val="21"/>
                      <w:shd w:val="clear" w:color="auto" w:fill="FFFFFF"/>
                      <w14:textFill>
                        <w14:solidFill>
                          <w14:schemeClr w14:val="tx1"/>
                        </w14:solidFill>
                      </w14:textFill>
                    </w:rPr>
                    <w:t>无废城市</w:t>
                  </w:r>
                  <w:r>
                    <w:rPr>
                      <w:rFonts w:hint="eastAsia" w:cs="Times New Roman"/>
                      <w:b/>
                      <w:bCs/>
                      <w:color w:val="000000" w:themeColor="text1"/>
                      <w:szCs w:val="21"/>
                      <w:shd w:val="clear" w:color="auto" w:fill="FFFFFF"/>
                      <w:lang w:eastAsia="zh-CN"/>
                      <w14:textFill>
                        <w14:solidFill>
                          <w14:schemeClr w14:val="tx1"/>
                        </w14:solidFill>
                      </w14:textFill>
                    </w:rPr>
                    <w:t>”</w:t>
                  </w:r>
                  <w:r>
                    <w:rPr>
                      <w:rFonts w:hint="default" w:ascii="Times New Roman" w:hAnsi="Times New Roman" w:cs="Times New Roman"/>
                      <w:b/>
                      <w:bCs/>
                      <w:color w:val="000000" w:themeColor="text1"/>
                      <w:szCs w:val="21"/>
                      <w:shd w:val="clear" w:color="auto" w:fill="FFFFFF"/>
                      <w14:textFill>
                        <w14:solidFill>
                          <w14:schemeClr w14:val="tx1"/>
                        </w14:solidFill>
                      </w14:textFill>
                    </w:rPr>
                    <w:t>建设</w:t>
                  </w:r>
                  <w:r>
                    <w:rPr>
                      <w:rFonts w:hint="default" w:ascii="Times New Roman" w:hAnsi="Times New Roman" w:cs="Times New Roman"/>
                      <w:color w:val="000000" w:themeColor="text1"/>
                      <w:szCs w:val="21"/>
                      <w:shd w:val="clear" w:color="auto" w:fill="FFFFFF"/>
                      <w14:textFill>
                        <w14:solidFill>
                          <w14:schemeClr w14:val="tx1"/>
                        </w14:solidFill>
                      </w14:textFill>
                    </w:rPr>
                    <w:t>。稳步推进玉溪市</w:t>
                  </w:r>
                  <w:r>
                    <w:rPr>
                      <w:rFonts w:hint="eastAsia" w:cs="Times New Roman"/>
                      <w:color w:val="000000" w:themeColor="text1"/>
                      <w:szCs w:val="21"/>
                      <w:shd w:val="clear" w:color="auto" w:fill="FFFFFF"/>
                      <w:lang w:eastAsia="zh-CN"/>
                      <w14:textFill>
                        <w14:solidFill>
                          <w14:schemeClr w14:val="tx1"/>
                        </w14:solidFill>
                      </w14:textFill>
                    </w:rPr>
                    <w:t>“</w:t>
                  </w:r>
                  <w:r>
                    <w:rPr>
                      <w:rFonts w:hint="default" w:ascii="Times New Roman" w:hAnsi="Times New Roman" w:cs="Times New Roman"/>
                      <w:color w:val="000000" w:themeColor="text1"/>
                      <w:szCs w:val="21"/>
                      <w:shd w:val="clear" w:color="auto" w:fill="FFFFFF"/>
                      <w14:textFill>
                        <w14:solidFill>
                          <w14:schemeClr w14:val="tx1"/>
                        </w14:solidFill>
                      </w14:textFill>
                    </w:rPr>
                    <w:t>无废城市</w:t>
                  </w:r>
                  <w:r>
                    <w:rPr>
                      <w:rFonts w:hint="eastAsia" w:cs="Times New Roman"/>
                      <w:color w:val="000000" w:themeColor="text1"/>
                      <w:szCs w:val="21"/>
                      <w:shd w:val="clear" w:color="auto" w:fill="FFFFFF"/>
                      <w:lang w:eastAsia="zh-CN"/>
                      <w14:textFill>
                        <w14:solidFill>
                          <w14:schemeClr w14:val="tx1"/>
                        </w14:solidFill>
                      </w14:textFill>
                    </w:rPr>
                    <w:t>”</w:t>
                  </w:r>
                  <w:r>
                    <w:rPr>
                      <w:rFonts w:hint="default" w:ascii="Times New Roman" w:hAnsi="Times New Roman" w:cs="Times New Roman"/>
                      <w:color w:val="000000" w:themeColor="text1"/>
                      <w:szCs w:val="21"/>
                      <w:shd w:val="clear" w:color="auto" w:fill="FFFFFF"/>
                      <w14:textFill>
                        <w14:solidFill>
                          <w14:schemeClr w14:val="tx1"/>
                        </w14:solidFill>
                      </w14:textFill>
                    </w:rPr>
                    <w:t>建设，推进城市固体废物精细化管理。积极推进无废学校、社区、企业等</w:t>
                  </w:r>
                  <w:r>
                    <w:rPr>
                      <w:rFonts w:hint="eastAsia" w:cs="Times New Roman"/>
                      <w:color w:val="000000" w:themeColor="text1"/>
                      <w:szCs w:val="21"/>
                      <w:shd w:val="clear" w:color="auto" w:fill="FFFFFF"/>
                      <w:lang w:eastAsia="zh-CN"/>
                      <w14:textFill>
                        <w14:solidFill>
                          <w14:schemeClr w14:val="tx1"/>
                        </w14:solidFill>
                      </w14:textFill>
                    </w:rPr>
                    <w:t>“</w:t>
                  </w:r>
                  <w:r>
                    <w:rPr>
                      <w:rFonts w:hint="default" w:ascii="Times New Roman" w:hAnsi="Times New Roman" w:cs="Times New Roman"/>
                      <w:color w:val="000000" w:themeColor="text1"/>
                      <w:szCs w:val="21"/>
                      <w:shd w:val="clear" w:color="auto" w:fill="FFFFFF"/>
                      <w14:textFill>
                        <w14:solidFill>
                          <w14:schemeClr w14:val="tx1"/>
                        </w14:solidFill>
                      </w14:textFill>
                    </w:rPr>
                    <w:t>无废细胞</w:t>
                  </w:r>
                  <w:r>
                    <w:rPr>
                      <w:rFonts w:hint="eastAsia" w:cs="Times New Roman"/>
                      <w:color w:val="000000" w:themeColor="text1"/>
                      <w:szCs w:val="21"/>
                      <w:shd w:val="clear" w:color="auto" w:fill="FFFFFF"/>
                      <w:lang w:eastAsia="zh-CN"/>
                      <w14:textFill>
                        <w14:solidFill>
                          <w14:schemeClr w14:val="tx1"/>
                        </w14:solidFill>
                      </w14:textFill>
                    </w:rPr>
                    <w:t>”</w:t>
                  </w:r>
                  <w:r>
                    <w:rPr>
                      <w:rFonts w:hint="default" w:ascii="Times New Roman" w:hAnsi="Times New Roman" w:cs="Times New Roman"/>
                      <w:color w:val="000000" w:themeColor="text1"/>
                      <w:szCs w:val="21"/>
                      <w:shd w:val="clear" w:color="auto" w:fill="FFFFFF"/>
                      <w14:textFill>
                        <w14:solidFill>
                          <w14:schemeClr w14:val="tx1"/>
                        </w14:solidFill>
                      </w14:textFill>
                    </w:rPr>
                    <w:t>建设。</w:t>
                  </w:r>
                </w:p>
              </w:tc>
              <w:tc>
                <w:tcPr>
                  <w:tcW w:w="1657" w:type="pct"/>
                  <w:vAlign w:val="center"/>
                </w:tcPr>
                <w:p w14:paraId="23773B34">
                  <w:pPr>
                    <w:keepNext w:val="0"/>
                    <w:pageBreakBefore w:val="0"/>
                    <w:tabs>
                      <w:tab w:val="left" w:pos="4830"/>
                    </w:tabs>
                    <w:kinsoku/>
                    <w:overflowPunct/>
                    <w:topLinePunct w:val="0"/>
                    <w:bidi w:val="0"/>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本项目施工期、运行期产生的固体废物均能得到合理处置。</w:t>
                  </w:r>
                </w:p>
              </w:tc>
              <w:tc>
                <w:tcPr>
                  <w:tcW w:w="538" w:type="pct"/>
                  <w:vAlign w:val="center"/>
                </w:tcPr>
                <w:p w14:paraId="1C453502">
                  <w:pPr>
                    <w:keepNext w:val="0"/>
                    <w:pageBreakBefore w:val="0"/>
                    <w:tabs>
                      <w:tab w:val="left" w:pos="4830"/>
                    </w:tabs>
                    <w:kinsoku/>
                    <w:overflowPunct/>
                    <w:topLinePunct w:val="0"/>
                    <w:bidi w:val="0"/>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bl>
          <w:p w14:paraId="3EE6B113">
            <w:pPr>
              <w:keepNext w:val="0"/>
              <w:keepLines w:val="0"/>
              <w:pageBreakBefore w:val="0"/>
              <w:widowControl w:val="0"/>
              <w:tabs>
                <w:tab w:val="left" w:pos="4830"/>
              </w:tabs>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bCs/>
                <w:color w:val="000000" w:themeColor="text1"/>
                <w:kern w:val="0"/>
                <w:sz w:val="24"/>
                <w14:textFill>
                  <w14:solidFill>
                    <w14:schemeClr w14:val="tx1"/>
                  </w14:solidFill>
                </w14:textFill>
              </w:rPr>
            </w:pPr>
            <w:r>
              <w:rPr>
                <w:rFonts w:hint="eastAsia" w:cs="Times New Roman"/>
                <w:b/>
                <w:bCs/>
                <w:color w:val="000000" w:themeColor="text1"/>
                <w:kern w:val="0"/>
                <w:sz w:val="24"/>
                <w:lang w:val="en-US" w:eastAsia="zh-CN"/>
                <w14:textFill>
                  <w14:solidFill>
                    <w14:schemeClr w14:val="tx1"/>
                  </w14:solidFill>
                </w14:textFill>
              </w:rPr>
              <w:t>9</w:t>
            </w:r>
            <w:r>
              <w:rPr>
                <w:rFonts w:hint="default" w:ascii="Times New Roman" w:hAnsi="Times New Roman" w:cs="Times New Roman"/>
                <w:b/>
                <w:bCs/>
                <w:color w:val="000000" w:themeColor="text1"/>
                <w:kern w:val="0"/>
                <w:sz w:val="24"/>
                <w14:textFill>
                  <w14:solidFill>
                    <w14:schemeClr w14:val="tx1"/>
                  </w14:solidFill>
                </w14:textFill>
              </w:rPr>
              <w:t>、与《挥发性有机物无组织排放控制标准》（GB37822-2019）相符性分析</w:t>
            </w:r>
          </w:p>
          <w:p w14:paraId="6E66AFED">
            <w:pPr>
              <w:keepNext w:val="0"/>
              <w:pageBreakBefore w:val="0"/>
              <w:tabs>
                <w:tab w:val="left" w:pos="4830"/>
              </w:tabs>
              <w:kinsoku/>
              <w:overflowPunct/>
              <w:bidi w:val="0"/>
              <w:spacing w:line="360" w:lineRule="auto"/>
              <w:ind w:firstLine="480" w:firstLineChars="20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本项目与《挥发性有机物无组织排放控制标准》相符性分析详见下表：</w:t>
            </w:r>
          </w:p>
          <w:p w14:paraId="6E443A3C">
            <w:pPr>
              <w:keepNext w:val="0"/>
              <w:keepLines w:val="0"/>
              <w:pageBreakBefore w:val="0"/>
              <w:widowControl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表</w:t>
            </w:r>
            <w:r>
              <w:rPr>
                <w:rFonts w:hint="eastAsia" w:cs="Times New Roman"/>
                <w:b/>
                <w:bCs/>
                <w:color w:val="000000" w:themeColor="text1"/>
                <w:kern w:val="0"/>
                <w:sz w:val="21"/>
                <w:szCs w:val="21"/>
                <w:lang w:val="en-US" w:eastAsia="zh-CN"/>
                <w14:textFill>
                  <w14:solidFill>
                    <w14:schemeClr w14:val="tx1"/>
                  </w14:solidFill>
                </w14:textFill>
              </w:rPr>
              <w:t xml:space="preserve">1-8 </w:t>
            </w:r>
            <w:r>
              <w:rPr>
                <w:rFonts w:hint="default" w:ascii="Times New Roman" w:hAnsi="Times New Roman" w:cs="Times New Roman"/>
                <w:b/>
                <w:bCs/>
                <w:color w:val="000000" w:themeColor="text1"/>
                <w:kern w:val="0"/>
                <w:sz w:val="21"/>
                <w:szCs w:val="21"/>
                <w14:textFill>
                  <w14:solidFill>
                    <w14:schemeClr w14:val="tx1"/>
                  </w14:solidFill>
                </w14:textFill>
              </w:rPr>
              <w:t>《挥发性有机物无组织排放控制标准》相符性对照表</w:t>
            </w:r>
          </w:p>
          <w:tbl>
            <w:tblPr>
              <w:tblStyle w:val="3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3"/>
              <w:gridCol w:w="3022"/>
              <w:gridCol w:w="618"/>
            </w:tblGrid>
            <w:tr w14:paraId="2D72A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2" w:hRule="atLeast"/>
              </w:trPr>
              <w:tc>
                <w:tcPr>
                  <w:tcW w:w="2528" w:type="pct"/>
                  <w:vAlign w:val="center"/>
                </w:tcPr>
                <w:p w14:paraId="1DD0A755">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《挥发性有机物无组织排放控制标准》</w:t>
                  </w:r>
                </w:p>
              </w:tc>
              <w:tc>
                <w:tcPr>
                  <w:tcW w:w="2052" w:type="pct"/>
                  <w:vAlign w:val="center"/>
                </w:tcPr>
                <w:p w14:paraId="641587FC">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本项目实施后的情况</w:t>
                  </w:r>
                </w:p>
              </w:tc>
              <w:tc>
                <w:tcPr>
                  <w:tcW w:w="418" w:type="pct"/>
                  <w:vAlign w:val="center"/>
                </w:tcPr>
                <w:p w14:paraId="0832D758">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符合情况</w:t>
                  </w:r>
                </w:p>
              </w:tc>
            </w:tr>
            <w:tr w14:paraId="063CE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000" w:type="pct"/>
                  <w:gridSpan w:val="3"/>
                  <w:vAlign w:val="center"/>
                </w:tcPr>
                <w:p w14:paraId="613B773E">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VOCs物料储存无组织排放控制要求</w:t>
                  </w:r>
                </w:p>
              </w:tc>
            </w:tr>
            <w:tr w14:paraId="05993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528" w:type="pct"/>
                  <w:vAlign w:val="center"/>
                </w:tcPr>
                <w:p w14:paraId="518CC692">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VOCs物料应储存于密闭的容器、包装袋、储罐、储库、料仓中。</w:t>
                  </w:r>
                </w:p>
              </w:tc>
              <w:tc>
                <w:tcPr>
                  <w:tcW w:w="2052" w:type="pct"/>
                  <w:vAlign w:val="center"/>
                </w:tcPr>
                <w:p w14:paraId="0E881256">
                  <w:pPr>
                    <w:keepNext w:val="0"/>
                    <w:keepLines w:val="0"/>
                    <w:pageBreakBefore w:val="0"/>
                    <w:widowControl/>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lang w:val="en-US"/>
                      <w14:textFill>
                        <w14:solidFill>
                          <w14:schemeClr w14:val="tx1"/>
                        </w14:solidFill>
                      </w14:textFill>
                    </w:rPr>
                  </w:pPr>
                  <w:r>
                    <w:rPr>
                      <w:rFonts w:hint="eastAsia" w:cs="Times New Roman" w:eastAsiaTheme="minorEastAsia"/>
                      <w:color w:val="000000" w:themeColor="text1"/>
                      <w:sz w:val="21"/>
                      <w:szCs w:val="21"/>
                      <w:lang w:eastAsia="zh-CN"/>
                      <w14:textFill>
                        <w14:solidFill>
                          <w14:schemeClr w14:val="tx1"/>
                        </w14:solidFill>
                      </w14:textFill>
                    </w:rPr>
                    <w:t>现有项目</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生产原料聚苯乙烯</w:t>
                  </w:r>
                  <w:r>
                    <w:rPr>
                      <w:rFonts w:hint="default" w:ascii="Times New Roman" w:hAnsi="Times New Roman" w:cs="Times New Roman" w:eastAsiaTheme="minorEastAsia"/>
                      <w:color w:val="000000" w:themeColor="text1"/>
                      <w:sz w:val="21"/>
                      <w:szCs w:val="21"/>
                      <w14:textFill>
                        <w14:solidFill>
                          <w14:schemeClr w14:val="tx1"/>
                        </w14:solidFill>
                      </w14:textFill>
                    </w:rPr>
                    <w:t>颗粒</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使用密闭的</w:t>
                  </w:r>
                  <w:r>
                    <w:rPr>
                      <w:rFonts w:hint="default" w:ascii="Times New Roman" w:hAnsi="Times New Roman" w:cs="Times New Roman" w:eastAsiaTheme="minorEastAsia"/>
                      <w:color w:val="000000" w:themeColor="text1"/>
                      <w:sz w:val="21"/>
                      <w:szCs w:val="21"/>
                      <w14:textFill>
                        <w14:solidFill>
                          <w14:schemeClr w14:val="tx1"/>
                        </w14:solidFill>
                      </w14:textFill>
                    </w:rPr>
                    <w:t>包装袋</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进行储存，外购后暂存于原料堆存区</w:t>
                  </w:r>
                </w:p>
              </w:tc>
              <w:tc>
                <w:tcPr>
                  <w:tcW w:w="418" w:type="pct"/>
                  <w:vAlign w:val="center"/>
                </w:tcPr>
                <w:p w14:paraId="22C13F76">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符合</w:t>
                  </w:r>
                </w:p>
              </w:tc>
            </w:tr>
            <w:tr w14:paraId="5BBB8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528" w:type="pct"/>
                  <w:vAlign w:val="center"/>
                </w:tcPr>
                <w:p w14:paraId="7602E5AF">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盛装VOCs物料的容器或包装袋应存放于室内，或存于设置有雨棚、遮阳和防渗设施的专用场地。盛装VOCs物料的容器或包装袋在非取用状态时应加盖、封口，保持密闭。</w:t>
                  </w:r>
                </w:p>
              </w:tc>
              <w:tc>
                <w:tcPr>
                  <w:tcW w:w="2052" w:type="pct"/>
                  <w:vAlign w:val="center"/>
                </w:tcPr>
                <w:p w14:paraId="2F61D0BA">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lang w:val="en-US"/>
                      <w14:textFill>
                        <w14:solidFill>
                          <w14:schemeClr w14:val="tx1"/>
                        </w14:solidFill>
                      </w14:textFill>
                    </w:rPr>
                  </w:pPr>
                  <w:r>
                    <w:rPr>
                      <w:rFonts w:hint="eastAsia" w:cs="Times New Roman" w:eastAsiaTheme="minorEastAsia"/>
                      <w:color w:val="000000" w:themeColor="text1"/>
                      <w:sz w:val="21"/>
                      <w:szCs w:val="21"/>
                      <w:lang w:eastAsia="zh-CN"/>
                      <w14:textFill>
                        <w14:solidFill>
                          <w14:schemeClr w14:val="tx1"/>
                        </w14:solidFill>
                      </w14:textFill>
                    </w:rPr>
                    <w:t>现有项目</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整个生产工序布设于封闭的生产车间内，原料堆存区布设于生产车间内，同时，生产原料聚苯乙烯</w:t>
                  </w:r>
                  <w:r>
                    <w:rPr>
                      <w:rFonts w:hint="default" w:ascii="Times New Roman" w:hAnsi="Times New Roman" w:cs="Times New Roman" w:eastAsiaTheme="minorEastAsia"/>
                      <w:color w:val="000000" w:themeColor="text1"/>
                      <w:sz w:val="21"/>
                      <w:szCs w:val="21"/>
                      <w14:textFill>
                        <w14:solidFill>
                          <w14:schemeClr w14:val="tx1"/>
                        </w14:solidFill>
                      </w14:textFill>
                    </w:rPr>
                    <w:t>颗粒</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使用密闭的</w:t>
                  </w:r>
                  <w:r>
                    <w:rPr>
                      <w:rFonts w:hint="default" w:ascii="Times New Roman" w:hAnsi="Times New Roman" w:cs="Times New Roman" w:eastAsiaTheme="minorEastAsia"/>
                      <w:color w:val="000000" w:themeColor="text1"/>
                      <w:sz w:val="21"/>
                      <w:szCs w:val="21"/>
                      <w14:textFill>
                        <w14:solidFill>
                          <w14:schemeClr w14:val="tx1"/>
                        </w14:solidFill>
                      </w14:textFill>
                    </w:rPr>
                    <w:t>包装袋</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进行储存</w:t>
                  </w:r>
                </w:p>
              </w:tc>
              <w:tc>
                <w:tcPr>
                  <w:tcW w:w="418" w:type="pct"/>
                  <w:vAlign w:val="center"/>
                </w:tcPr>
                <w:p w14:paraId="5F88CED3">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符合</w:t>
                  </w:r>
                </w:p>
              </w:tc>
            </w:tr>
            <w:tr w14:paraId="49BAC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000" w:type="pct"/>
                  <w:gridSpan w:val="3"/>
                  <w:vAlign w:val="center"/>
                </w:tcPr>
                <w:p w14:paraId="2FA5C2F2">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VOCs物料转移和输送无组织排放控制要求</w:t>
                  </w:r>
                </w:p>
              </w:tc>
            </w:tr>
            <w:tr w14:paraId="1C7D1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528" w:type="pct"/>
                  <w:vAlign w:val="center"/>
                </w:tcPr>
                <w:p w14:paraId="05159D1D">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both"/>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液态VOCs物料应采用密闭管道输送。采用非管道输送方式转移液态VOCs 物料时，应采用密闭容器、罐车。</w:t>
                  </w:r>
                </w:p>
              </w:tc>
              <w:tc>
                <w:tcPr>
                  <w:tcW w:w="2052" w:type="pct"/>
                  <w:vAlign w:val="center"/>
                </w:tcPr>
                <w:p w14:paraId="7C83EEE3">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本项目不涉及载有气态、液态VOCs物料的设备与管线组件</w:t>
                  </w:r>
                </w:p>
              </w:tc>
              <w:tc>
                <w:tcPr>
                  <w:tcW w:w="418" w:type="pct"/>
                  <w:vAlign w:val="center"/>
                </w:tcPr>
                <w:p w14:paraId="0B9BC845">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符合</w:t>
                  </w:r>
                </w:p>
              </w:tc>
            </w:tr>
            <w:tr w14:paraId="61C9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5000" w:type="pct"/>
                  <w:gridSpan w:val="3"/>
                  <w:vAlign w:val="center"/>
                </w:tcPr>
                <w:p w14:paraId="44F9B951">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工艺过程 VOCs 无组织排放控制要求</w:t>
                  </w:r>
                </w:p>
              </w:tc>
            </w:tr>
            <w:tr w14:paraId="29C20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528" w:type="pct"/>
                  <w:vAlign w:val="center"/>
                </w:tcPr>
                <w:p w14:paraId="5CC2E2AC">
                  <w:pPr>
                    <w:keepNext w:val="0"/>
                    <w:keepLines w:val="0"/>
                    <w:pageBreakBefore w:val="0"/>
                    <w:tabs>
                      <w:tab w:val="left" w:pos="4830"/>
                    </w:tabs>
                    <w:kinsoku/>
                    <w:wordWrap/>
                    <w:overflowPunct/>
                    <w:topLinePunct w:val="0"/>
                    <w:bidi w:val="0"/>
                    <w:adjustRightInd/>
                    <w:snapToGrid/>
                    <w:spacing w:line="240" w:lineRule="auto"/>
                    <w:ind w:firstLine="0" w:firstLineChars="0"/>
                    <w:jc w:val="both"/>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VOCs 质量占比大于等于 10%的含VOCs 产品，其使用过程应采用密闭设备或在密闭空间内操作，废气应排至 VOCs 废气收集处理系统；无法密闭的，应采取局部气体收集措施，废气应排至 VOCs废气收集处理系统。含 VOCs 产品的使用过程包括但不限于以下作业：a）调配（混合、搅拌等）；b）涂装（喷涂、浸涂、淋涂、辊涂、刷涂、涂布等）；c）印刷（平版、凸版、凹版、孔版等）；d）粘结（涂胶、热压、复合、贴合等）；e）印染（染色、印花、定型等）；f）干燥（烘干、风干、晾干等）；g）清洗（浸洗、喷洗、淋洗、冲洗、擦洗等）。</w:t>
                  </w:r>
                </w:p>
              </w:tc>
              <w:tc>
                <w:tcPr>
                  <w:tcW w:w="2052" w:type="pct"/>
                  <w:vAlign w:val="center"/>
                </w:tcPr>
                <w:p w14:paraId="1E6265AB">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lang w:val="en-US"/>
                      <w14:textFill>
                        <w14:solidFill>
                          <w14:schemeClr w14:val="tx1"/>
                        </w14:solidFill>
                      </w14:textFill>
                    </w:rPr>
                  </w:pPr>
                  <w:r>
                    <w:rPr>
                      <w:rFonts w:hint="eastAsia" w:cs="Times New Roman" w:eastAsiaTheme="minorEastAsia"/>
                      <w:color w:val="000000" w:themeColor="text1"/>
                      <w:sz w:val="21"/>
                      <w:szCs w:val="21"/>
                      <w:lang w:eastAsia="zh-CN"/>
                      <w14:textFill>
                        <w14:solidFill>
                          <w14:schemeClr w14:val="tx1"/>
                        </w14:solidFill>
                      </w14:textFill>
                    </w:rPr>
                    <w:t>现有项目</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使用原料主要为聚苯乙烯，该原料为白色固体珠粒，挥发性不强，</w:t>
                  </w:r>
                  <w:r>
                    <w:rPr>
                      <w:rFonts w:hint="default" w:ascii="Times New Roman" w:hAnsi="Times New Roman" w:cs="Times New Roman" w:eastAsiaTheme="minorEastAsia"/>
                      <w:color w:val="000000" w:themeColor="text1"/>
                      <w:sz w:val="21"/>
                      <w:szCs w:val="21"/>
                      <w14:textFill>
                        <w14:solidFill>
                          <w14:schemeClr w14:val="tx1"/>
                        </w14:solidFill>
                      </w14:textFill>
                    </w:rPr>
                    <w:t>本项目</w:t>
                  </w:r>
                  <w:r>
                    <w:rPr>
                      <w:rFonts w:hint="eastAsia" w:cs="Times New Roman" w:eastAsiaTheme="minorEastAsia"/>
                      <w:color w:val="000000" w:themeColor="text1"/>
                      <w:sz w:val="21"/>
                      <w:szCs w:val="21"/>
                      <w:lang w:eastAsia="zh-CN"/>
                      <w14:textFill>
                        <w14:solidFill>
                          <w14:schemeClr w14:val="tx1"/>
                        </w14:solidFill>
                      </w14:textFill>
                    </w:rPr>
                    <w:t>新增集气罩以及“两级活性炭吸附装置”，发泡、成型工序</w:t>
                  </w:r>
                  <w:r>
                    <w:rPr>
                      <w:rFonts w:hint="default" w:ascii="Times New Roman" w:hAnsi="Times New Roman" w:cs="Times New Roman" w:eastAsiaTheme="minorEastAsia"/>
                      <w:color w:val="000000" w:themeColor="text1"/>
                      <w:sz w:val="21"/>
                      <w:szCs w:val="21"/>
                      <w14:textFill>
                        <w14:solidFill>
                          <w14:schemeClr w14:val="tx1"/>
                        </w14:solidFill>
                      </w14:textFill>
                    </w:rPr>
                    <w:t>有机废气</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经</w:t>
                  </w:r>
                  <w:r>
                    <w:rPr>
                      <w:rFonts w:hint="default" w:ascii="Times New Roman" w:hAnsi="Times New Roman" w:cs="Times New Roman" w:eastAsiaTheme="minorEastAsia"/>
                      <w:color w:val="000000" w:themeColor="text1"/>
                      <w:sz w:val="21"/>
                      <w:szCs w:val="21"/>
                      <w14:textFill>
                        <w14:solidFill>
                          <w14:schemeClr w14:val="tx1"/>
                        </w14:solidFill>
                      </w14:textFill>
                    </w:rPr>
                    <w:t>集气罩收集后，通过</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两级活性炭吸附装置</w:t>
                  </w:r>
                  <w:r>
                    <w:rPr>
                      <w:rFonts w:hint="default" w:ascii="Times New Roman" w:hAnsi="Times New Roman" w:cs="Times New Roman" w:eastAsiaTheme="minorEastAsia"/>
                      <w:color w:val="000000" w:themeColor="text1"/>
                      <w:sz w:val="21"/>
                      <w:szCs w:val="21"/>
                      <w14:textFill>
                        <w14:solidFill>
                          <w14:schemeClr w14:val="tx1"/>
                        </w14:solidFill>
                      </w14:textFill>
                    </w:rPr>
                    <w:t>吸附处理后</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通过</w:t>
                  </w:r>
                  <w:r>
                    <w:rPr>
                      <w:rFonts w:hint="eastAsia" w:cs="Times New Roman" w:eastAsiaTheme="minorEastAsia"/>
                      <w:color w:val="000000" w:themeColor="text1"/>
                      <w:sz w:val="21"/>
                      <w:szCs w:val="21"/>
                      <w:lang w:val="en-US" w:eastAsia="zh-CN"/>
                      <w14:textFill>
                        <w14:solidFill>
                          <w14:schemeClr w14:val="tx1"/>
                        </w14:solidFill>
                      </w14:textFill>
                    </w:rPr>
                    <w:t>1根15m排气筒DA002</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DA00</w:t>
                  </w:r>
                  <w:r>
                    <w:rPr>
                      <w:rFonts w:hint="eastAsia" w:cs="Times New Roman" w:eastAsiaTheme="minorEastAsia"/>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排放。</w:t>
                  </w:r>
                </w:p>
              </w:tc>
              <w:tc>
                <w:tcPr>
                  <w:tcW w:w="418" w:type="pct"/>
                  <w:vAlign w:val="center"/>
                </w:tcPr>
                <w:p w14:paraId="164A4CDF">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符合</w:t>
                  </w:r>
                </w:p>
              </w:tc>
            </w:tr>
            <w:tr w14:paraId="4A64F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528" w:type="pct"/>
                  <w:vAlign w:val="center"/>
                </w:tcPr>
                <w:p w14:paraId="539CAD23">
                  <w:pPr>
                    <w:keepNext w:val="0"/>
                    <w:keepLines w:val="0"/>
                    <w:pageBreakBefore w:val="0"/>
                    <w:tabs>
                      <w:tab w:val="left" w:pos="4830"/>
                    </w:tabs>
                    <w:kinsoku/>
                    <w:wordWrap/>
                    <w:overflowPunct/>
                    <w:topLinePunct w:val="0"/>
                    <w:bidi w:val="0"/>
                    <w:adjustRightInd/>
                    <w:snapToGrid/>
                    <w:spacing w:line="240" w:lineRule="auto"/>
                    <w:ind w:firstLine="0" w:firstLineChars="0"/>
                    <w:jc w:val="both"/>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有机聚合物产品用于制品生产的过程，在混合/混炼、塑炼/塑化/熔化、加工成型（挤出、注射、压制、压延、发泡、纺丝等）等作业中应采用密闭设备或在密闭空间内操作，废气应排至 VOCs 废气收集处理系统；无法密闭的，应采取局部气体收集措施，废气应排至 VOCs 废气收集处理系统。</w:t>
                  </w:r>
                </w:p>
              </w:tc>
              <w:tc>
                <w:tcPr>
                  <w:tcW w:w="2052" w:type="pct"/>
                  <w:shd w:val="clear" w:color="auto" w:fill="auto"/>
                  <w:vAlign w:val="center"/>
                </w:tcPr>
                <w:p w14:paraId="469DB7D4">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本项目</w:t>
                  </w:r>
                  <w:r>
                    <w:rPr>
                      <w:rFonts w:hint="eastAsia" w:cs="Times New Roman" w:eastAsiaTheme="minorEastAsia"/>
                      <w:color w:val="000000" w:themeColor="text1"/>
                      <w:sz w:val="21"/>
                      <w:szCs w:val="21"/>
                      <w:lang w:eastAsia="zh-CN"/>
                      <w14:textFill>
                        <w14:solidFill>
                          <w14:schemeClr w14:val="tx1"/>
                        </w14:solidFill>
                      </w14:textFill>
                    </w:rPr>
                    <w:t>新增集气罩以及“两级活性炭吸附装置”，发泡、成型工序</w:t>
                  </w:r>
                  <w:r>
                    <w:rPr>
                      <w:rFonts w:hint="default" w:ascii="Times New Roman" w:hAnsi="Times New Roman" w:cs="Times New Roman" w:eastAsiaTheme="minorEastAsia"/>
                      <w:color w:val="000000" w:themeColor="text1"/>
                      <w:sz w:val="21"/>
                      <w:szCs w:val="21"/>
                      <w14:textFill>
                        <w14:solidFill>
                          <w14:schemeClr w14:val="tx1"/>
                        </w14:solidFill>
                      </w14:textFill>
                    </w:rPr>
                    <w:t>有机废气</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经</w:t>
                  </w:r>
                  <w:r>
                    <w:rPr>
                      <w:rFonts w:hint="default" w:ascii="Times New Roman" w:hAnsi="Times New Roman" w:cs="Times New Roman" w:eastAsiaTheme="minorEastAsia"/>
                      <w:color w:val="000000" w:themeColor="text1"/>
                      <w:sz w:val="21"/>
                      <w:szCs w:val="21"/>
                      <w14:textFill>
                        <w14:solidFill>
                          <w14:schemeClr w14:val="tx1"/>
                        </w14:solidFill>
                      </w14:textFill>
                    </w:rPr>
                    <w:t>集气罩收集后，通过</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两级活性炭吸附装置</w:t>
                  </w:r>
                  <w:r>
                    <w:rPr>
                      <w:rFonts w:hint="default" w:ascii="Times New Roman" w:hAnsi="Times New Roman" w:cs="Times New Roman" w:eastAsiaTheme="minorEastAsia"/>
                      <w:color w:val="000000" w:themeColor="text1"/>
                      <w:sz w:val="21"/>
                      <w:szCs w:val="21"/>
                      <w14:textFill>
                        <w14:solidFill>
                          <w14:schemeClr w14:val="tx1"/>
                        </w14:solidFill>
                      </w14:textFill>
                    </w:rPr>
                    <w:t>吸附处理后</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通过</w:t>
                  </w:r>
                  <w:r>
                    <w:rPr>
                      <w:rFonts w:hint="eastAsia" w:cs="Times New Roman" w:eastAsiaTheme="minorEastAsia"/>
                      <w:color w:val="000000" w:themeColor="text1"/>
                      <w:sz w:val="21"/>
                      <w:szCs w:val="21"/>
                      <w:lang w:val="en-US" w:eastAsia="zh-CN"/>
                      <w14:textFill>
                        <w14:solidFill>
                          <w14:schemeClr w14:val="tx1"/>
                        </w14:solidFill>
                      </w14:textFill>
                    </w:rPr>
                    <w:t>1根15m排气筒DA002</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DA00</w:t>
                  </w:r>
                  <w:r>
                    <w:rPr>
                      <w:rFonts w:hint="eastAsia" w:cs="Times New Roman" w:eastAsiaTheme="minorEastAsia"/>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排放。</w:t>
                  </w:r>
                </w:p>
              </w:tc>
              <w:tc>
                <w:tcPr>
                  <w:tcW w:w="418" w:type="pct"/>
                  <w:vAlign w:val="center"/>
                </w:tcPr>
                <w:p w14:paraId="64B44408">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符合</w:t>
                  </w:r>
                </w:p>
              </w:tc>
            </w:tr>
            <w:tr w14:paraId="7E448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528" w:type="pct"/>
                  <w:vAlign w:val="center"/>
                </w:tcPr>
                <w:p w14:paraId="69128461">
                  <w:pPr>
                    <w:keepNext w:val="0"/>
                    <w:keepLines w:val="0"/>
                    <w:pageBreakBefore w:val="0"/>
                    <w:tabs>
                      <w:tab w:val="left" w:pos="4830"/>
                    </w:tabs>
                    <w:kinsoku/>
                    <w:wordWrap/>
                    <w:overflowPunct/>
                    <w:topLinePunct w:val="0"/>
                    <w:bidi w:val="0"/>
                    <w:adjustRightInd/>
                    <w:snapToGrid/>
                    <w:spacing w:line="240" w:lineRule="auto"/>
                    <w:ind w:firstLine="0" w:firstLineChars="0"/>
                    <w:jc w:val="both"/>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企业应建立台账，记录含 VOCs 原辅材料和含VOCs产品的名称、使用量、回收量、废弃量、去向以及VOCs 含量等信息。台账保存期限不少于</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年。</w:t>
                  </w:r>
                </w:p>
              </w:tc>
              <w:tc>
                <w:tcPr>
                  <w:tcW w:w="2052" w:type="pct"/>
                  <w:vAlign w:val="center"/>
                </w:tcPr>
                <w:p w14:paraId="45A91844">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both"/>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企业将建立台账</w:t>
                  </w:r>
                  <w:r>
                    <w:rPr>
                      <w:rFonts w:hint="default" w:ascii="Times New Roman" w:hAnsi="Times New Roman" w:cs="Times New Roman" w:eastAsiaTheme="minorEastAsia"/>
                      <w:color w:val="000000" w:themeColor="text1"/>
                      <w:kern w:val="0"/>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记录内容包括</w:t>
                  </w:r>
                  <w:r>
                    <w:rPr>
                      <w:rFonts w:hint="default" w:ascii="Times New Roman" w:hAnsi="Times New Roman" w:cs="Times New Roman" w:eastAsiaTheme="minorEastAsia"/>
                      <w:color w:val="000000" w:themeColor="text1"/>
                      <w:sz w:val="21"/>
                      <w:szCs w:val="21"/>
                      <w14:textFill>
                        <w14:solidFill>
                          <w14:schemeClr w14:val="tx1"/>
                        </w14:solidFill>
                      </w14:textFill>
                    </w:rPr>
                    <w:t>VOCs原辅材料和含 VOCs产品的名称、使用量、回收量、废弃量、去向以及 VOCs 含量等信息</w:t>
                  </w:r>
                  <w:r>
                    <w:rPr>
                      <w:rFonts w:hint="default" w:ascii="Times New Roman" w:hAnsi="Times New Roman" w:cs="Times New Roman" w:eastAsiaTheme="minorEastAsia"/>
                      <w:color w:val="000000" w:themeColor="text1"/>
                      <w:kern w:val="0"/>
                      <w:sz w:val="21"/>
                      <w:szCs w:val="21"/>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台账保存期限不少于</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1"/>
                      <w:szCs w:val="21"/>
                      <w14:textFill>
                        <w14:solidFill>
                          <w14:schemeClr w14:val="tx1"/>
                        </w14:solidFill>
                      </w14:textFill>
                    </w:rPr>
                    <w:t>年。</w:t>
                  </w:r>
                </w:p>
              </w:tc>
              <w:tc>
                <w:tcPr>
                  <w:tcW w:w="418" w:type="pct"/>
                  <w:vAlign w:val="center"/>
                </w:tcPr>
                <w:p w14:paraId="1B345534">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符合</w:t>
                  </w:r>
                </w:p>
              </w:tc>
            </w:tr>
            <w:tr w14:paraId="0CECD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5000" w:type="pct"/>
                  <w:gridSpan w:val="3"/>
                  <w:vAlign w:val="center"/>
                </w:tcPr>
                <w:p w14:paraId="479DC120">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VOCs 无组织排放废气收集处理系统要求</w:t>
                  </w:r>
                </w:p>
              </w:tc>
            </w:tr>
            <w:tr w14:paraId="40645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528" w:type="pct"/>
                  <w:vAlign w:val="center"/>
                </w:tcPr>
                <w:p w14:paraId="1D0E28E3">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VOCs 废气收集处理系统应与生产工艺设备同步运行。</w:t>
                  </w:r>
                </w:p>
              </w:tc>
              <w:tc>
                <w:tcPr>
                  <w:tcW w:w="2052" w:type="pct"/>
                  <w:vAlign w:val="center"/>
                </w:tcPr>
                <w:p w14:paraId="12A3874D">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both"/>
                    <w:textAlignment w:val="auto"/>
                    <w:rPr>
                      <w:rFonts w:hint="default" w:ascii="Times New Roman" w:hAnsi="Times New Roman" w:cs="Times New Roman" w:eastAsiaTheme="minorEastAsia"/>
                      <w:color w:val="000000" w:themeColor="text1"/>
                      <w:kern w:val="0"/>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根据</w:t>
                  </w:r>
                  <w:r>
                    <w:rPr>
                      <w:rFonts w:hint="eastAsia" w:cs="Times New Roman" w:eastAsiaTheme="minorEastAsia"/>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三同时</w:t>
                  </w:r>
                  <w:r>
                    <w:rPr>
                      <w:rFonts w:hint="eastAsia" w:cs="Times New Roman" w:eastAsiaTheme="minorEastAsia"/>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，本项目</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环保设施与</w:t>
                  </w:r>
                  <w:r>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建设</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内容同时设计、同时建设、同时投入运营；项目生产运行时废气治理设施需建设完成并正常运行</w:t>
                  </w:r>
                  <w:r>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p>
              </w:tc>
              <w:tc>
                <w:tcPr>
                  <w:tcW w:w="418" w:type="pct"/>
                  <w:vAlign w:val="center"/>
                </w:tcPr>
                <w:p w14:paraId="140A9F60">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符合</w:t>
                  </w:r>
                </w:p>
              </w:tc>
            </w:tr>
            <w:tr w14:paraId="59304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528" w:type="pct"/>
                  <w:vAlign w:val="center"/>
                </w:tcPr>
                <w:p w14:paraId="0FD969B3">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VOCs 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2052" w:type="pct"/>
                  <w:vAlign w:val="center"/>
                </w:tcPr>
                <w:p w14:paraId="6BA255ED">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项目建成并投入运营后，公司建立和完善的相关检维修制度，针对 VOCs 废气收集处理系统发生故障或检修时，明确对应的生产工艺设备应停止运行，待检修完毕后同步投入使用；生产工艺设备不能停止运行或不能及时停止运行的，应设置废气应急处理设施或采取其他替代措施。</w:t>
                  </w:r>
                </w:p>
              </w:tc>
              <w:tc>
                <w:tcPr>
                  <w:tcW w:w="418" w:type="pct"/>
                  <w:vAlign w:val="center"/>
                </w:tcPr>
                <w:p w14:paraId="3D4DDFF9">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符合</w:t>
                  </w:r>
                </w:p>
              </w:tc>
            </w:tr>
            <w:tr w14:paraId="46A3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528" w:type="pct"/>
                  <w:vAlign w:val="center"/>
                </w:tcPr>
                <w:p w14:paraId="3D088BF5">
                  <w:pPr>
                    <w:keepNext w:val="0"/>
                    <w:keepLines w:val="0"/>
                    <w:pageBreakBefore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企业应考虑生产工艺、操作方式、废气性质、处理方法等因素，对VOCs废气进行分类收集。</w:t>
                  </w:r>
                </w:p>
              </w:tc>
              <w:tc>
                <w:tcPr>
                  <w:tcW w:w="2052" w:type="pct"/>
                  <w:vAlign w:val="center"/>
                </w:tcPr>
                <w:p w14:paraId="4BA51CEA">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本项目</w:t>
                  </w:r>
                  <w:r>
                    <w:rPr>
                      <w:rFonts w:hint="eastAsia" w:cs="Times New Roman" w:eastAsiaTheme="minorEastAsia"/>
                      <w:color w:val="000000" w:themeColor="text1"/>
                      <w:sz w:val="21"/>
                      <w:szCs w:val="21"/>
                      <w:lang w:eastAsia="zh-CN"/>
                      <w14:textFill>
                        <w14:solidFill>
                          <w14:schemeClr w14:val="tx1"/>
                        </w14:solidFill>
                      </w14:textFill>
                    </w:rPr>
                    <w:t>新增集气罩以及“两级活性炭吸附装置”，发泡、成型工序</w:t>
                  </w:r>
                  <w:r>
                    <w:rPr>
                      <w:rFonts w:hint="default" w:ascii="Times New Roman" w:hAnsi="Times New Roman" w:cs="Times New Roman" w:eastAsiaTheme="minorEastAsia"/>
                      <w:color w:val="000000" w:themeColor="text1"/>
                      <w:sz w:val="21"/>
                      <w:szCs w:val="21"/>
                      <w14:textFill>
                        <w14:solidFill>
                          <w14:schemeClr w14:val="tx1"/>
                        </w14:solidFill>
                      </w14:textFill>
                    </w:rPr>
                    <w:t>有机废气</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经</w:t>
                  </w:r>
                  <w:r>
                    <w:rPr>
                      <w:rFonts w:hint="default" w:ascii="Times New Roman" w:hAnsi="Times New Roman" w:cs="Times New Roman" w:eastAsiaTheme="minorEastAsia"/>
                      <w:color w:val="000000" w:themeColor="text1"/>
                      <w:sz w:val="21"/>
                      <w:szCs w:val="21"/>
                      <w14:textFill>
                        <w14:solidFill>
                          <w14:schemeClr w14:val="tx1"/>
                        </w14:solidFill>
                      </w14:textFill>
                    </w:rPr>
                    <w:t>集气罩收集后，通过</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两级活性炭吸附装置</w:t>
                  </w:r>
                  <w:r>
                    <w:rPr>
                      <w:rFonts w:hint="default" w:ascii="Times New Roman" w:hAnsi="Times New Roman" w:cs="Times New Roman" w:eastAsiaTheme="minorEastAsia"/>
                      <w:color w:val="000000" w:themeColor="text1"/>
                      <w:sz w:val="21"/>
                      <w:szCs w:val="21"/>
                      <w14:textFill>
                        <w14:solidFill>
                          <w14:schemeClr w14:val="tx1"/>
                        </w14:solidFill>
                      </w14:textFill>
                    </w:rPr>
                    <w:t>吸附处理后</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通过</w:t>
                  </w:r>
                  <w:r>
                    <w:rPr>
                      <w:rFonts w:hint="eastAsia" w:cs="Times New Roman" w:eastAsiaTheme="minorEastAsia"/>
                      <w:color w:val="000000" w:themeColor="text1"/>
                      <w:sz w:val="21"/>
                      <w:szCs w:val="21"/>
                      <w:lang w:val="en-US" w:eastAsia="zh-CN"/>
                      <w14:textFill>
                        <w14:solidFill>
                          <w14:schemeClr w14:val="tx1"/>
                        </w14:solidFill>
                      </w14:textFill>
                    </w:rPr>
                    <w:t>1根15m排气筒DA002</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DA00</w:t>
                  </w:r>
                  <w:r>
                    <w:rPr>
                      <w:rFonts w:hint="eastAsia" w:cs="Times New Roman" w:eastAsiaTheme="minorEastAsia"/>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排放。</w:t>
                  </w:r>
                </w:p>
              </w:tc>
              <w:tc>
                <w:tcPr>
                  <w:tcW w:w="418" w:type="pct"/>
                  <w:vAlign w:val="center"/>
                </w:tcPr>
                <w:p w14:paraId="242C49B5">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符合</w:t>
                  </w:r>
                </w:p>
              </w:tc>
            </w:tr>
            <w:tr w14:paraId="5945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528" w:type="pct"/>
                  <w:vAlign w:val="center"/>
                </w:tcPr>
                <w:p w14:paraId="3D0241DD">
                  <w:pPr>
                    <w:keepNext w:val="0"/>
                    <w:keepLines w:val="0"/>
                    <w:pageBreakBefore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VOCs废气收集处理系统污染物排放应符合GB16297或相关行业排放标准的规定。</w:t>
                  </w:r>
                </w:p>
              </w:tc>
              <w:tc>
                <w:tcPr>
                  <w:tcW w:w="2052" w:type="pct"/>
                  <w:vAlign w:val="center"/>
                </w:tcPr>
                <w:p w14:paraId="6A14EE3A">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本项目有机废气</w:t>
                  </w:r>
                  <w:r>
                    <w:rPr>
                      <w:rFonts w:hint="default" w:ascii="Times New Roman" w:hAnsi="Times New Roman" w:cs="Times New Roman" w:eastAsiaTheme="minorEastAsia"/>
                      <w:color w:val="000000" w:themeColor="text1"/>
                      <w:kern w:val="0"/>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非甲烷总烃、苯乙烯、甲苯、乙苯</w:t>
                  </w:r>
                  <w:r>
                    <w:rPr>
                      <w:rFonts w:hint="default" w:ascii="Times New Roman" w:hAnsi="Times New Roman" w:cs="Times New Roman" w:eastAsiaTheme="minorEastAsia"/>
                      <w:color w:val="000000" w:themeColor="text1"/>
                      <w:kern w:val="0"/>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14:textFill>
                        <w14:solidFill>
                          <w14:schemeClr w14:val="tx1"/>
                        </w14:solidFill>
                      </w14:textFill>
                    </w:rPr>
                    <w:t>排放满足</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《合成树脂工业污染物排放标准》（GB31572-2015含2024年修改单）</w:t>
                  </w: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的</w:t>
                  </w:r>
                  <w:r>
                    <w:rPr>
                      <w:rFonts w:hint="default" w:ascii="Times New Roman" w:hAnsi="Times New Roman" w:cs="Times New Roman" w:eastAsiaTheme="minorEastAsia"/>
                      <w:color w:val="000000" w:themeColor="text1"/>
                      <w:kern w:val="0"/>
                      <w:sz w:val="21"/>
                      <w:szCs w:val="21"/>
                      <w14:textFill>
                        <w14:solidFill>
                          <w14:schemeClr w14:val="tx1"/>
                        </w14:solidFill>
                      </w14:textFill>
                    </w:rPr>
                    <w:t>标准要求</w:t>
                  </w:r>
                </w:p>
              </w:tc>
              <w:tc>
                <w:tcPr>
                  <w:tcW w:w="418" w:type="pct"/>
                  <w:vAlign w:val="center"/>
                </w:tcPr>
                <w:p w14:paraId="566550D9">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符合</w:t>
                  </w:r>
                </w:p>
              </w:tc>
            </w:tr>
            <w:tr w14:paraId="015D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28" w:type="pct"/>
                  <w:vAlign w:val="center"/>
                </w:tcPr>
                <w:p w14:paraId="78E256DE">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排气筒高度不低于15m（因安全考虑或有特殊工艺要求的除外），具体高度以及与周围建筑物的相对高度关系应根据环境影响评价文件确定。</w:t>
                  </w:r>
                </w:p>
              </w:tc>
              <w:tc>
                <w:tcPr>
                  <w:tcW w:w="2052" w:type="pct"/>
                  <w:vAlign w:val="center"/>
                </w:tcPr>
                <w:p w14:paraId="59A02ADD">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本项目</w:t>
                  </w:r>
                  <w:r>
                    <w:rPr>
                      <w:rFonts w:hint="eastAsia" w:cs="Times New Roman" w:eastAsiaTheme="minorEastAsia"/>
                      <w:color w:val="000000" w:themeColor="text1"/>
                      <w:sz w:val="21"/>
                      <w:szCs w:val="21"/>
                      <w:lang w:eastAsia="zh-CN"/>
                      <w14:textFill>
                        <w14:solidFill>
                          <w14:schemeClr w14:val="tx1"/>
                        </w14:solidFill>
                      </w14:textFill>
                    </w:rPr>
                    <w:t>新增集气罩以及“两级活性炭吸附装置”，发泡、成型工序</w:t>
                  </w:r>
                  <w:r>
                    <w:rPr>
                      <w:rFonts w:hint="default" w:ascii="Times New Roman" w:hAnsi="Times New Roman" w:cs="Times New Roman" w:eastAsiaTheme="minorEastAsia"/>
                      <w:color w:val="000000" w:themeColor="text1"/>
                      <w:sz w:val="21"/>
                      <w:szCs w:val="21"/>
                      <w14:textFill>
                        <w14:solidFill>
                          <w14:schemeClr w14:val="tx1"/>
                        </w14:solidFill>
                      </w14:textFill>
                    </w:rPr>
                    <w:t>有机废气</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经</w:t>
                  </w:r>
                  <w:r>
                    <w:rPr>
                      <w:rFonts w:hint="default" w:ascii="Times New Roman" w:hAnsi="Times New Roman" w:cs="Times New Roman" w:eastAsiaTheme="minorEastAsia"/>
                      <w:color w:val="000000" w:themeColor="text1"/>
                      <w:sz w:val="21"/>
                      <w:szCs w:val="21"/>
                      <w14:textFill>
                        <w14:solidFill>
                          <w14:schemeClr w14:val="tx1"/>
                        </w14:solidFill>
                      </w14:textFill>
                    </w:rPr>
                    <w:t>集气罩收集后，通过</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两级活性炭吸附装置</w:t>
                  </w:r>
                  <w:r>
                    <w:rPr>
                      <w:rFonts w:hint="default" w:ascii="Times New Roman" w:hAnsi="Times New Roman" w:cs="Times New Roman" w:eastAsiaTheme="minorEastAsia"/>
                      <w:color w:val="000000" w:themeColor="text1"/>
                      <w:sz w:val="21"/>
                      <w:szCs w:val="21"/>
                      <w14:textFill>
                        <w14:solidFill>
                          <w14:schemeClr w14:val="tx1"/>
                        </w14:solidFill>
                      </w14:textFill>
                    </w:rPr>
                    <w:t>吸附处理后</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通过</w:t>
                  </w:r>
                  <w:r>
                    <w:rPr>
                      <w:rFonts w:hint="eastAsia" w:cs="Times New Roman" w:eastAsiaTheme="minorEastAsia"/>
                      <w:color w:val="000000" w:themeColor="text1"/>
                      <w:sz w:val="21"/>
                      <w:szCs w:val="21"/>
                      <w:lang w:val="en-US" w:eastAsia="zh-CN"/>
                      <w14:textFill>
                        <w14:solidFill>
                          <w14:schemeClr w14:val="tx1"/>
                        </w14:solidFill>
                      </w14:textFill>
                    </w:rPr>
                    <w:t>1根15m排气筒DA002</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DA00</w:t>
                  </w:r>
                  <w:r>
                    <w:rPr>
                      <w:rFonts w:hint="eastAsia" w:cs="Times New Roman" w:eastAsiaTheme="minorEastAsia"/>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排放。</w:t>
                  </w:r>
                </w:p>
              </w:tc>
              <w:tc>
                <w:tcPr>
                  <w:tcW w:w="418" w:type="pct"/>
                  <w:vAlign w:val="center"/>
                </w:tcPr>
                <w:p w14:paraId="1B48BC1A">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14:paraId="3C191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528" w:type="pct"/>
                  <w:vAlign w:val="center"/>
                </w:tcPr>
                <w:p w14:paraId="61215DAF">
                  <w:pPr>
                    <w:keepNext w:val="0"/>
                    <w:keepLines w:val="0"/>
                    <w:pageBreakBefore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废气收集系统排风罩（集气罩）的设置应符合GB/T16758 的规定。采用外部排风罩的，应按 GB/T16758、AQ/T4274—2016规定的方法测量控制风速，测量点应选取在距排风罩开口面最远处的VOCs无组织排放位置，控制风速不应低于0.3m/s（行业相关规范有具体规定的，按相关规定执行）。</w:t>
                  </w:r>
                </w:p>
              </w:tc>
              <w:tc>
                <w:tcPr>
                  <w:tcW w:w="2052" w:type="pct"/>
                  <w:vAlign w:val="center"/>
                </w:tcPr>
                <w:p w14:paraId="590291FD">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both"/>
                    <w:textAlignment w:val="auto"/>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本项目</w:t>
                  </w:r>
                  <w:r>
                    <w:rPr>
                      <w:rFonts w:hint="eastAsia" w:cs="Times New Roman" w:eastAsiaTheme="minorEastAsia"/>
                      <w:color w:val="000000" w:themeColor="text1"/>
                      <w:sz w:val="21"/>
                      <w:szCs w:val="21"/>
                      <w:lang w:eastAsia="zh-CN"/>
                      <w14:textFill>
                        <w14:solidFill>
                          <w14:schemeClr w14:val="tx1"/>
                        </w14:solidFill>
                      </w14:textFill>
                    </w:rPr>
                    <w:t>新增集气罩以及“两级活性炭吸附装置”，发泡、成型工序</w:t>
                  </w:r>
                  <w:r>
                    <w:rPr>
                      <w:rFonts w:hint="default" w:ascii="Times New Roman" w:hAnsi="Times New Roman" w:cs="Times New Roman" w:eastAsiaTheme="minorEastAsia"/>
                      <w:color w:val="000000" w:themeColor="text1"/>
                      <w:sz w:val="21"/>
                      <w:szCs w:val="21"/>
                      <w14:textFill>
                        <w14:solidFill>
                          <w14:schemeClr w14:val="tx1"/>
                        </w14:solidFill>
                      </w14:textFill>
                    </w:rPr>
                    <w:t>有机废气</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经</w:t>
                  </w:r>
                  <w:r>
                    <w:rPr>
                      <w:rFonts w:hint="default" w:ascii="Times New Roman" w:hAnsi="Times New Roman" w:cs="Times New Roman" w:eastAsiaTheme="minorEastAsia"/>
                      <w:color w:val="000000" w:themeColor="text1"/>
                      <w:sz w:val="21"/>
                      <w:szCs w:val="21"/>
                      <w14:textFill>
                        <w14:solidFill>
                          <w14:schemeClr w14:val="tx1"/>
                        </w14:solidFill>
                      </w14:textFill>
                    </w:rPr>
                    <w:t>集气罩收集后，通过</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两级活性炭吸附装置</w:t>
                  </w:r>
                  <w:r>
                    <w:rPr>
                      <w:rFonts w:hint="default" w:ascii="Times New Roman" w:hAnsi="Times New Roman" w:cs="Times New Roman" w:eastAsiaTheme="minorEastAsia"/>
                      <w:color w:val="000000" w:themeColor="text1"/>
                      <w:sz w:val="21"/>
                      <w:szCs w:val="21"/>
                      <w14:textFill>
                        <w14:solidFill>
                          <w14:schemeClr w14:val="tx1"/>
                        </w14:solidFill>
                      </w14:textFill>
                    </w:rPr>
                    <w:t>吸附处理后</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通过</w:t>
                  </w:r>
                  <w:r>
                    <w:rPr>
                      <w:rFonts w:hint="eastAsia" w:cs="Times New Roman" w:eastAsiaTheme="minorEastAsia"/>
                      <w:color w:val="000000" w:themeColor="text1"/>
                      <w:sz w:val="21"/>
                      <w:szCs w:val="21"/>
                      <w:lang w:val="en-US" w:eastAsia="zh-CN"/>
                      <w14:textFill>
                        <w14:solidFill>
                          <w14:schemeClr w14:val="tx1"/>
                        </w14:solidFill>
                      </w14:textFill>
                    </w:rPr>
                    <w:t>1根15m排气筒DA002</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DA00</w:t>
                  </w:r>
                  <w:r>
                    <w:rPr>
                      <w:rFonts w:hint="eastAsia" w:cs="Times New Roman" w:eastAsiaTheme="minorEastAsia"/>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排放</w:t>
                  </w:r>
                  <w:r>
                    <w:rPr>
                      <w:rFonts w:hint="default" w:ascii="Times New Roman" w:hAnsi="Times New Roman" w:cs="Times New Roman" w:eastAsiaTheme="minorEastAsia"/>
                      <w:color w:val="000000" w:themeColor="text1"/>
                      <w:kern w:val="0"/>
                      <w:sz w:val="21"/>
                      <w:szCs w:val="21"/>
                      <w14:textFill>
                        <w14:solidFill>
                          <w14:schemeClr w14:val="tx1"/>
                        </w14:solidFill>
                      </w14:textFill>
                    </w:rPr>
                    <w:t>。</w:t>
                  </w:r>
                  <w:r>
                    <w:rPr>
                      <w:rFonts w:hint="default" w:ascii="Times New Roman" w:hAnsi="Times New Roman" w:cs="Times New Roman" w:eastAsiaTheme="minorEastAsia"/>
                      <w:color w:val="000000" w:themeColor="text1"/>
                      <w:kern w:val="0"/>
                      <w:sz w:val="21"/>
                      <w:szCs w:val="21"/>
                      <w:lang w:eastAsia="zh-CN"/>
                      <w14:textFill>
                        <w14:solidFill>
                          <w14:schemeClr w14:val="tx1"/>
                        </w14:solidFill>
                      </w14:textFill>
                    </w:rPr>
                    <w:t>本项目设置风速</w:t>
                  </w:r>
                  <w:r>
                    <w:rPr>
                      <w:rFonts w:hint="eastAsia" w:cs="Times New Roman" w:eastAsiaTheme="minorEastAsia"/>
                      <w:color w:val="000000" w:themeColor="text1"/>
                      <w:kern w:val="0"/>
                      <w:sz w:val="21"/>
                      <w:szCs w:val="21"/>
                      <w:lang w:eastAsia="zh-CN"/>
                      <w14:textFill>
                        <w14:solidFill>
                          <w14:schemeClr w14:val="tx1"/>
                        </w14:solidFill>
                      </w14:textFill>
                    </w:rPr>
                    <w:t>约</w:t>
                  </w:r>
                  <w:r>
                    <w:rPr>
                      <w:rFonts w:hint="default" w:ascii="Times New Roman" w:hAnsi="Times New Roman" w:cs="Times New Roman" w:eastAsiaTheme="minorEastAsia"/>
                      <w:color w:val="000000" w:themeColor="text1"/>
                      <w:kern w:val="0"/>
                      <w:sz w:val="21"/>
                      <w:szCs w:val="21"/>
                      <w:lang w:eastAsia="zh-CN"/>
                      <w14:textFill>
                        <w14:solidFill>
                          <w14:schemeClr w14:val="tx1"/>
                        </w14:solidFill>
                      </w14:textFill>
                    </w:rPr>
                    <w:t>为</w:t>
                  </w: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0.</w:t>
                  </w:r>
                  <w:r>
                    <w:rPr>
                      <w:rFonts w:hint="eastAsia" w:cs="Times New Roman" w:eastAsiaTheme="minorEastAsia"/>
                      <w:color w:val="000000" w:themeColor="text1"/>
                      <w:kern w:val="0"/>
                      <w:sz w:val="21"/>
                      <w:szCs w:val="21"/>
                      <w:lang w:val="en-US" w:eastAsia="zh-CN"/>
                      <w14:textFill>
                        <w14:solidFill>
                          <w14:schemeClr w14:val="tx1"/>
                        </w14:solidFill>
                      </w14:textFill>
                    </w:rPr>
                    <w:t>77</w:t>
                  </w: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m/s，满足相关要求</w:t>
                  </w:r>
                </w:p>
              </w:tc>
              <w:tc>
                <w:tcPr>
                  <w:tcW w:w="418" w:type="pct"/>
                  <w:vAlign w:val="center"/>
                </w:tcPr>
                <w:p w14:paraId="43052E4B">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bl>
          <w:p w14:paraId="6E225696">
            <w:pPr>
              <w:keepNext w:val="0"/>
              <w:pageBreakBefore w:val="0"/>
              <w:widowControl/>
              <w:tabs>
                <w:tab w:val="left" w:pos="4830"/>
              </w:tabs>
              <w:kinsoku/>
              <w:overflowPunct/>
              <w:bidi w:val="0"/>
              <w:spacing w:line="360" w:lineRule="auto"/>
              <w:ind w:firstLine="480" w:firstLineChars="200"/>
              <w:jc w:val="left"/>
              <w:rPr>
                <w:rFonts w:hint="eastAsia" w:ascii="Times New Roman" w:hAnsi="Times New Roman" w:cs="Times New Roman"/>
                <w:color w:val="000000" w:themeColor="text1"/>
                <w:kern w:val="0"/>
                <w:sz w:val="24"/>
                <w:lang w:val="en-US" w:eastAsia="zh-CN" w:bidi="ar"/>
                <w14:textFill>
                  <w14:solidFill>
                    <w14:schemeClr w14:val="tx1"/>
                  </w14:solidFill>
                </w14:textFill>
              </w:rPr>
            </w:pPr>
            <w:r>
              <w:rPr>
                <w:rFonts w:hint="eastAsia" w:ascii="Times New Roman" w:hAnsi="Times New Roman" w:cs="Times New Roman"/>
                <w:color w:val="000000" w:themeColor="text1"/>
                <w:kern w:val="0"/>
                <w:sz w:val="24"/>
                <w:lang w:val="en-US" w:eastAsia="zh-CN" w:bidi="ar"/>
                <w14:textFill>
                  <w14:solidFill>
                    <w14:schemeClr w14:val="tx1"/>
                  </w14:solidFill>
                </w14:textFill>
              </w:rPr>
              <w:t>综上所述，项目与《挥发性有机物无组织排放控制标准》（GB37822-2019）相符。</w:t>
            </w:r>
          </w:p>
          <w:p w14:paraId="6F76BF4F">
            <w:pPr>
              <w:keepNext w:val="0"/>
              <w:pageBreakBefore w:val="0"/>
              <w:widowControl/>
              <w:tabs>
                <w:tab w:val="left" w:pos="4830"/>
              </w:tabs>
              <w:kinsoku/>
              <w:overflowPunct/>
              <w:bidi w:val="0"/>
              <w:spacing w:line="360" w:lineRule="auto"/>
              <w:ind w:left="0" w:leftChars="0" w:firstLine="0" w:firstLineChars="0"/>
              <w:rPr>
                <w:rFonts w:hint="default" w:ascii="Times New Roman" w:hAnsi="Times New Roman" w:cs="Times New Roman"/>
                <w:b/>
                <w:bCs/>
                <w:color w:val="000000" w:themeColor="text1"/>
                <w:sz w:val="24"/>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10</w:t>
            </w:r>
            <w:r>
              <w:rPr>
                <w:rFonts w:hint="default" w:ascii="Times New Roman" w:hAnsi="Times New Roman" w:cs="Times New Roman"/>
                <w:b/>
                <w:bCs/>
                <w:color w:val="000000" w:themeColor="text1"/>
                <w:sz w:val="24"/>
                <w14:textFill>
                  <w14:solidFill>
                    <w14:schemeClr w14:val="tx1"/>
                  </w14:solidFill>
                </w14:textFill>
              </w:rPr>
              <w:t>、与《云南省重点行业挥发性有机物综合治理实施方案》</w:t>
            </w:r>
            <w:r>
              <w:rPr>
                <w:rFonts w:hint="default" w:ascii="Times New Roman" w:hAnsi="Times New Roman" w:cs="Times New Roman"/>
                <w:b/>
                <w:bCs/>
                <w:color w:val="000000" w:themeColor="text1"/>
                <w:kern w:val="0"/>
                <w:sz w:val="24"/>
                <w:lang w:bidi="ar"/>
                <w14:textFill>
                  <w14:solidFill>
                    <w14:schemeClr w14:val="tx1"/>
                  </w14:solidFill>
                </w14:textFill>
              </w:rPr>
              <w:t>（云环通〔2019〕125号）</w:t>
            </w:r>
            <w:r>
              <w:rPr>
                <w:rFonts w:hint="default" w:ascii="Times New Roman" w:hAnsi="Times New Roman" w:cs="Times New Roman"/>
                <w:b/>
                <w:bCs/>
                <w:color w:val="000000" w:themeColor="text1"/>
                <w:sz w:val="24"/>
                <w14:textFill>
                  <w14:solidFill>
                    <w14:schemeClr w14:val="tx1"/>
                  </w14:solidFill>
                </w14:textFill>
              </w:rPr>
              <w:t>的符合性分析</w:t>
            </w:r>
          </w:p>
          <w:p w14:paraId="41B526DD">
            <w:pPr>
              <w:keepNext w:val="0"/>
              <w:pageBreakBefore w:val="0"/>
              <w:widowControl/>
              <w:tabs>
                <w:tab w:val="left" w:pos="4830"/>
              </w:tabs>
              <w:kinsoku/>
              <w:overflowPunct/>
              <w:bidi w:val="0"/>
              <w:spacing w:line="360" w:lineRule="auto"/>
              <w:ind w:firstLine="480" w:firstLineChars="200"/>
              <w:jc w:val="left"/>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根据《云南省重点行业挥发性有机物综合治理实施方案》（云环通〔2019〕125号）中相关要求，项目符合性分析见下表。</w:t>
            </w:r>
          </w:p>
          <w:p w14:paraId="28F5D066">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w:t>
            </w:r>
            <w:r>
              <w:rPr>
                <w:rFonts w:hint="eastAsia" w:cs="Times New Roman"/>
                <w:b/>
                <w:bCs/>
                <w:color w:val="000000" w:themeColor="text1"/>
                <w:sz w:val="21"/>
                <w:szCs w:val="21"/>
                <w:lang w:val="en-US" w:eastAsia="zh-CN"/>
                <w14:textFill>
                  <w14:solidFill>
                    <w14:schemeClr w14:val="tx1"/>
                  </w14:solidFill>
                </w14:textFill>
              </w:rPr>
              <w:t>1-9  项目</w:t>
            </w:r>
            <w:r>
              <w:rPr>
                <w:rFonts w:hint="default" w:ascii="Times New Roman" w:hAnsi="Times New Roman" w:eastAsia="宋体" w:cs="Times New Roman"/>
                <w:b/>
                <w:bCs/>
                <w:color w:val="000000" w:themeColor="text1"/>
                <w:sz w:val="21"/>
                <w:szCs w:val="21"/>
                <w14:textFill>
                  <w14:solidFill>
                    <w14:schemeClr w14:val="tx1"/>
                  </w14:solidFill>
                </w14:textFill>
              </w:rPr>
              <w:t>与《云南省重点行业挥发性有机物综合治理实施方案》的符合性分析</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9"/>
              <w:gridCol w:w="2834"/>
              <w:gridCol w:w="730"/>
            </w:tblGrid>
            <w:tr w14:paraId="00EB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579" w:type="pct"/>
                  <w:vAlign w:val="center"/>
                </w:tcPr>
                <w:p w14:paraId="2A369440">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《云南省重点行业挥发性有机物综合治理实施方案》</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的相关内容</w:t>
                  </w:r>
                </w:p>
              </w:tc>
              <w:tc>
                <w:tcPr>
                  <w:tcW w:w="1924" w:type="pct"/>
                  <w:vAlign w:val="center"/>
                </w:tcPr>
                <w:p w14:paraId="631BDA74">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相符性分析</w:t>
                  </w:r>
                </w:p>
              </w:tc>
              <w:tc>
                <w:tcPr>
                  <w:tcW w:w="495" w:type="pct"/>
                  <w:vAlign w:val="center"/>
                </w:tcPr>
                <w:p w14:paraId="2EA8F007">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符合性</w:t>
                  </w:r>
                </w:p>
              </w:tc>
            </w:tr>
            <w:tr w14:paraId="0A791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8" w:hRule="atLeast"/>
                <w:jc w:val="center"/>
              </w:trPr>
              <w:tc>
                <w:tcPr>
                  <w:tcW w:w="2579" w:type="pct"/>
                  <w:vAlign w:val="center"/>
                </w:tcPr>
                <w:p w14:paraId="30D1E2A7">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一）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tc>
              <w:tc>
                <w:tcPr>
                  <w:tcW w:w="1924" w:type="pct"/>
                  <w:vAlign w:val="center"/>
                </w:tcPr>
                <w:p w14:paraId="535C8962">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lang w:eastAsia="zh-CN"/>
                      <w14:textFill>
                        <w14:solidFill>
                          <w14:schemeClr w14:val="tx1"/>
                        </w14:solidFill>
                      </w14:textFill>
                    </w:rPr>
                    <w:t>现有项目</w:t>
                  </w:r>
                  <w:r>
                    <w:rPr>
                      <w:rFonts w:hint="default" w:ascii="Times New Roman" w:hAnsi="Times New Roman" w:cs="Times New Roman" w:eastAsiaTheme="minorEastAsia"/>
                      <w:color w:val="000000" w:themeColor="text1"/>
                      <w:sz w:val="21"/>
                      <w:szCs w:val="21"/>
                      <w14:textFill>
                        <w14:solidFill>
                          <w14:schemeClr w14:val="tx1"/>
                        </w14:solidFill>
                      </w14:textFill>
                    </w:rPr>
                    <w:t>使用的原料是</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聚苯乙烯（属于低</w:t>
                  </w:r>
                  <w:r>
                    <w:rPr>
                      <w:rFonts w:hint="default" w:ascii="Times New Roman" w:hAnsi="Times New Roman" w:cs="Times New Roman" w:eastAsiaTheme="minorEastAsia"/>
                      <w:color w:val="000000" w:themeColor="text1"/>
                      <w:sz w:val="21"/>
                      <w:szCs w:val="21"/>
                      <w14:textFill>
                        <w14:solidFill>
                          <w14:schemeClr w14:val="tx1"/>
                        </w14:solidFill>
                      </w14:textFill>
                    </w:rPr>
                    <w:t>VOCs含量的</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物料）</w:t>
                  </w:r>
                  <w:r>
                    <w:rPr>
                      <w:rFonts w:hint="default" w:ascii="Times New Roman" w:hAnsi="Times New Roman" w:cs="Times New Roman" w:eastAsiaTheme="minorEastAsia"/>
                      <w:color w:val="000000" w:themeColor="text1"/>
                      <w:sz w:val="21"/>
                      <w:szCs w:val="21"/>
                      <w14:textFill>
                        <w14:solidFill>
                          <w14:schemeClr w14:val="tx1"/>
                        </w14:solidFill>
                      </w14:textFill>
                    </w:rPr>
                    <w:t>，不</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涉及使用</w:t>
                  </w:r>
                  <w:r>
                    <w:rPr>
                      <w:rFonts w:hint="default" w:ascii="Times New Roman" w:hAnsi="Times New Roman" w:cs="Times New Roman" w:eastAsiaTheme="minorEastAsia"/>
                      <w:color w:val="000000" w:themeColor="text1"/>
                      <w:sz w:val="21"/>
                      <w:szCs w:val="21"/>
                      <w14:textFill>
                        <w14:solidFill>
                          <w14:schemeClr w14:val="tx1"/>
                        </w14:solidFill>
                      </w14:textFill>
                    </w:rPr>
                    <w:t>水性、粉末、无溶剂、辐射固化等低VOCs含量的涂料，水性、辐射固化、植物基等低VOCs含量的油墨，水基、热熔、无溶剂、辐射固化、改性、生物降解等低VOCs含量的胶粘剂，以及低VOCs含量、低反应活性的清洗剂等</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替代</w:t>
                  </w:r>
                  <w:r>
                    <w:rPr>
                      <w:rFonts w:hint="default" w:ascii="Times New Roman" w:hAnsi="Times New Roman" w:cs="Times New Roman" w:eastAsiaTheme="minorEastAsia"/>
                      <w:color w:val="000000" w:themeColor="text1"/>
                      <w:sz w:val="21"/>
                      <w:szCs w:val="21"/>
                      <w14:textFill>
                        <w14:solidFill>
                          <w14:schemeClr w14:val="tx1"/>
                        </w14:solidFill>
                      </w14:textFill>
                    </w:rPr>
                    <w:t>溶剂型涂料、油墨、胶粘剂、清洗剂</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等</w:t>
                  </w: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495" w:type="pct"/>
                  <w:vAlign w:val="center"/>
                </w:tcPr>
                <w:p w14:paraId="05E11B2F">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符合</w:t>
                  </w:r>
                </w:p>
              </w:tc>
            </w:tr>
            <w:tr w14:paraId="6F3C7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2579" w:type="pct"/>
                  <w:vAlign w:val="center"/>
                </w:tcPr>
                <w:p w14:paraId="45ED16AE">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二）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924" w:type="pct"/>
                  <w:vAlign w:val="center"/>
                </w:tcPr>
                <w:p w14:paraId="58F81405">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本项目对含</w:t>
                  </w:r>
                  <w:r>
                    <w:rPr>
                      <w:rFonts w:hint="default" w:ascii="Times New Roman" w:hAnsi="Times New Roman" w:cs="Times New Roman" w:eastAsiaTheme="minorEastAsia"/>
                      <w:color w:val="000000" w:themeColor="text1"/>
                      <w:sz w:val="21"/>
                      <w:szCs w:val="21"/>
                      <w14:textFill>
                        <w14:solidFill>
                          <w14:schemeClr w14:val="tx1"/>
                        </w14:solidFill>
                      </w14:textFill>
                    </w:rPr>
                    <w:t>VOCs物料</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聚苯乙烯</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进行袋装收集，不涉及</w:t>
                  </w:r>
                  <w:r>
                    <w:rPr>
                      <w:rFonts w:hint="default" w:ascii="Times New Roman" w:hAnsi="Times New Roman" w:cs="Times New Roman" w:eastAsiaTheme="minorEastAsia"/>
                      <w:color w:val="000000" w:themeColor="text1"/>
                      <w:sz w:val="21"/>
                      <w:szCs w:val="21"/>
                      <w14:textFill>
                        <w14:solidFill>
                          <w14:schemeClr w14:val="tx1"/>
                        </w14:solidFill>
                      </w14:textFill>
                    </w:rPr>
                    <w:t>敞开液面逸散</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p>
                <w:p w14:paraId="6B8D634B">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本项目</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采取局部收集有机废气的措施，</w:t>
                  </w:r>
                  <w:r>
                    <w:rPr>
                      <w:rFonts w:hint="default" w:ascii="Times New Roman" w:hAnsi="Times New Roman" w:cs="Times New Roman" w:eastAsiaTheme="minorEastAsia"/>
                      <w:color w:val="000000" w:themeColor="text1"/>
                      <w:sz w:val="21"/>
                      <w:szCs w:val="21"/>
                      <w14:textFill>
                        <w14:solidFill>
                          <w14:schemeClr w14:val="tx1"/>
                        </w14:solidFill>
                      </w14:textFill>
                    </w:rPr>
                    <w:t>本项目</w:t>
                  </w:r>
                  <w:r>
                    <w:rPr>
                      <w:rFonts w:hint="eastAsia" w:cs="Times New Roman" w:eastAsiaTheme="minorEastAsia"/>
                      <w:color w:val="000000" w:themeColor="text1"/>
                      <w:sz w:val="21"/>
                      <w:szCs w:val="21"/>
                      <w:lang w:eastAsia="zh-CN"/>
                      <w14:textFill>
                        <w14:solidFill>
                          <w14:schemeClr w14:val="tx1"/>
                        </w14:solidFill>
                      </w14:textFill>
                    </w:rPr>
                    <w:t>新增集气罩以及“两级活性炭吸附装置”，发泡、成型工序</w:t>
                  </w:r>
                  <w:r>
                    <w:rPr>
                      <w:rFonts w:hint="default" w:ascii="Times New Roman" w:hAnsi="Times New Roman" w:cs="Times New Roman" w:eastAsiaTheme="minorEastAsia"/>
                      <w:color w:val="000000" w:themeColor="text1"/>
                      <w:sz w:val="21"/>
                      <w:szCs w:val="21"/>
                      <w14:textFill>
                        <w14:solidFill>
                          <w14:schemeClr w14:val="tx1"/>
                        </w14:solidFill>
                      </w14:textFill>
                    </w:rPr>
                    <w:t>有机废气</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经</w:t>
                  </w:r>
                  <w:r>
                    <w:rPr>
                      <w:rFonts w:hint="default" w:ascii="Times New Roman" w:hAnsi="Times New Roman" w:cs="Times New Roman" w:eastAsiaTheme="minorEastAsia"/>
                      <w:color w:val="000000" w:themeColor="text1"/>
                      <w:sz w:val="21"/>
                      <w:szCs w:val="21"/>
                      <w14:textFill>
                        <w14:solidFill>
                          <w14:schemeClr w14:val="tx1"/>
                        </w14:solidFill>
                      </w14:textFill>
                    </w:rPr>
                    <w:t>集气罩收集后，通过</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两级活性炭吸附装置</w:t>
                  </w:r>
                  <w:r>
                    <w:rPr>
                      <w:rFonts w:hint="default" w:ascii="Times New Roman" w:hAnsi="Times New Roman" w:cs="Times New Roman" w:eastAsiaTheme="minorEastAsia"/>
                      <w:color w:val="000000" w:themeColor="text1"/>
                      <w:sz w:val="21"/>
                      <w:szCs w:val="21"/>
                      <w14:textFill>
                        <w14:solidFill>
                          <w14:schemeClr w14:val="tx1"/>
                        </w14:solidFill>
                      </w14:textFill>
                    </w:rPr>
                    <w:t>吸附处理后</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通过</w:t>
                  </w:r>
                  <w:r>
                    <w:rPr>
                      <w:rFonts w:hint="eastAsia" w:cs="Times New Roman" w:eastAsiaTheme="minorEastAsia"/>
                      <w:color w:val="000000" w:themeColor="text1"/>
                      <w:sz w:val="21"/>
                      <w:szCs w:val="21"/>
                      <w:lang w:val="en-US" w:eastAsia="zh-CN"/>
                      <w14:textFill>
                        <w14:solidFill>
                          <w14:schemeClr w14:val="tx1"/>
                        </w14:solidFill>
                      </w14:textFill>
                    </w:rPr>
                    <w:t>1根15m排气筒DA002</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DA00</w:t>
                  </w:r>
                  <w:r>
                    <w:rPr>
                      <w:rFonts w:hint="eastAsia" w:cs="Times New Roman" w:eastAsiaTheme="minorEastAsia"/>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排放</w:t>
                  </w:r>
                </w:p>
              </w:tc>
              <w:tc>
                <w:tcPr>
                  <w:tcW w:w="495" w:type="pct"/>
                  <w:vAlign w:val="center"/>
                </w:tcPr>
                <w:p w14:paraId="0488D0A4">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14:paraId="6775C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8" w:hRule="atLeast"/>
                <w:jc w:val="center"/>
              </w:trPr>
              <w:tc>
                <w:tcPr>
                  <w:tcW w:w="2579" w:type="pct"/>
                  <w:vAlign w:val="center"/>
                </w:tcPr>
                <w:p w14:paraId="120D65C1">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三）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w:t>
                  </w:r>
                </w:p>
              </w:tc>
              <w:tc>
                <w:tcPr>
                  <w:tcW w:w="1924" w:type="pct"/>
                  <w:vAlign w:val="center"/>
                </w:tcPr>
                <w:p w14:paraId="690BFC16">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本项目</w:t>
                  </w:r>
                  <w:r>
                    <w:rPr>
                      <w:rFonts w:hint="eastAsia" w:cs="Times New Roman" w:eastAsiaTheme="minorEastAsia"/>
                      <w:color w:val="000000" w:themeColor="text1"/>
                      <w:sz w:val="21"/>
                      <w:szCs w:val="21"/>
                      <w:lang w:eastAsia="zh-CN"/>
                      <w14:textFill>
                        <w14:solidFill>
                          <w14:schemeClr w14:val="tx1"/>
                        </w14:solidFill>
                      </w14:textFill>
                    </w:rPr>
                    <w:t>新增集气罩以及“两级活性炭吸附装置”，发泡、成型工序</w:t>
                  </w:r>
                  <w:r>
                    <w:rPr>
                      <w:rFonts w:hint="default" w:ascii="Times New Roman" w:hAnsi="Times New Roman" w:cs="Times New Roman" w:eastAsiaTheme="minorEastAsia"/>
                      <w:color w:val="000000" w:themeColor="text1"/>
                      <w:sz w:val="21"/>
                      <w:szCs w:val="21"/>
                      <w14:textFill>
                        <w14:solidFill>
                          <w14:schemeClr w14:val="tx1"/>
                        </w14:solidFill>
                      </w14:textFill>
                    </w:rPr>
                    <w:t>有机废气</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经</w:t>
                  </w:r>
                  <w:r>
                    <w:rPr>
                      <w:rFonts w:hint="default" w:ascii="Times New Roman" w:hAnsi="Times New Roman" w:cs="Times New Roman" w:eastAsiaTheme="minorEastAsia"/>
                      <w:color w:val="000000" w:themeColor="text1"/>
                      <w:sz w:val="21"/>
                      <w:szCs w:val="21"/>
                      <w14:textFill>
                        <w14:solidFill>
                          <w14:schemeClr w14:val="tx1"/>
                        </w14:solidFill>
                      </w14:textFill>
                    </w:rPr>
                    <w:t>集气罩收集后，通过</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两级活性炭吸附装置</w:t>
                  </w:r>
                  <w:r>
                    <w:rPr>
                      <w:rFonts w:hint="default" w:ascii="Times New Roman" w:hAnsi="Times New Roman" w:cs="Times New Roman" w:eastAsiaTheme="minorEastAsia"/>
                      <w:color w:val="000000" w:themeColor="text1"/>
                      <w:sz w:val="21"/>
                      <w:szCs w:val="21"/>
                      <w14:textFill>
                        <w14:solidFill>
                          <w14:schemeClr w14:val="tx1"/>
                        </w14:solidFill>
                      </w14:textFill>
                    </w:rPr>
                    <w:t>吸附处理后</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通过</w:t>
                  </w:r>
                  <w:r>
                    <w:rPr>
                      <w:rFonts w:hint="eastAsia" w:cs="Times New Roman" w:eastAsiaTheme="minorEastAsia"/>
                      <w:color w:val="000000" w:themeColor="text1"/>
                      <w:sz w:val="21"/>
                      <w:szCs w:val="21"/>
                      <w:lang w:val="en-US" w:eastAsia="zh-CN"/>
                      <w14:textFill>
                        <w14:solidFill>
                          <w14:schemeClr w14:val="tx1"/>
                        </w14:solidFill>
                      </w14:textFill>
                    </w:rPr>
                    <w:t>1根15m排气筒DA002</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DA00</w:t>
                  </w:r>
                  <w:r>
                    <w:rPr>
                      <w:rFonts w:hint="eastAsia" w:cs="Times New Roman" w:eastAsiaTheme="minorEastAsia"/>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排放</w:t>
                  </w:r>
                </w:p>
              </w:tc>
              <w:tc>
                <w:tcPr>
                  <w:tcW w:w="495" w:type="pct"/>
                  <w:vAlign w:val="center"/>
                </w:tcPr>
                <w:p w14:paraId="2E8B87C3">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14:paraId="6391D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579" w:type="pct"/>
                  <w:vAlign w:val="center"/>
                </w:tcPr>
                <w:p w14:paraId="36A18BBC">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（四）</w:t>
                  </w:r>
                  <w:r>
                    <w:rPr>
                      <w:rFonts w:hint="default" w:ascii="Times New Roman" w:hAnsi="Times New Roman" w:cs="Times New Roman" w:eastAsiaTheme="minorEastAsia"/>
                      <w:color w:val="000000" w:themeColor="text1"/>
                      <w:sz w:val="21"/>
                      <w:szCs w:val="21"/>
                      <w14:textFill>
                        <w14:solidFill>
                          <w14:schemeClr w14:val="tx1"/>
                        </w14:solidFill>
                      </w14:textFill>
                    </w:rP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1924" w:type="pct"/>
                  <w:vAlign w:val="center"/>
                </w:tcPr>
                <w:p w14:paraId="3A9E064A">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lang w:val="en-US"/>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本项目</w:t>
                  </w:r>
                  <w:r>
                    <w:rPr>
                      <w:rFonts w:hint="eastAsia" w:cs="Times New Roman" w:eastAsiaTheme="minorEastAsia"/>
                      <w:color w:val="000000" w:themeColor="text1"/>
                      <w:sz w:val="21"/>
                      <w:szCs w:val="21"/>
                      <w:lang w:eastAsia="zh-CN"/>
                      <w14:textFill>
                        <w14:solidFill>
                          <w14:schemeClr w14:val="tx1"/>
                        </w14:solidFill>
                      </w14:textFill>
                    </w:rPr>
                    <w:t>新增集气罩以及“两级活性炭吸附装置”，发泡、成型工序</w:t>
                  </w:r>
                  <w:r>
                    <w:rPr>
                      <w:rFonts w:hint="default" w:ascii="Times New Roman" w:hAnsi="Times New Roman" w:cs="Times New Roman" w:eastAsiaTheme="minorEastAsia"/>
                      <w:color w:val="000000" w:themeColor="text1"/>
                      <w:sz w:val="21"/>
                      <w:szCs w:val="21"/>
                      <w14:textFill>
                        <w14:solidFill>
                          <w14:schemeClr w14:val="tx1"/>
                        </w14:solidFill>
                      </w14:textFill>
                    </w:rPr>
                    <w:t>有机废气</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经</w:t>
                  </w:r>
                  <w:r>
                    <w:rPr>
                      <w:rFonts w:hint="default" w:ascii="Times New Roman" w:hAnsi="Times New Roman" w:cs="Times New Roman" w:eastAsiaTheme="minorEastAsia"/>
                      <w:color w:val="000000" w:themeColor="text1"/>
                      <w:sz w:val="21"/>
                      <w:szCs w:val="21"/>
                      <w14:textFill>
                        <w14:solidFill>
                          <w14:schemeClr w14:val="tx1"/>
                        </w14:solidFill>
                      </w14:textFill>
                    </w:rPr>
                    <w:t>集气罩收集后，通过</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两级活性炭吸附装置</w:t>
                  </w:r>
                  <w:r>
                    <w:rPr>
                      <w:rFonts w:hint="default" w:ascii="Times New Roman" w:hAnsi="Times New Roman" w:cs="Times New Roman" w:eastAsiaTheme="minorEastAsia"/>
                      <w:color w:val="000000" w:themeColor="text1"/>
                      <w:sz w:val="21"/>
                      <w:szCs w:val="21"/>
                      <w14:textFill>
                        <w14:solidFill>
                          <w14:schemeClr w14:val="tx1"/>
                        </w14:solidFill>
                      </w14:textFill>
                    </w:rPr>
                    <w:t>吸附处理后</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通过</w:t>
                  </w:r>
                  <w:r>
                    <w:rPr>
                      <w:rFonts w:hint="eastAsia" w:cs="Times New Roman" w:eastAsiaTheme="minorEastAsia"/>
                      <w:color w:val="000000" w:themeColor="text1"/>
                      <w:sz w:val="21"/>
                      <w:szCs w:val="21"/>
                      <w:lang w:val="en-US" w:eastAsia="zh-CN"/>
                      <w14:textFill>
                        <w14:solidFill>
                          <w14:schemeClr w14:val="tx1"/>
                        </w14:solidFill>
                      </w14:textFill>
                    </w:rPr>
                    <w:t>1根15m排气筒DA002</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DA00</w:t>
                  </w:r>
                  <w:r>
                    <w:rPr>
                      <w:rFonts w:hint="eastAsia" w:cs="Times New Roman" w:eastAsiaTheme="minorEastAsia"/>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排放</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非甲烷总烃排</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放速率为0.0</w:t>
                  </w:r>
                  <w:r>
                    <w:rPr>
                      <w:rFonts w:hint="eastAsia" w:cs="Times New Roman" w:eastAsiaTheme="minorEastAsia"/>
                      <w:color w:val="000000" w:themeColor="text1"/>
                      <w:sz w:val="21"/>
                      <w:szCs w:val="21"/>
                      <w:lang w:val="en-US" w:eastAsia="zh-CN"/>
                      <w14:textFill>
                        <w14:solidFill>
                          <w14:schemeClr w14:val="tx1"/>
                        </w14:solidFill>
                      </w14:textFill>
                    </w:rPr>
                    <w:t>185</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kg/h小于3kg/h，</w:t>
                  </w:r>
                  <w:r>
                    <w:rPr>
                      <w:rFonts w:hint="default" w:ascii="Times New Roman" w:hAnsi="Times New Roman" w:cs="Times New Roman" w:eastAsiaTheme="minorEastAsia"/>
                      <w:color w:val="000000" w:themeColor="text1"/>
                      <w:sz w:val="21"/>
                      <w:szCs w:val="21"/>
                      <w14:textFill>
                        <w14:solidFill>
                          <w14:schemeClr w14:val="tx1"/>
                        </w14:solidFill>
                      </w14:textFill>
                    </w:rPr>
                    <w:t>采用</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的</w:t>
                  </w:r>
                  <w:r>
                    <w:rPr>
                      <w:rFonts w:hint="default" w:ascii="Times New Roman" w:hAnsi="Times New Roman" w:cs="Times New Roman" w:eastAsiaTheme="minorEastAsia"/>
                      <w:color w:val="000000" w:themeColor="text1"/>
                      <w:sz w:val="21"/>
                      <w:szCs w:val="21"/>
                      <w14:textFill>
                        <w14:solidFill>
                          <w14:schemeClr w14:val="tx1"/>
                        </w14:solidFill>
                      </w14:textFill>
                    </w:rPr>
                    <w:t>原辅材料</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聚苯乙烯</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为</w:t>
                  </w:r>
                  <w:r>
                    <w:rPr>
                      <w:rFonts w:hint="default" w:ascii="Times New Roman" w:hAnsi="Times New Roman" w:cs="Times New Roman" w:eastAsiaTheme="minorEastAsia"/>
                      <w:color w:val="000000" w:themeColor="text1"/>
                      <w:sz w:val="21"/>
                      <w:szCs w:val="21"/>
                      <w14:textFill>
                        <w14:solidFill>
                          <w14:schemeClr w14:val="tx1"/>
                        </w14:solidFill>
                      </w14:textFill>
                    </w:rPr>
                    <w:t>符合国家有关低VOCs含量</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的</w:t>
                  </w:r>
                  <w:r>
                    <w:rPr>
                      <w:rFonts w:hint="default" w:ascii="Times New Roman" w:hAnsi="Times New Roman" w:cs="Times New Roman" w:eastAsiaTheme="minorEastAsia"/>
                      <w:color w:val="000000" w:themeColor="text1"/>
                      <w:sz w:val="21"/>
                      <w:szCs w:val="21"/>
                      <w14:textFill>
                        <w14:solidFill>
                          <w14:schemeClr w14:val="tx1"/>
                        </w14:solidFill>
                      </w14:textFill>
                    </w:rPr>
                    <w:t>产品</w:t>
                  </w:r>
                </w:p>
              </w:tc>
              <w:tc>
                <w:tcPr>
                  <w:tcW w:w="495" w:type="pct"/>
                  <w:vAlign w:val="center"/>
                </w:tcPr>
                <w:p w14:paraId="49770785">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符合</w:t>
                  </w:r>
                </w:p>
              </w:tc>
            </w:tr>
          </w:tbl>
          <w:p w14:paraId="5CAF5741">
            <w:pPr>
              <w:keepNext w:val="0"/>
              <w:pageBreakBefore w:val="0"/>
              <w:tabs>
                <w:tab w:val="left" w:pos="4830"/>
              </w:tabs>
              <w:kinsoku/>
              <w:overflowPunct/>
              <w:bidi w:val="0"/>
              <w:spacing w:line="360" w:lineRule="auto"/>
              <w:ind w:firstLine="480" w:firstLineChars="200"/>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综上所述，项目与</w:t>
            </w:r>
            <w:r>
              <w:rPr>
                <w:rFonts w:hint="eastAsia" w:cs="Times New Roman"/>
                <w:color w:val="000000" w:themeColor="text1"/>
                <w:kern w:val="0"/>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云南省重点行业挥发性有机物综合治理实施方案》（云环通〔2019〕125号的相关内容相符。</w:t>
            </w:r>
          </w:p>
          <w:p w14:paraId="1A821863">
            <w:pPr>
              <w:pStyle w:val="32"/>
              <w:keepNext w:val="0"/>
              <w:pageBreakBefore w:val="0"/>
              <w:tabs>
                <w:tab w:val="left" w:pos="4830"/>
              </w:tabs>
              <w:kinsoku/>
              <w:overflowPunct/>
              <w:bidi w:val="0"/>
              <w:spacing w:after="0" w:line="360" w:lineRule="auto"/>
              <w:ind w:left="0" w:leftChars="0" w:firstLine="0" w:firstLineChars="0"/>
              <w:rPr>
                <w:rFonts w:hint="default" w:ascii="Times New Roman" w:hAnsi="Times New Roman" w:cs="Times New Roman"/>
                <w:b/>
                <w:bCs/>
                <w:color w:val="000000" w:themeColor="text1"/>
                <w:sz w:val="24"/>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11、</w:t>
            </w:r>
            <w:r>
              <w:rPr>
                <w:rFonts w:hint="default" w:ascii="Times New Roman" w:hAnsi="Times New Roman" w:cs="Times New Roman"/>
                <w:b/>
                <w:bCs/>
                <w:color w:val="000000" w:themeColor="text1"/>
                <w:sz w:val="24"/>
                <w14:textFill>
                  <w14:solidFill>
                    <w14:schemeClr w14:val="tx1"/>
                  </w14:solidFill>
                </w14:textFill>
              </w:rPr>
              <w:t>项目与《关于印发＜2020年挥发性有机物治理攻坚方案＞的通知》符合性分析</w:t>
            </w:r>
          </w:p>
          <w:p w14:paraId="0ECE387A">
            <w:pPr>
              <w:keepNext w:val="0"/>
              <w:pageBreakBefore w:val="0"/>
              <w:tabs>
                <w:tab w:val="left" w:pos="4830"/>
              </w:tabs>
              <w:kinsoku/>
              <w:overflowPunct/>
              <w:bidi w:val="0"/>
              <w:spacing w:line="360" w:lineRule="auto"/>
              <w:ind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本项目与《2020年挥发性有机物治理攻坚方案》相符性分析详见下表：</w:t>
            </w:r>
          </w:p>
          <w:p w14:paraId="6A05318A">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000000" w:themeColor="text1"/>
                <w:sz w:val="21"/>
                <w:szCs w:val="18"/>
                <w14:textFill>
                  <w14:solidFill>
                    <w14:schemeClr w14:val="tx1"/>
                  </w14:solidFill>
                </w14:textFill>
              </w:rPr>
            </w:pPr>
            <w:r>
              <w:rPr>
                <w:rFonts w:hint="default" w:ascii="Times New Roman" w:hAnsi="Times New Roman" w:cs="Times New Roman"/>
                <w:b/>
                <w:bCs/>
                <w:color w:val="000000" w:themeColor="text1"/>
                <w:sz w:val="21"/>
                <w:szCs w:val="18"/>
                <w14:textFill>
                  <w14:solidFill>
                    <w14:schemeClr w14:val="tx1"/>
                  </w14:solidFill>
                </w14:textFill>
              </w:rPr>
              <w:t>表</w:t>
            </w:r>
            <w:r>
              <w:rPr>
                <w:rFonts w:hint="eastAsia" w:cs="Times New Roman"/>
                <w:b/>
                <w:bCs/>
                <w:color w:val="000000" w:themeColor="text1"/>
                <w:sz w:val="21"/>
                <w:szCs w:val="18"/>
                <w:lang w:val="en-US" w:eastAsia="zh-CN"/>
                <w14:textFill>
                  <w14:solidFill>
                    <w14:schemeClr w14:val="tx1"/>
                  </w14:solidFill>
                </w14:textFill>
              </w:rPr>
              <w:t xml:space="preserve">1-10  </w:t>
            </w:r>
            <w:r>
              <w:rPr>
                <w:rFonts w:hint="default" w:ascii="Times New Roman" w:hAnsi="Times New Roman" w:cs="Times New Roman"/>
                <w:b/>
                <w:bCs/>
                <w:color w:val="000000" w:themeColor="text1"/>
                <w:sz w:val="21"/>
                <w:szCs w:val="18"/>
                <w14:textFill>
                  <w14:solidFill>
                    <w14:schemeClr w14:val="tx1"/>
                  </w14:solidFill>
                </w14:textFill>
              </w:rPr>
              <w:t>与《2020年挥发性有机物治理攻坚方案》符合性分析表</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7"/>
              <w:gridCol w:w="2520"/>
              <w:gridCol w:w="903"/>
            </w:tblGrid>
            <w:tr w14:paraId="6FA30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674" w:type="pct"/>
                  <w:vAlign w:val="center"/>
                </w:tcPr>
                <w:p w14:paraId="09BB0546">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2020年挥发性有机物治理攻坚方案</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相关内容</w:t>
                  </w:r>
                </w:p>
              </w:tc>
              <w:tc>
                <w:tcPr>
                  <w:tcW w:w="1712" w:type="pct"/>
                  <w:vAlign w:val="center"/>
                </w:tcPr>
                <w:p w14:paraId="130057E4">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相符性分析</w:t>
                  </w:r>
                </w:p>
              </w:tc>
              <w:tc>
                <w:tcPr>
                  <w:tcW w:w="613" w:type="pct"/>
                  <w:vAlign w:val="center"/>
                </w:tcPr>
                <w:p w14:paraId="47C66A94">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符合性</w:t>
                  </w:r>
                </w:p>
              </w:tc>
            </w:tr>
            <w:tr w14:paraId="4691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674" w:type="pct"/>
                  <w:vAlign w:val="center"/>
                </w:tcPr>
                <w:p w14:paraId="528C1CA3">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大力推进低（无）VOCs含量原辅材料替代。将全面使用符合国家要求的低VOCs含量原辅材料的企业纳入正面清单和政府绿色采购清单。企业应建立原辅材料台账，记录VOCs原辅材料名称、成分、VOCs含量、采购量、使用量、库存量、回收方式、回收量等信息，并保存相关证明材料。采用符合国家有关低VOCs含量产品规定的涂料、油墨、胶粘剂等，排放浓度稳定达标且排放速率满足相关规定的，相应生产工序可不要求建设末端治理设施。使用的原辅材料VOCs含量（质量比）均低于10%的工序，可不要求采取无组织排放收集和处理措施。</w:t>
                  </w:r>
                </w:p>
              </w:tc>
              <w:tc>
                <w:tcPr>
                  <w:tcW w:w="1712" w:type="pct"/>
                  <w:vAlign w:val="center"/>
                </w:tcPr>
                <w:p w14:paraId="45548FF7">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现有项目</w:t>
                  </w:r>
                  <w:r>
                    <w:rPr>
                      <w:rFonts w:hint="default" w:ascii="Times New Roman" w:hAnsi="Times New Roman" w:eastAsia="宋体" w:cs="Times New Roman"/>
                      <w:color w:val="000000" w:themeColor="text1"/>
                      <w:sz w:val="21"/>
                      <w:szCs w:val="21"/>
                      <w14:textFill>
                        <w14:solidFill>
                          <w14:schemeClr w14:val="tx1"/>
                        </w14:solidFill>
                      </w14:textFill>
                    </w:rPr>
                    <w:t>使用的原料是</w:t>
                  </w:r>
                  <w:r>
                    <w:rPr>
                      <w:rFonts w:hint="eastAsia" w:cs="Times New Roman"/>
                      <w:color w:val="000000" w:themeColor="text1"/>
                      <w:sz w:val="21"/>
                      <w:szCs w:val="21"/>
                      <w:lang w:val="en-US" w:eastAsia="zh-CN"/>
                      <w14:textFill>
                        <w14:solidFill>
                          <w14:schemeClr w14:val="tx1"/>
                        </w14:solidFill>
                      </w14:textFill>
                    </w:rPr>
                    <w:t>聚苯乙烯</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属于低</w:t>
                  </w:r>
                  <w:r>
                    <w:rPr>
                      <w:rFonts w:hint="default" w:ascii="Times New Roman" w:hAnsi="Times New Roman" w:eastAsia="宋体" w:cs="Times New Roman"/>
                      <w:color w:val="000000" w:themeColor="text1"/>
                      <w:sz w:val="21"/>
                      <w:szCs w:val="21"/>
                      <w14:textFill>
                        <w14:solidFill>
                          <w14:schemeClr w14:val="tx1"/>
                        </w14:solidFill>
                      </w14:textFill>
                    </w:rPr>
                    <w:t>VOCs含量</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的</w:t>
                  </w:r>
                  <w:r>
                    <w:rPr>
                      <w:rFonts w:hint="default" w:ascii="Times New Roman" w:hAnsi="Times New Roman" w:eastAsia="宋体" w:cs="Times New Roman"/>
                      <w:color w:val="000000" w:themeColor="text1"/>
                      <w:sz w:val="21"/>
                      <w:szCs w:val="21"/>
                      <w14:textFill>
                        <w14:solidFill>
                          <w14:schemeClr w14:val="tx1"/>
                        </w14:solidFill>
                      </w14:textFill>
                    </w:rPr>
                    <w:t>原辅材料</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建设单位应</w:t>
                  </w:r>
                  <w:r>
                    <w:rPr>
                      <w:rFonts w:hint="default" w:ascii="Times New Roman" w:hAnsi="Times New Roman" w:eastAsia="宋体" w:cs="Times New Roman"/>
                      <w:color w:val="000000" w:themeColor="text1"/>
                      <w:sz w:val="21"/>
                      <w:szCs w:val="21"/>
                      <w14:textFill>
                        <w14:solidFill>
                          <w14:schemeClr w14:val="tx1"/>
                        </w14:solidFill>
                      </w14:textFill>
                    </w:rPr>
                    <w:t>建立原辅材料台账，记录VOCs原辅材料名称、成分、VOCs含量、采购量、使用量、库存量、回收方式、回收量等信息，并保存相关证明材料</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p w14:paraId="7681DAC4">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本项目使用的原辅材料</w:t>
                  </w:r>
                  <w:r>
                    <w:rPr>
                      <w:rFonts w:hint="default" w:ascii="Times New Roman" w:hAnsi="Times New Roman" w:eastAsia="宋体" w:cs="Times New Roman"/>
                      <w:color w:val="000000" w:themeColor="text1"/>
                      <w:sz w:val="21"/>
                      <w:szCs w:val="21"/>
                      <w14:textFill>
                        <w14:solidFill>
                          <w14:schemeClr w14:val="tx1"/>
                        </w14:solidFill>
                      </w14:textFill>
                    </w:rPr>
                    <w:t>不属于各种涂料、油墨、胶粘剂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等</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613" w:type="pct"/>
                  <w:vAlign w:val="center"/>
                </w:tcPr>
                <w:p w14:paraId="6D57CB85">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25E09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674" w:type="pct"/>
                  <w:vAlign w:val="center"/>
                </w:tcPr>
                <w:p w14:paraId="1F36E9DF">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 xml:space="preserve"> 企业在无组织排放排查整治过程中，在保证安全的前提下，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不得随意丢弃，交有资质的单位处置。</w:t>
                  </w:r>
                </w:p>
              </w:tc>
              <w:tc>
                <w:tcPr>
                  <w:tcW w:w="1712" w:type="pct"/>
                  <w:vAlign w:val="center"/>
                </w:tcPr>
                <w:p w14:paraId="282A09EF">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现有项目</w:t>
                  </w:r>
                  <w:r>
                    <w:rPr>
                      <w:rFonts w:hint="default" w:ascii="Times New Roman" w:hAnsi="Times New Roman" w:eastAsia="宋体" w:cs="Times New Roman"/>
                      <w:color w:val="000000" w:themeColor="text1"/>
                      <w:sz w:val="21"/>
                      <w:szCs w:val="21"/>
                      <w14:textFill>
                        <w14:solidFill>
                          <w14:schemeClr w14:val="tx1"/>
                        </w14:solidFill>
                      </w14:textFill>
                    </w:rPr>
                    <w:t>原料堆放</w:t>
                  </w:r>
                  <w:r>
                    <w:rPr>
                      <w:rFonts w:hint="default" w:ascii="Times New Roman" w:hAnsi="Times New Roman" w:eastAsia="宋体" w:cs="Times New Roman"/>
                      <w:color w:val="000000" w:themeColor="text1"/>
                      <w:sz w:val="21"/>
                      <w:szCs w:val="21"/>
                      <w:lang w:eastAsia="zh-CN"/>
                      <w14:textFill>
                        <w14:solidFill>
                          <w14:schemeClr w14:val="tx1"/>
                        </w14:solidFill>
                      </w14:textFill>
                    </w:rPr>
                    <w:t>于生产车间内，</w:t>
                  </w:r>
                  <w:r>
                    <w:rPr>
                      <w:rFonts w:hint="default" w:ascii="Times New Roman" w:hAnsi="Times New Roman" w:eastAsia="宋体" w:cs="Times New Roman"/>
                      <w:color w:val="000000" w:themeColor="text1"/>
                      <w:sz w:val="21"/>
                      <w:szCs w:val="21"/>
                      <w14:textFill>
                        <w14:solidFill>
                          <w14:schemeClr w14:val="tx1"/>
                        </w14:solidFill>
                      </w14:textFill>
                    </w:rPr>
                    <w:t>生产线均布设于生产车间中，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原料（</w:t>
                  </w:r>
                  <w:r>
                    <w:rPr>
                      <w:rFonts w:hint="eastAsia" w:cs="Times New Roman"/>
                      <w:color w:val="000000" w:themeColor="text1"/>
                      <w:sz w:val="21"/>
                      <w:szCs w:val="21"/>
                      <w:lang w:val="en-US" w:eastAsia="zh-CN"/>
                      <w14:textFill>
                        <w14:solidFill>
                          <w14:schemeClr w14:val="tx1"/>
                        </w14:solidFill>
                      </w14:textFill>
                    </w:rPr>
                    <w:t>聚苯乙烯</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）采用袋装储存，</w:t>
                  </w:r>
                </w:p>
                <w:p w14:paraId="1EBE8046">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both"/>
                    <w:textAlignment w:val="auto"/>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生产环节产生的有机废气</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进行局部收集处理</w:t>
                  </w:r>
                  <w:r>
                    <w:rPr>
                      <w:rFonts w:hint="eastAsia"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本项目</w:t>
                  </w:r>
                  <w:r>
                    <w:rPr>
                      <w:rFonts w:hint="eastAsia" w:cs="Times New Roman" w:eastAsiaTheme="minorEastAsia"/>
                      <w:color w:val="000000" w:themeColor="text1"/>
                      <w:sz w:val="21"/>
                      <w:szCs w:val="21"/>
                      <w:lang w:eastAsia="zh-CN"/>
                      <w14:textFill>
                        <w14:solidFill>
                          <w14:schemeClr w14:val="tx1"/>
                        </w14:solidFill>
                      </w14:textFill>
                    </w:rPr>
                    <w:t>新增集气罩以及“两级活性炭吸附装置”，发泡、成型工序</w:t>
                  </w:r>
                  <w:r>
                    <w:rPr>
                      <w:rFonts w:hint="default" w:ascii="Times New Roman" w:hAnsi="Times New Roman" w:cs="Times New Roman" w:eastAsiaTheme="minorEastAsia"/>
                      <w:color w:val="000000" w:themeColor="text1"/>
                      <w:sz w:val="21"/>
                      <w:szCs w:val="21"/>
                      <w14:textFill>
                        <w14:solidFill>
                          <w14:schemeClr w14:val="tx1"/>
                        </w14:solidFill>
                      </w14:textFill>
                    </w:rPr>
                    <w:t>有机废气</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经</w:t>
                  </w:r>
                  <w:r>
                    <w:rPr>
                      <w:rFonts w:hint="default" w:ascii="Times New Roman" w:hAnsi="Times New Roman" w:cs="Times New Roman" w:eastAsiaTheme="minorEastAsia"/>
                      <w:color w:val="000000" w:themeColor="text1"/>
                      <w:sz w:val="21"/>
                      <w:szCs w:val="21"/>
                      <w14:textFill>
                        <w14:solidFill>
                          <w14:schemeClr w14:val="tx1"/>
                        </w14:solidFill>
                      </w14:textFill>
                    </w:rPr>
                    <w:t>集气罩收集后，通过</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两级活性炭吸附装置</w:t>
                  </w:r>
                  <w:r>
                    <w:rPr>
                      <w:rFonts w:hint="default" w:ascii="Times New Roman" w:hAnsi="Times New Roman" w:cs="Times New Roman" w:eastAsiaTheme="minorEastAsia"/>
                      <w:color w:val="000000" w:themeColor="text1"/>
                      <w:sz w:val="21"/>
                      <w:szCs w:val="21"/>
                      <w14:textFill>
                        <w14:solidFill>
                          <w14:schemeClr w14:val="tx1"/>
                        </w14:solidFill>
                      </w14:textFill>
                    </w:rPr>
                    <w:t>吸附处理后</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通过</w:t>
                  </w:r>
                  <w:r>
                    <w:rPr>
                      <w:rFonts w:hint="eastAsia" w:cs="Times New Roman" w:eastAsiaTheme="minorEastAsia"/>
                      <w:color w:val="000000" w:themeColor="text1"/>
                      <w:sz w:val="21"/>
                      <w:szCs w:val="21"/>
                      <w:lang w:val="en-US" w:eastAsia="zh-CN"/>
                      <w14:textFill>
                        <w14:solidFill>
                          <w14:schemeClr w14:val="tx1"/>
                        </w14:solidFill>
                      </w14:textFill>
                    </w:rPr>
                    <w:t>1根15m排气筒DA002</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DA00</w:t>
                  </w:r>
                  <w:r>
                    <w:rPr>
                      <w:rFonts w:hint="eastAsia" w:cs="Times New Roman" w:eastAsiaTheme="minorEastAsia"/>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排放</w:t>
                  </w:r>
                  <w:r>
                    <w:rPr>
                      <w:rFonts w:hint="eastAsia" w:cs="Times New Roman"/>
                      <w:color w:val="000000" w:themeColor="text1"/>
                      <w:sz w:val="21"/>
                      <w:szCs w:val="21"/>
                      <w:lang w:val="en-US" w:eastAsia="zh-CN"/>
                      <w14:textFill>
                        <w14:solidFill>
                          <w14:schemeClr w14:val="tx1"/>
                        </w14:solidFill>
                      </w14:textFill>
                    </w:rPr>
                    <w:t>。</w:t>
                  </w:r>
                </w:p>
                <w:p w14:paraId="51AA584A">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项目产生的废活性炭经收集后，暂存于危废贮存库，委托有资质的单位进行处置</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613" w:type="pct"/>
                  <w:vAlign w:val="center"/>
                </w:tcPr>
                <w:p w14:paraId="08894B63">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17B6E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674" w:type="pct"/>
                  <w:vAlign w:val="center"/>
                </w:tcPr>
                <w:p w14:paraId="1456AB6C">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按照</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应收尽收</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的原则提升废气收集率。推动取消废气排放系统旁路，因安全生产等原因必须保留的，应将保留旁路清单报当地生态环境部门，旁路在非紧急情况下保持关闭，并通过铅封、安装自动监控设施、流量计等方式加强监管，开启后应及时向当地生态环境部门报告，做好台账记录。将无组织排放转变为有组织排放进行控制，优先采用密闭设备、在密闭空间中操作或采用全密闭集气罩收集方式；对于采用局部集气罩的，应根据废气排放特点合理选择收集点位，距集气罩开口面最远处的VOCs无组织排放位置，控制风速不低于0.3米/秒，达不到要求的通过更换大功率风机、增设烟道风机、增加垂帘等方式及时改造；加强生产车间密闭管理，在符合安全生产、职业卫生相关规定前提下，采用自动卷帘门、密闭性好的塑钢门窗等，在非必要时保持关闭。</w:t>
                  </w:r>
                </w:p>
              </w:tc>
              <w:tc>
                <w:tcPr>
                  <w:tcW w:w="1712" w:type="pct"/>
                  <w:vAlign w:val="center"/>
                </w:tcPr>
                <w:p w14:paraId="43032AA8">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本项目</w:t>
                  </w:r>
                  <w:r>
                    <w:rPr>
                      <w:rFonts w:hint="eastAsia" w:cs="Times New Roman" w:eastAsiaTheme="minorEastAsia"/>
                      <w:color w:val="000000" w:themeColor="text1"/>
                      <w:sz w:val="21"/>
                      <w:szCs w:val="21"/>
                      <w:lang w:eastAsia="zh-CN"/>
                      <w14:textFill>
                        <w14:solidFill>
                          <w14:schemeClr w14:val="tx1"/>
                        </w14:solidFill>
                      </w14:textFill>
                    </w:rPr>
                    <w:t>新增集气罩以及“两级活性炭吸附装置”，发泡、成型工序</w:t>
                  </w:r>
                  <w:r>
                    <w:rPr>
                      <w:rFonts w:hint="default" w:ascii="Times New Roman" w:hAnsi="Times New Roman" w:cs="Times New Roman" w:eastAsiaTheme="minorEastAsia"/>
                      <w:color w:val="000000" w:themeColor="text1"/>
                      <w:sz w:val="21"/>
                      <w:szCs w:val="21"/>
                      <w14:textFill>
                        <w14:solidFill>
                          <w14:schemeClr w14:val="tx1"/>
                        </w14:solidFill>
                      </w14:textFill>
                    </w:rPr>
                    <w:t>有机废气</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经</w:t>
                  </w:r>
                  <w:r>
                    <w:rPr>
                      <w:rFonts w:hint="default" w:ascii="Times New Roman" w:hAnsi="Times New Roman" w:cs="Times New Roman" w:eastAsiaTheme="minorEastAsia"/>
                      <w:color w:val="000000" w:themeColor="text1"/>
                      <w:sz w:val="21"/>
                      <w:szCs w:val="21"/>
                      <w14:textFill>
                        <w14:solidFill>
                          <w14:schemeClr w14:val="tx1"/>
                        </w14:solidFill>
                      </w14:textFill>
                    </w:rPr>
                    <w:t>集气罩收集后，通过</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两级活性炭吸附装置</w:t>
                  </w:r>
                  <w:r>
                    <w:rPr>
                      <w:rFonts w:hint="default" w:ascii="Times New Roman" w:hAnsi="Times New Roman" w:cs="Times New Roman" w:eastAsiaTheme="minorEastAsia"/>
                      <w:color w:val="000000" w:themeColor="text1"/>
                      <w:sz w:val="21"/>
                      <w:szCs w:val="21"/>
                      <w14:textFill>
                        <w14:solidFill>
                          <w14:schemeClr w14:val="tx1"/>
                        </w14:solidFill>
                      </w14:textFill>
                    </w:rPr>
                    <w:t>吸附处理后</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通过</w:t>
                  </w:r>
                  <w:r>
                    <w:rPr>
                      <w:rFonts w:hint="eastAsia" w:cs="Times New Roman" w:eastAsiaTheme="minorEastAsia"/>
                      <w:color w:val="000000" w:themeColor="text1"/>
                      <w:sz w:val="21"/>
                      <w:szCs w:val="21"/>
                      <w:lang w:val="en-US" w:eastAsia="zh-CN"/>
                      <w14:textFill>
                        <w14:solidFill>
                          <w14:schemeClr w14:val="tx1"/>
                        </w14:solidFill>
                      </w14:textFill>
                    </w:rPr>
                    <w:t>1根15m排气筒DA002</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DA00</w:t>
                  </w:r>
                  <w:r>
                    <w:rPr>
                      <w:rFonts w:hint="eastAsia" w:cs="Times New Roman" w:eastAsiaTheme="minorEastAsia"/>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排放</w:t>
                  </w:r>
                  <w:r>
                    <w:rPr>
                      <w:rFonts w:hint="default" w:ascii="Times New Roman" w:hAnsi="Times New Roman" w:eastAsia="宋体" w:cs="Times New Roman"/>
                      <w:color w:val="000000" w:themeColor="text1"/>
                      <w:kern w:val="0"/>
                      <w:sz w:val="21"/>
                      <w:szCs w:val="21"/>
                      <w14:textFill>
                        <w14:solidFill>
                          <w14:schemeClr w14:val="tx1"/>
                        </w14:solidFill>
                      </w14:textFill>
                    </w:rPr>
                    <w:t>。</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本项目设置风速</w:t>
                  </w:r>
                  <w:r>
                    <w:rPr>
                      <w:rFonts w:hint="eastAsia" w:cs="Times New Roman"/>
                      <w:color w:val="000000" w:themeColor="text1"/>
                      <w:kern w:val="0"/>
                      <w:sz w:val="21"/>
                      <w:szCs w:val="21"/>
                      <w:lang w:eastAsia="zh-CN"/>
                      <w14:textFill>
                        <w14:solidFill>
                          <w14:schemeClr w14:val="tx1"/>
                        </w14:solidFill>
                      </w14:textFill>
                    </w:rPr>
                    <w:t>约</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为</w:t>
                  </w:r>
                  <w:r>
                    <w:rPr>
                      <w:rFonts w:hint="eastAsia" w:cs="Times New Roman"/>
                      <w:color w:val="000000" w:themeColor="text1"/>
                      <w:kern w:val="0"/>
                      <w:sz w:val="21"/>
                      <w:szCs w:val="21"/>
                      <w:lang w:val="en-US" w:eastAsia="zh-CN"/>
                      <w14:textFill>
                        <w14:solidFill>
                          <w14:schemeClr w14:val="tx1"/>
                        </w14:solidFill>
                      </w14:textFill>
                    </w:rPr>
                    <w:t>0.77</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m/s，满足相关要求，项目生产工序布设于封闭的车间内，车间门窗等</w:t>
                  </w:r>
                  <w:r>
                    <w:rPr>
                      <w:rFonts w:hint="default" w:ascii="Times New Roman" w:hAnsi="Times New Roman" w:eastAsia="宋体" w:cs="Times New Roman"/>
                      <w:color w:val="000000" w:themeColor="text1"/>
                      <w:sz w:val="21"/>
                      <w:szCs w:val="21"/>
                      <w14:textFill>
                        <w14:solidFill>
                          <w14:schemeClr w14:val="tx1"/>
                        </w14:solidFill>
                      </w14:textFill>
                    </w:rPr>
                    <w:t>在非必要时保持关闭</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613" w:type="pct"/>
                  <w:vAlign w:val="center"/>
                </w:tcPr>
                <w:p w14:paraId="73821E3C">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2C7C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674" w:type="pct"/>
                  <w:vAlign w:val="center"/>
                </w:tcPr>
                <w:p w14:paraId="5602F2BC">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按照与生产设备</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同启同停</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原则提升治理设施运行率。根据处理工艺要求，在处理设施达到正常运行条件后方可启动生产设备，在生产设备停止、残留VOCs废气收集处理完毕后，方可停运处理设施。VOCs废气处理系统发生故障或检修时，对应生产工艺设备应停止运行，待检修完毕后同步投入使用；因安全等因素生产工艺设备不能停止或不能及时停止运行的，应设置废气应急处理设施或采取其他替代措施。</w:t>
                  </w:r>
                </w:p>
              </w:tc>
              <w:tc>
                <w:tcPr>
                  <w:tcW w:w="1712" w:type="pct"/>
                  <w:vAlign w:val="center"/>
                </w:tcPr>
                <w:p w14:paraId="59700EEE">
                  <w:pPr>
                    <w:keepNext w:val="0"/>
                    <w:keepLines w:val="0"/>
                    <w:pageBreakBefore w:val="0"/>
                    <w:widowControl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本项目治理设施与生产设备</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同启同停</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根据处理工艺要求，在处理设施达到正常运行条件后方可启动生产设备，在生产设备停止、残留VOCs废气收集处理完毕后，方可停运处理设施</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治理设施发生故障时，应立即停产生产</w:t>
                  </w:r>
                  <w:r>
                    <w:rPr>
                      <w:rFonts w:hint="default" w:ascii="Times New Roman" w:hAnsi="Times New Roman" w:eastAsia="宋体" w:cs="Times New Roman"/>
                      <w:color w:val="000000" w:themeColor="text1"/>
                      <w:sz w:val="21"/>
                      <w:szCs w:val="21"/>
                      <w14:textFill>
                        <w14:solidFill>
                          <w14:schemeClr w14:val="tx1"/>
                        </w14:solidFill>
                      </w14:textFill>
                    </w:rPr>
                    <w:t>待检修完毕后同步投入使用</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建设单位</w:t>
                  </w:r>
                  <w:r>
                    <w:rPr>
                      <w:rFonts w:hint="default" w:ascii="Times New Roman" w:hAnsi="Times New Roman" w:eastAsia="宋体" w:cs="Times New Roman"/>
                      <w:color w:val="000000" w:themeColor="text1"/>
                      <w:sz w:val="21"/>
                      <w:szCs w:val="21"/>
                      <w14:textFill>
                        <w14:solidFill>
                          <w14:schemeClr w14:val="tx1"/>
                        </w14:solidFill>
                      </w14:textFill>
                    </w:rPr>
                    <w:t>因安全等因素生产工艺设备不能停止或不能及时停止运行的，应设置废气应急处理设施或采取其他替代措施。</w:t>
                  </w:r>
                </w:p>
              </w:tc>
              <w:tc>
                <w:tcPr>
                  <w:tcW w:w="613" w:type="pct"/>
                  <w:vAlign w:val="center"/>
                </w:tcPr>
                <w:p w14:paraId="45CE827C">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48F59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674" w:type="pct"/>
                  <w:vAlign w:val="center"/>
                </w:tcPr>
                <w:p w14:paraId="28FC36D2">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按照</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适宜高效</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的原则提高治理设施去除率，不得稀释排放。企业新建治污设施或对现有治污设施实施改造，应依据排放废气特征、VOCs组分及浓度、生产工况等，合理选择治理技术，对治理难度大、单一治理工艺难以稳定达标的，要采用多种技术的组合工艺。采用活性炭吸附技术的，应选择碘值不低于800毫克/克的活性炭，并按设计要求足量添加、及时更换；</w:t>
                  </w:r>
                </w:p>
              </w:tc>
              <w:tc>
                <w:tcPr>
                  <w:tcW w:w="1712" w:type="pct"/>
                  <w:vAlign w:val="center"/>
                </w:tcPr>
                <w:p w14:paraId="02110B51">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废气治理设施为</w:t>
                  </w:r>
                  <w:r>
                    <w:rPr>
                      <w:rFonts w:hint="eastAsia" w:cs="Times New Roman"/>
                      <w:color w:val="000000" w:themeColor="text1"/>
                      <w:kern w:val="0"/>
                      <w:sz w:val="21"/>
                      <w:szCs w:val="21"/>
                      <w:lang w:val="en-US" w:eastAsia="zh-CN"/>
                      <w14:textFill>
                        <w14:solidFill>
                          <w14:schemeClr w14:val="tx1"/>
                        </w14:solidFill>
                      </w14:textFill>
                    </w:rPr>
                    <w:t>两级活性炭</w:t>
                  </w:r>
                  <w:r>
                    <w:rPr>
                      <w:rFonts w:hint="default" w:ascii="Times New Roman" w:hAnsi="Times New Roman" w:eastAsia="宋体" w:cs="Times New Roman"/>
                      <w:color w:val="000000" w:themeColor="text1"/>
                      <w:sz w:val="21"/>
                      <w:szCs w:val="21"/>
                      <w:lang w:eastAsia="zh-CN"/>
                      <w14:textFill>
                        <w14:solidFill>
                          <w14:schemeClr w14:val="tx1"/>
                        </w14:solidFill>
                      </w14:textFill>
                    </w:rPr>
                    <w:t>吸附装置，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建设单位</w:t>
                  </w:r>
                  <w:r>
                    <w:rPr>
                      <w:rFonts w:hint="default" w:ascii="Times New Roman" w:hAnsi="Times New Roman" w:eastAsia="宋体" w:cs="Times New Roman"/>
                      <w:color w:val="000000" w:themeColor="text1"/>
                      <w:sz w:val="21"/>
                      <w:szCs w:val="21"/>
                      <w14:textFill>
                        <w14:solidFill>
                          <w14:schemeClr w14:val="tx1"/>
                        </w14:solidFill>
                      </w14:textFill>
                    </w:rPr>
                    <w:t>应选择碘值不低于800毫克/克的活性炭</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同时应及时更换活性炭，保证去除效率</w:t>
                  </w:r>
                </w:p>
              </w:tc>
              <w:tc>
                <w:tcPr>
                  <w:tcW w:w="613" w:type="pct"/>
                  <w:vAlign w:val="center"/>
                </w:tcPr>
                <w:p w14:paraId="71CD2639">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bl>
          <w:p w14:paraId="4824BFDC">
            <w:pPr>
              <w:keepNext w:val="0"/>
              <w:keepLines w:val="0"/>
              <w:pageBreakBefore w:val="0"/>
              <w:widowControl w:val="0"/>
              <w:numPr>
                <w:ilvl w:val="0"/>
                <w:numId w:val="0"/>
              </w:numPr>
              <w:tabs>
                <w:tab w:val="left" w:pos="4830"/>
              </w:tabs>
              <w:kinsoku/>
              <w:wordWrap/>
              <w:overflowPunct/>
              <w:topLinePunct w:val="0"/>
              <w:autoSpaceDE w:val="0"/>
              <w:autoSpaceDN w:val="0"/>
              <w:bidi w:val="0"/>
              <w:adjustRightInd/>
              <w:snapToGrid/>
              <w:spacing w:line="360" w:lineRule="auto"/>
              <w:ind w:leftChars="0" w:firstLine="480" w:firstLineChars="200"/>
              <w:textAlignment w:val="auto"/>
              <w:rPr>
                <w:rFonts w:hint="eastAsia" w:ascii="Times New Roman" w:hAnsi="Times New Roman" w:cs="Times New Roman"/>
                <w:color w:val="000000" w:themeColor="text1"/>
                <w:kern w:val="0"/>
                <w:sz w:val="24"/>
                <w:lang w:val="en-US" w:eastAsia="zh-CN"/>
                <w14:textFill>
                  <w14:solidFill>
                    <w14:schemeClr w14:val="tx1"/>
                  </w14:solidFill>
                </w14:textFill>
              </w:rPr>
            </w:pPr>
            <w:r>
              <w:rPr>
                <w:rFonts w:hint="eastAsia" w:ascii="Times New Roman" w:hAnsi="Times New Roman" w:cs="Times New Roman"/>
                <w:color w:val="000000" w:themeColor="text1"/>
                <w:kern w:val="0"/>
                <w:sz w:val="24"/>
                <w:lang w:val="en-US" w:eastAsia="zh-CN"/>
                <w14:textFill>
                  <w14:solidFill>
                    <w14:schemeClr w14:val="tx1"/>
                  </w14:solidFill>
                </w14:textFill>
              </w:rPr>
              <w:t>综上所述，项目与《2020年挥发性有机物治理攻坚方案》的相关内容相符。</w:t>
            </w:r>
          </w:p>
          <w:p w14:paraId="54DA64F1">
            <w:pPr>
              <w:keepNext w:val="0"/>
              <w:keepLines w:val="0"/>
              <w:pageBreakBefore w:val="0"/>
              <w:widowControl w:val="0"/>
              <w:numPr>
                <w:ilvl w:val="0"/>
                <w:numId w:val="0"/>
              </w:numPr>
              <w:tabs>
                <w:tab w:val="left" w:pos="4830"/>
              </w:tabs>
              <w:kinsoku/>
              <w:wordWrap/>
              <w:overflowPunct/>
              <w:topLinePunct w:val="0"/>
              <w:autoSpaceDE w:val="0"/>
              <w:autoSpaceDN w:val="0"/>
              <w:bidi w:val="0"/>
              <w:adjustRightInd/>
              <w:snapToGrid/>
              <w:spacing w:line="360" w:lineRule="auto"/>
              <w:ind w:leftChars="0" w:firstLine="482" w:firstLineChars="200"/>
              <w:textAlignment w:val="auto"/>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1</w:t>
            </w:r>
            <w:r>
              <w:rPr>
                <w:rFonts w:hint="eastAsia" w:cs="Times New Roman"/>
                <w:b/>
                <w:bCs/>
                <w:color w:val="000000" w:themeColor="text1"/>
                <w:kern w:val="0"/>
                <w:sz w:val="24"/>
                <w:lang w:val="en-US" w:eastAsia="zh-CN"/>
                <w14:textFill>
                  <w14:solidFill>
                    <w14:schemeClr w14:val="tx1"/>
                  </w14:solidFill>
                </w14:textFill>
              </w:rPr>
              <w:t>2</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、与《云南省人民政府关于印发云南省碳达峰实施方案的通知》（云政发[2022]45号）符合性分析</w:t>
            </w:r>
          </w:p>
          <w:p w14:paraId="5EC09BAF">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18"/>
                <w14:textFill>
                  <w14:solidFill>
                    <w14:schemeClr w14:val="tx1"/>
                  </w14:solidFill>
                </w14:textFill>
              </w:rPr>
            </w:pPr>
            <w:r>
              <w:rPr>
                <w:rFonts w:hint="default" w:ascii="Times New Roman" w:hAnsi="Times New Roman" w:eastAsia="宋体" w:cs="Times New Roman"/>
                <w:b/>
                <w:bCs/>
                <w:color w:val="000000" w:themeColor="text1"/>
                <w:sz w:val="21"/>
                <w:szCs w:val="18"/>
                <w14:textFill>
                  <w14:solidFill>
                    <w14:schemeClr w14:val="tx1"/>
                  </w14:solidFill>
                </w14:textFill>
              </w:rPr>
              <w:t>表</w:t>
            </w:r>
            <w:r>
              <w:rPr>
                <w:rFonts w:hint="eastAsia" w:ascii="Times New Roman" w:hAnsi="Times New Roman" w:eastAsia="宋体" w:cs="Times New Roman"/>
                <w:b/>
                <w:bCs/>
                <w:color w:val="000000" w:themeColor="text1"/>
                <w:sz w:val="21"/>
                <w:szCs w:val="18"/>
                <w:lang w:val="en-US" w:eastAsia="zh-CN"/>
                <w14:textFill>
                  <w14:solidFill>
                    <w14:schemeClr w14:val="tx1"/>
                  </w14:solidFill>
                </w14:textFill>
              </w:rPr>
              <w:t xml:space="preserve">1-11  </w:t>
            </w:r>
            <w:r>
              <w:rPr>
                <w:rFonts w:hint="default" w:ascii="Times New Roman" w:hAnsi="Times New Roman" w:eastAsia="宋体" w:cs="Times New Roman"/>
                <w:b/>
                <w:bCs/>
                <w:color w:val="000000" w:themeColor="text1"/>
                <w:sz w:val="21"/>
                <w:szCs w:val="18"/>
                <w14:textFill>
                  <w14:solidFill>
                    <w14:schemeClr w14:val="tx1"/>
                  </w14:solidFill>
                </w14:textFill>
              </w:rPr>
              <w:t>与《</w:t>
            </w:r>
            <w:r>
              <w:rPr>
                <w:rFonts w:hint="eastAsia" w:ascii="Times New Roman" w:hAnsi="Times New Roman" w:eastAsia="宋体" w:cs="Times New Roman"/>
                <w:b/>
                <w:bCs/>
                <w:color w:val="000000" w:themeColor="text1"/>
                <w:sz w:val="21"/>
                <w:szCs w:val="18"/>
                <w:lang w:val="en-US" w:eastAsia="zh-CN"/>
                <w14:textFill>
                  <w14:solidFill>
                    <w14:schemeClr w14:val="tx1"/>
                  </w14:solidFill>
                </w14:textFill>
              </w:rPr>
              <w:t>云南省碳达峰实施方案</w:t>
            </w:r>
            <w:r>
              <w:rPr>
                <w:rFonts w:hint="default" w:ascii="Times New Roman" w:hAnsi="Times New Roman" w:eastAsia="宋体" w:cs="Times New Roman"/>
                <w:b/>
                <w:bCs/>
                <w:color w:val="000000" w:themeColor="text1"/>
                <w:sz w:val="21"/>
                <w:szCs w:val="18"/>
                <w14:textFill>
                  <w14:solidFill>
                    <w14:schemeClr w14:val="tx1"/>
                  </w14:solidFill>
                </w14:textFill>
              </w:rPr>
              <w:t>》符合性分析表</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7"/>
              <w:gridCol w:w="2520"/>
              <w:gridCol w:w="903"/>
            </w:tblGrid>
            <w:tr w14:paraId="76C02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674" w:type="pct"/>
                  <w:vAlign w:val="center"/>
                </w:tcPr>
                <w:p w14:paraId="02796059">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相关内容</w:t>
                  </w:r>
                </w:p>
              </w:tc>
              <w:tc>
                <w:tcPr>
                  <w:tcW w:w="1712" w:type="pct"/>
                  <w:vAlign w:val="center"/>
                </w:tcPr>
                <w:p w14:paraId="36EFE1FC">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相符性分析</w:t>
                  </w:r>
                </w:p>
              </w:tc>
              <w:tc>
                <w:tcPr>
                  <w:tcW w:w="613" w:type="pct"/>
                  <w:vAlign w:val="center"/>
                </w:tcPr>
                <w:p w14:paraId="337AA7C8">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符合性</w:t>
                  </w:r>
                </w:p>
              </w:tc>
            </w:tr>
            <w:tr w14:paraId="231D7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674" w:type="pct"/>
                  <w:vAlign w:val="center"/>
                </w:tcPr>
                <w:p w14:paraId="3C36D261">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十五五”期间，产业结构调整取得重大进展，现代产业体系基本形成，清洁低碳安全高效的能源体系达到全国领先，绿色低碳技术取得关键突破，经济社会绿色全面转型取得显著成效，生产力布局更加优化，简约适度、绿色低碳、文明健康的生活理念深入人心。绿色低碳循环发展政策体系得到健全。到2030年，单位地区生产总值能源消耗和二氧化碳排放持续下降，力争与全国同步实现碳达峰。</w:t>
                  </w:r>
                </w:p>
              </w:tc>
              <w:tc>
                <w:tcPr>
                  <w:tcW w:w="1712" w:type="pct"/>
                  <w:vAlign w:val="center"/>
                </w:tcPr>
                <w:p w14:paraId="1DFC437F">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本项目为锅炉及环保设施技改项目，原有2t/h燃煤锅炉拆除更换3t/h生物质锅炉；原有有机废气无组织排放，本项目新增“两级活性炭吸附装置”处理有机废气，经处理后通过排气筒DA002排放。</w:t>
                  </w:r>
                </w:p>
              </w:tc>
              <w:tc>
                <w:tcPr>
                  <w:tcW w:w="613" w:type="pct"/>
                  <w:vAlign w:val="center"/>
                </w:tcPr>
                <w:p w14:paraId="75333A47">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20CF7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674" w:type="pct"/>
                  <w:vAlign w:val="center"/>
                </w:tcPr>
                <w:p w14:paraId="1B224841">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动能源消费绿色低碳高效变革。构建清洁高效先进节能的煤电支撑体系，加快纳入国家规划的煤电项目建设，支持各地与央企联合建设煤电项目，推动煤电向基础保障性和系统调节性电源并重转型。在保障调峰备用及枯期保供的情况下，大力推动煤炭清洁高效利用，推进煤炭消费替代和转型升级。推进昭通页岩气勘探及低成本规模化开发，加快开展煤层气利用规划布局和规模化试点示范。有序扩大天然气利用，优化天然气利用结构，优先保障民生用气，因地制宜建设天然气调峰电站。加快终端用能领域可再生能源替代，支持以电代煤、以电代油、生物质代煤。</w:t>
                  </w:r>
                </w:p>
              </w:tc>
              <w:tc>
                <w:tcPr>
                  <w:tcW w:w="1712" w:type="pct"/>
                  <w:vAlign w:val="center"/>
                </w:tcPr>
                <w:p w14:paraId="6AEB3AEF">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为锅炉及环保设施技改项目，原有2t/h燃煤锅炉拆除更换3t/h生物质锅炉；原有有机废气无组织排放，本项目新增“两级活性炭吸附装置”处理有机废气，经处理后通过排气筒DA002排放。符合方案要求中以生物质代煤的相关要求。</w:t>
                  </w:r>
                </w:p>
              </w:tc>
              <w:tc>
                <w:tcPr>
                  <w:tcW w:w="613" w:type="pct"/>
                  <w:vAlign w:val="center"/>
                </w:tcPr>
                <w:p w14:paraId="75558564">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3367A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674" w:type="pct"/>
                  <w:vAlign w:val="center"/>
                </w:tcPr>
                <w:p w14:paraId="1D05E500">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全力推动重点行业碳达峰。坚决遏制高耗能、高排放、低水平项目盲目发展，严控新增产能，推进存量优化。持续提高行业清洁能源应用比重，加强工业领域电力需求侧管理，提升工业电气化水平。大力提高行业能效水平，加快推进绿色产品认证和应用推广。</w:t>
                  </w:r>
                </w:p>
              </w:tc>
              <w:tc>
                <w:tcPr>
                  <w:tcW w:w="1712" w:type="pct"/>
                  <w:vAlign w:val="center"/>
                </w:tcPr>
                <w:p w14:paraId="3E49C60C">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本项目为锅炉及环保设施技改项目，不属于</w:t>
                  </w:r>
                  <w:r>
                    <w:rPr>
                      <w:rFonts w:hint="default" w:ascii="Times New Roman" w:hAnsi="Times New Roman" w:eastAsia="宋体" w:cs="Times New Roman"/>
                      <w:color w:val="000000" w:themeColor="text1"/>
                      <w:sz w:val="21"/>
                      <w:szCs w:val="21"/>
                      <w14:textFill>
                        <w14:solidFill>
                          <w14:schemeClr w14:val="tx1"/>
                        </w14:solidFill>
                      </w14:textFill>
                    </w:rPr>
                    <w:t>高耗能、高排放、低水平项目</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613" w:type="pct"/>
                  <w:vAlign w:val="center"/>
                </w:tcPr>
                <w:p w14:paraId="7B89DFAF">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bl>
          <w:p w14:paraId="5E3E08F4">
            <w:pPr>
              <w:keepNext w:val="0"/>
              <w:keepLines w:val="0"/>
              <w:pageBreakBefore w:val="0"/>
              <w:widowControl w:val="0"/>
              <w:numPr>
                <w:ilvl w:val="0"/>
                <w:numId w:val="0"/>
              </w:numPr>
              <w:tabs>
                <w:tab w:val="left" w:pos="4830"/>
              </w:tabs>
              <w:kinsoku/>
              <w:wordWrap/>
              <w:overflowPunct/>
              <w:topLinePunct w:val="0"/>
              <w:autoSpaceDE w:val="0"/>
              <w:autoSpaceDN w:val="0"/>
              <w:bidi w:val="0"/>
              <w:adjustRightInd/>
              <w:snapToGrid/>
              <w:spacing w:line="360" w:lineRule="auto"/>
              <w:ind w:leftChars="0" w:firstLine="480" w:firstLineChars="200"/>
              <w:textAlignment w:val="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eastAsia"/>
                <w:color w:val="000000" w:themeColor="text1"/>
                <w:sz w:val="24"/>
                <w:lang w:eastAsia="zh-CN"/>
                <w14:textFill>
                  <w14:solidFill>
                    <w14:schemeClr w14:val="tx1"/>
                  </w14:solidFill>
                </w14:textFill>
              </w:rPr>
              <w:br w:type="textWrapping"/>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1</w:t>
            </w:r>
            <w:r>
              <w:rPr>
                <w:rFonts w:hint="eastAsia" w:cs="Times New Roman"/>
                <w:b/>
                <w:bCs/>
                <w:color w:val="000000" w:themeColor="text1"/>
                <w:kern w:val="0"/>
                <w:sz w:val="24"/>
                <w:lang w:val="en-US" w:eastAsia="zh-CN"/>
                <w14:textFill>
                  <w14:solidFill>
                    <w14:schemeClr w14:val="tx1"/>
                  </w14:solidFill>
                </w14:textFill>
              </w:rPr>
              <w:t>3</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、与《生物质锅炉技术规范》（GB/T44906-2024）符合性分析</w:t>
            </w:r>
          </w:p>
          <w:p w14:paraId="7F87D19C">
            <w:pPr>
              <w:keepNext w:val="0"/>
              <w:keepLines w:val="0"/>
              <w:pageBreakBefore w:val="0"/>
              <w:widowControl w:val="0"/>
              <w:numPr>
                <w:ilvl w:val="0"/>
                <w:numId w:val="0"/>
              </w:numPr>
              <w:tabs>
                <w:tab w:val="left" w:pos="4830"/>
              </w:tabs>
              <w:kinsoku/>
              <w:wordWrap/>
              <w:overflowPunct/>
              <w:topLinePunct w:val="0"/>
              <w:autoSpaceDE w:val="0"/>
              <w:autoSpaceDN w:val="0"/>
              <w:bidi w:val="0"/>
              <w:adjustRightInd/>
              <w:snapToGrid/>
              <w:spacing w:line="360" w:lineRule="auto"/>
              <w:ind w:leftChars="0"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本项目生物质燃料与《生物质锅炉技术规范》（GB/T44906-2024）中“</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6.2 生物质成型燃料宜符合表1的要求</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”符合性分析。</w:t>
            </w:r>
          </w:p>
          <w:p w14:paraId="3E623D28">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18"/>
                <w14:textFill>
                  <w14:solidFill>
                    <w14:schemeClr w14:val="tx1"/>
                  </w14:solidFill>
                </w14:textFill>
              </w:rPr>
            </w:pPr>
            <w:r>
              <w:rPr>
                <w:rFonts w:hint="default" w:ascii="Times New Roman" w:hAnsi="Times New Roman" w:eastAsia="宋体" w:cs="Times New Roman"/>
                <w:b/>
                <w:bCs/>
                <w:color w:val="000000" w:themeColor="text1"/>
                <w:sz w:val="21"/>
                <w:szCs w:val="18"/>
                <w14:textFill>
                  <w14:solidFill>
                    <w14:schemeClr w14:val="tx1"/>
                  </w14:solidFill>
                </w14:textFill>
              </w:rPr>
              <w:t>表</w:t>
            </w:r>
            <w:r>
              <w:rPr>
                <w:rFonts w:hint="eastAsia" w:ascii="Times New Roman" w:hAnsi="Times New Roman" w:eastAsia="宋体" w:cs="Times New Roman"/>
                <w:b/>
                <w:bCs/>
                <w:color w:val="000000" w:themeColor="text1"/>
                <w:sz w:val="21"/>
                <w:szCs w:val="18"/>
                <w:lang w:val="en-US" w:eastAsia="zh-CN"/>
                <w14:textFill>
                  <w14:solidFill>
                    <w14:schemeClr w14:val="tx1"/>
                  </w14:solidFill>
                </w14:textFill>
              </w:rPr>
              <w:t xml:space="preserve">1-12  </w:t>
            </w:r>
            <w:r>
              <w:rPr>
                <w:rFonts w:hint="default" w:ascii="Times New Roman" w:hAnsi="Times New Roman" w:eastAsia="宋体" w:cs="Times New Roman"/>
                <w:b/>
                <w:bCs/>
                <w:color w:val="000000" w:themeColor="text1"/>
                <w:sz w:val="21"/>
                <w:szCs w:val="18"/>
                <w14:textFill>
                  <w14:solidFill>
                    <w14:schemeClr w14:val="tx1"/>
                  </w14:solidFill>
                </w14:textFill>
              </w:rPr>
              <w:t>与《</w:t>
            </w:r>
            <w:r>
              <w:rPr>
                <w:rFonts w:hint="eastAsia" w:ascii="Times New Roman" w:hAnsi="Times New Roman" w:eastAsia="宋体" w:cs="Times New Roman"/>
                <w:b/>
                <w:bCs/>
                <w:color w:val="000000" w:themeColor="text1"/>
                <w:sz w:val="21"/>
                <w:szCs w:val="18"/>
                <w:lang w:val="en-US" w:eastAsia="zh-CN"/>
                <w14:textFill>
                  <w14:solidFill>
                    <w14:schemeClr w14:val="tx1"/>
                  </w14:solidFill>
                </w14:textFill>
              </w:rPr>
              <w:t>生物质锅炉技术规范</w:t>
            </w:r>
            <w:r>
              <w:rPr>
                <w:rFonts w:hint="default" w:ascii="Times New Roman" w:hAnsi="Times New Roman" w:eastAsia="宋体" w:cs="Times New Roman"/>
                <w:b/>
                <w:bCs/>
                <w:color w:val="000000" w:themeColor="text1"/>
                <w:sz w:val="21"/>
                <w:szCs w:val="18"/>
                <w14:textFill>
                  <w14:solidFill>
                    <w14:schemeClr w14:val="tx1"/>
                  </w14:solidFill>
                </w14:textFill>
              </w:rPr>
              <w:t>》</w:t>
            </w:r>
            <w:r>
              <w:rPr>
                <w:rFonts w:hint="eastAsia" w:ascii="Times New Roman" w:hAnsi="Times New Roman" w:eastAsia="宋体" w:cs="Times New Roman"/>
                <w:b/>
                <w:bCs/>
                <w:color w:val="000000" w:themeColor="text1"/>
                <w:sz w:val="21"/>
                <w:szCs w:val="18"/>
                <w:lang w:eastAsia="zh-CN"/>
                <w14:textFill>
                  <w14:solidFill>
                    <w14:schemeClr w14:val="tx1"/>
                  </w14:solidFill>
                </w14:textFill>
              </w:rPr>
              <w:t>表</w:t>
            </w:r>
            <w:r>
              <w:rPr>
                <w:rFonts w:hint="eastAsia" w:ascii="Times New Roman" w:hAnsi="Times New Roman" w:eastAsia="宋体" w:cs="Times New Roman"/>
                <w:b/>
                <w:bCs/>
                <w:color w:val="000000" w:themeColor="text1"/>
                <w:sz w:val="21"/>
                <w:szCs w:val="18"/>
                <w:lang w:val="en-US" w:eastAsia="zh-CN"/>
                <w14:textFill>
                  <w14:solidFill>
                    <w14:schemeClr w14:val="tx1"/>
                  </w14:solidFill>
                </w14:textFill>
              </w:rPr>
              <w:t>1</w:t>
            </w:r>
            <w:r>
              <w:rPr>
                <w:rFonts w:hint="default" w:ascii="Times New Roman" w:hAnsi="Times New Roman" w:eastAsia="宋体" w:cs="Times New Roman"/>
                <w:b/>
                <w:bCs/>
                <w:color w:val="000000" w:themeColor="text1"/>
                <w:sz w:val="21"/>
                <w:szCs w:val="18"/>
                <w14:textFill>
                  <w14:solidFill>
                    <w14:schemeClr w14:val="tx1"/>
                  </w14:solidFill>
                </w14:textFill>
              </w:rPr>
              <w:t>符合性分析表</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7"/>
              <w:gridCol w:w="1970"/>
              <w:gridCol w:w="2520"/>
              <w:gridCol w:w="903"/>
            </w:tblGrid>
            <w:tr w14:paraId="6FD31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9" w:hRule="atLeast"/>
                <w:jc w:val="center"/>
              </w:trPr>
              <w:tc>
                <w:tcPr>
                  <w:tcW w:w="2674" w:type="pct"/>
                  <w:gridSpan w:val="2"/>
                  <w:vAlign w:val="center"/>
                </w:tcPr>
                <w:p w14:paraId="41D97DE2">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表1生物质成型燃料要求</w:t>
                  </w:r>
                </w:p>
              </w:tc>
              <w:tc>
                <w:tcPr>
                  <w:tcW w:w="1711" w:type="pct"/>
                  <w:vAlign w:val="center"/>
                </w:tcPr>
                <w:p w14:paraId="0ECEDEBA">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eastAsia="zh-CN"/>
                      <w14:textFill>
                        <w14:solidFill>
                          <w14:schemeClr w14:val="tx1"/>
                        </w14:solidFill>
                      </w14:textFill>
                    </w:rPr>
                    <w:t>本项目燃料</w:t>
                  </w:r>
                </w:p>
              </w:tc>
              <w:tc>
                <w:tcPr>
                  <w:tcW w:w="613" w:type="pct"/>
                  <w:vAlign w:val="center"/>
                </w:tcPr>
                <w:p w14:paraId="5DB89AF9">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符合性</w:t>
                  </w:r>
                </w:p>
              </w:tc>
            </w:tr>
            <w:tr w14:paraId="0557E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336" w:type="pct"/>
                  <w:vAlign w:val="center"/>
                </w:tcPr>
                <w:p w14:paraId="0C4CB70A">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收到基低位发热值</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MJ/kg</w:t>
                  </w:r>
                </w:p>
              </w:tc>
              <w:tc>
                <w:tcPr>
                  <w:tcW w:w="1338" w:type="pct"/>
                  <w:vAlign w:val="center"/>
                </w:tcPr>
                <w:p w14:paraId="3611041C">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10.45</w:t>
                  </w:r>
                </w:p>
              </w:tc>
              <w:tc>
                <w:tcPr>
                  <w:tcW w:w="1711" w:type="pct"/>
                  <w:vAlign w:val="center"/>
                </w:tcPr>
                <w:p w14:paraId="099BEE72">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18.07</w:t>
                  </w:r>
                </w:p>
              </w:tc>
              <w:tc>
                <w:tcPr>
                  <w:tcW w:w="613" w:type="pct"/>
                  <w:vAlign w:val="center"/>
                </w:tcPr>
                <w:p w14:paraId="0271D8B4">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20CB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336" w:type="pct"/>
                  <w:vAlign w:val="center"/>
                </w:tcPr>
                <w:p w14:paraId="27788285">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全水分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Mt</w:t>
                  </w:r>
                  <w:r>
                    <w:rPr>
                      <w:rFonts w:hint="eastAsia" w:ascii="Times New Roman" w:hAnsi="Times New Roman" w:eastAsia="宋体" w:cs="Times New Roman"/>
                      <w:color w:val="000000" w:themeColor="text1"/>
                      <w:sz w:val="21"/>
                      <w:szCs w:val="21"/>
                      <w:lang w:eastAsia="zh-CN"/>
                      <w14:textFill>
                        <w14:solidFill>
                          <w14:schemeClr w14:val="tx1"/>
                        </w14:solidFill>
                      </w14:textFill>
                    </w:rPr>
                    <w:t>（收到基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ar</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1338" w:type="pct"/>
                  <w:vAlign w:val="center"/>
                </w:tcPr>
                <w:p w14:paraId="6BA584E6">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1711" w:type="pct"/>
                  <w:vAlign w:val="center"/>
                </w:tcPr>
                <w:p w14:paraId="37617BE7">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3.6</w:t>
                  </w:r>
                </w:p>
              </w:tc>
              <w:tc>
                <w:tcPr>
                  <w:tcW w:w="613" w:type="pct"/>
                  <w:vAlign w:val="center"/>
                </w:tcPr>
                <w:p w14:paraId="0892AF48">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3200F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336" w:type="pct"/>
                  <w:vAlign w:val="center"/>
                </w:tcPr>
                <w:p w14:paraId="4AAA794C">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灰分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w:t>
                  </w:r>
                  <w:r>
                    <w:rPr>
                      <w:rFonts w:hint="eastAsia" w:ascii="Times New Roman" w:hAnsi="Times New Roman" w:eastAsia="宋体" w:cs="Times New Roman"/>
                      <w:color w:val="000000" w:themeColor="text1"/>
                      <w:sz w:val="21"/>
                      <w:szCs w:val="21"/>
                      <w:lang w:eastAsia="zh-CN"/>
                      <w14:textFill>
                        <w14:solidFill>
                          <w14:schemeClr w14:val="tx1"/>
                        </w14:solidFill>
                      </w14:textFill>
                    </w:rPr>
                    <w:t>（干燥基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1338" w:type="pct"/>
                  <w:vAlign w:val="center"/>
                </w:tcPr>
                <w:p w14:paraId="48A44063">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711" w:type="pct"/>
                  <w:vAlign w:val="center"/>
                </w:tcPr>
                <w:p w14:paraId="604F6A74">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1.04</w:t>
                  </w:r>
                </w:p>
              </w:tc>
              <w:tc>
                <w:tcPr>
                  <w:tcW w:w="613" w:type="pct"/>
                  <w:vAlign w:val="center"/>
                </w:tcPr>
                <w:p w14:paraId="5253B482">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0ACC5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336" w:type="pct"/>
                  <w:vAlign w:val="center"/>
                </w:tcPr>
                <w:p w14:paraId="2FD7B2D5">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硫</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S</w:t>
                  </w:r>
                  <w:r>
                    <w:rPr>
                      <w:rFonts w:hint="eastAsia" w:ascii="Times New Roman" w:hAnsi="Times New Roman" w:eastAsia="宋体" w:cs="Times New Roman"/>
                      <w:color w:val="000000" w:themeColor="text1"/>
                      <w:sz w:val="21"/>
                      <w:szCs w:val="21"/>
                      <w:lang w:eastAsia="zh-CN"/>
                      <w14:textFill>
                        <w14:solidFill>
                          <w14:schemeClr w14:val="tx1"/>
                        </w14:solidFill>
                      </w14:textFill>
                    </w:rPr>
                    <w:t>（干燥基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1338" w:type="pct"/>
                  <w:vAlign w:val="center"/>
                </w:tcPr>
                <w:p w14:paraId="0C5CA61E">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w:t>
                  </w:r>
                </w:p>
              </w:tc>
              <w:tc>
                <w:tcPr>
                  <w:tcW w:w="1711" w:type="pct"/>
                  <w:vAlign w:val="center"/>
                </w:tcPr>
                <w:p w14:paraId="35CC1337">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0.03</w:t>
                  </w:r>
                </w:p>
              </w:tc>
              <w:tc>
                <w:tcPr>
                  <w:tcW w:w="613" w:type="pct"/>
                  <w:vAlign w:val="center"/>
                </w:tcPr>
                <w:p w14:paraId="46AB3E56">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bl>
          <w:p w14:paraId="7B06E663">
            <w:pPr>
              <w:pStyle w:val="32"/>
              <w:keepNext w:val="0"/>
              <w:pageBreakBefore w:val="0"/>
              <w:kinsoku/>
              <w:overflowPunct/>
              <w:topLinePunct w:val="0"/>
              <w:bidi w:val="0"/>
              <w:spacing w:after="0" w:line="360" w:lineRule="auto"/>
              <w:ind w:left="0" w:leftChars="0" w:firstLine="48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本项目生物质锅炉环保设施</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与《生物质锅炉技术规范》（GB/T44906-2024）中“9.6环保装置”符合性分析</w:t>
            </w:r>
          </w:p>
          <w:p w14:paraId="6C9B0A74">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18"/>
                <w14:textFill>
                  <w14:solidFill>
                    <w14:schemeClr w14:val="tx1"/>
                  </w14:solidFill>
                </w14:textFill>
              </w:rPr>
            </w:pPr>
            <w:r>
              <w:rPr>
                <w:rFonts w:hint="default" w:ascii="Times New Roman" w:hAnsi="Times New Roman" w:eastAsia="宋体" w:cs="Times New Roman"/>
                <w:b/>
                <w:bCs/>
                <w:color w:val="000000" w:themeColor="text1"/>
                <w:sz w:val="21"/>
                <w:szCs w:val="18"/>
                <w14:textFill>
                  <w14:solidFill>
                    <w14:schemeClr w14:val="tx1"/>
                  </w14:solidFill>
                </w14:textFill>
              </w:rPr>
              <w:t>表</w:t>
            </w:r>
            <w:r>
              <w:rPr>
                <w:rFonts w:hint="eastAsia" w:ascii="Times New Roman" w:hAnsi="Times New Roman" w:eastAsia="宋体" w:cs="Times New Roman"/>
                <w:b/>
                <w:bCs/>
                <w:color w:val="000000" w:themeColor="text1"/>
                <w:sz w:val="21"/>
                <w:szCs w:val="18"/>
                <w:lang w:val="en-US" w:eastAsia="zh-CN"/>
                <w14:textFill>
                  <w14:solidFill>
                    <w14:schemeClr w14:val="tx1"/>
                  </w14:solidFill>
                </w14:textFill>
              </w:rPr>
              <w:t xml:space="preserve">1-12  </w:t>
            </w:r>
            <w:r>
              <w:rPr>
                <w:rFonts w:hint="default" w:ascii="Times New Roman" w:hAnsi="Times New Roman" w:eastAsia="宋体" w:cs="Times New Roman"/>
                <w:b/>
                <w:bCs/>
                <w:color w:val="000000" w:themeColor="text1"/>
                <w:sz w:val="21"/>
                <w:szCs w:val="18"/>
                <w14:textFill>
                  <w14:solidFill>
                    <w14:schemeClr w14:val="tx1"/>
                  </w14:solidFill>
                </w14:textFill>
              </w:rPr>
              <w:t>与《</w:t>
            </w:r>
            <w:r>
              <w:rPr>
                <w:rFonts w:hint="eastAsia" w:ascii="Times New Roman" w:hAnsi="Times New Roman" w:eastAsia="宋体" w:cs="Times New Roman"/>
                <w:b/>
                <w:bCs/>
                <w:color w:val="000000" w:themeColor="text1"/>
                <w:sz w:val="21"/>
                <w:szCs w:val="18"/>
                <w:lang w:val="en-US" w:eastAsia="zh-CN"/>
                <w14:textFill>
                  <w14:solidFill>
                    <w14:schemeClr w14:val="tx1"/>
                  </w14:solidFill>
                </w14:textFill>
              </w:rPr>
              <w:t>生物质锅炉技术规范</w:t>
            </w:r>
            <w:r>
              <w:rPr>
                <w:rFonts w:hint="default" w:ascii="Times New Roman" w:hAnsi="Times New Roman" w:eastAsia="宋体" w:cs="Times New Roman"/>
                <w:b/>
                <w:bCs/>
                <w:color w:val="000000" w:themeColor="text1"/>
                <w:sz w:val="21"/>
                <w:szCs w:val="18"/>
                <w14:textFill>
                  <w14:solidFill>
                    <w14:schemeClr w14:val="tx1"/>
                  </w14:solidFill>
                </w14:textFill>
              </w:rPr>
              <w:t>》</w:t>
            </w:r>
            <w:r>
              <w:rPr>
                <w:rFonts w:hint="eastAsia" w:ascii="Times New Roman" w:hAnsi="Times New Roman" w:eastAsia="宋体" w:cs="Times New Roman"/>
                <w:b/>
                <w:bCs/>
                <w:color w:val="000000" w:themeColor="text1"/>
                <w:sz w:val="21"/>
                <w:szCs w:val="18"/>
                <w:lang w:val="en-US" w:eastAsia="zh-CN"/>
                <w14:textFill>
                  <w14:solidFill>
                    <w14:schemeClr w14:val="tx1"/>
                  </w14:solidFill>
                </w14:textFill>
              </w:rPr>
              <w:t>“9.6环保装置”</w:t>
            </w:r>
            <w:r>
              <w:rPr>
                <w:rFonts w:hint="default" w:ascii="Times New Roman" w:hAnsi="Times New Roman" w:eastAsia="宋体" w:cs="Times New Roman"/>
                <w:b/>
                <w:bCs/>
                <w:color w:val="000000" w:themeColor="text1"/>
                <w:sz w:val="21"/>
                <w:szCs w:val="18"/>
                <w14:textFill>
                  <w14:solidFill>
                    <w14:schemeClr w14:val="tx1"/>
                  </w14:solidFill>
                </w14:textFill>
              </w:rPr>
              <w:t>符合性分析表</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7"/>
              <w:gridCol w:w="2520"/>
              <w:gridCol w:w="903"/>
            </w:tblGrid>
            <w:tr w14:paraId="26088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9" w:hRule="atLeast"/>
                <w:jc w:val="center"/>
              </w:trPr>
              <w:tc>
                <w:tcPr>
                  <w:tcW w:w="2674" w:type="pct"/>
                  <w:vAlign w:val="center"/>
                </w:tcPr>
                <w:p w14:paraId="79B651BB">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相关要求</w:t>
                  </w:r>
                </w:p>
              </w:tc>
              <w:tc>
                <w:tcPr>
                  <w:tcW w:w="1711" w:type="pct"/>
                  <w:vAlign w:val="center"/>
                </w:tcPr>
                <w:p w14:paraId="60F3FC02">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eastAsia="zh-CN"/>
                      <w14:textFill>
                        <w14:solidFill>
                          <w14:schemeClr w14:val="tx1"/>
                        </w14:solidFill>
                      </w14:textFill>
                    </w:rPr>
                    <w:t>本项目燃料</w:t>
                  </w:r>
                </w:p>
              </w:tc>
              <w:tc>
                <w:tcPr>
                  <w:tcW w:w="613" w:type="pct"/>
                  <w:vAlign w:val="center"/>
                </w:tcPr>
                <w:p w14:paraId="6D22240B">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符合性</w:t>
                  </w:r>
                </w:p>
              </w:tc>
            </w:tr>
            <w:tr w14:paraId="28E31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674" w:type="pct"/>
                  <w:vAlign w:val="center"/>
                </w:tcPr>
                <w:p w14:paraId="61A8D17F">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锅炉系统设计时,</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应采取有效的除尘措施、脱硫措施、脱硝措施,保证锅炉系统大气污染物排放达到下列要求: </w:t>
                  </w:r>
                </w:p>
                <w:p w14:paraId="4C0FE6D8">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a) 对于额定蒸发量不大于65t/h蒸汽锅炉、各种额定热功率的热水锅炉和有机热载体锅炉,其大气污染物排放不应超过 GB13271中有关燃煤锅炉的排放限值; </w:t>
                  </w:r>
                </w:p>
                <w:p w14:paraId="0FECABA5">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b) 对于额定蒸发量大于65t/h的蒸汽锅炉,其大气污染物排放不应超过 GB13223中有关燃煤锅炉的排放限值。</w:t>
                  </w:r>
                </w:p>
              </w:tc>
              <w:tc>
                <w:tcPr>
                  <w:tcW w:w="1711" w:type="pct"/>
                  <w:vAlign w:val="center"/>
                </w:tcPr>
                <w:p w14:paraId="69327EB8">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本项目设置1台3t/h生物质锅炉</w:t>
                  </w:r>
                  <w:r>
                    <w:rPr>
                      <w:rFonts w:hint="eastAsia" w:eastAsia="宋体" w:cs="Times New Roman"/>
                      <w:color w:val="000000" w:themeColor="text1"/>
                      <w:sz w:val="21"/>
                      <w:szCs w:val="21"/>
                      <w:lang w:val="en-US" w:eastAsia="zh-CN"/>
                      <w14:textFill>
                        <w14:solidFill>
                          <w14:schemeClr w14:val="tx1"/>
                        </w14:solidFill>
                      </w14:textFill>
                    </w:rPr>
                    <w:t>，锅炉废气经</w:t>
                  </w:r>
                  <w:r>
                    <w:rPr>
                      <w:rFonts w:hint="eastAsia" w:cs="Times New Roman"/>
                      <w:color w:val="000000" w:themeColor="text1"/>
                      <w:sz w:val="21"/>
                      <w:szCs w:val="21"/>
                      <w:lang w:val="en-US" w:eastAsia="zh-CN"/>
                      <w14:textFill>
                        <w14:solidFill>
                          <w14:schemeClr w14:val="tx1"/>
                        </w14:solidFill>
                      </w14:textFill>
                    </w:rPr>
                    <w:t>“低氮燃烧+旋风除尘+布袋除尘”</w:t>
                  </w:r>
                  <w:r>
                    <w:rPr>
                      <w:rFonts w:hint="eastAsia" w:eastAsia="宋体" w:cs="Times New Roman"/>
                      <w:color w:val="000000" w:themeColor="text1"/>
                      <w:sz w:val="21"/>
                      <w:szCs w:val="21"/>
                      <w:lang w:val="en-US" w:eastAsia="zh-CN"/>
                      <w14:textFill>
                        <w14:solidFill>
                          <w14:schemeClr w14:val="tx1"/>
                        </w14:solidFill>
                      </w14:textFill>
                    </w:rPr>
                    <w:t>设施处理后通过</w:t>
                  </w:r>
                  <w:r>
                    <w:rPr>
                      <w:rFonts w:hint="eastAsia" w:cs="Times New Roman"/>
                      <w:color w:val="000000" w:themeColor="text1"/>
                      <w:sz w:val="21"/>
                      <w:szCs w:val="21"/>
                      <w:lang w:val="en-US" w:eastAsia="zh-CN"/>
                      <w14:textFill>
                        <w14:solidFill>
                          <w14:schemeClr w14:val="tx1"/>
                        </w14:solidFill>
                      </w14:textFill>
                    </w:rPr>
                    <w:t>30m高排气筒DA001排放，污染物排放能够满足《锅炉大气污染物排放标准》（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GB13271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-2014</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中标准限值。</w:t>
                  </w:r>
                </w:p>
              </w:tc>
              <w:tc>
                <w:tcPr>
                  <w:tcW w:w="613" w:type="pct"/>
                  <w:vAlign w:val="center"/>
                </w:tcPr>
                <w:p w14:paraId="515B2610">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44406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674" w:type="pct"/>
                  <w:vAlign w:val="center"/>
                </w:tcPr>
                <w:p w14:paraId="7377F2C3">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除尘器收集的干灰宜采用密闭气力输送方式送至干灰储仓储存。</w:t>
                  </w:r>
                </w:p>
                <w:p w14:paraId="73F2FD9E">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711" w:type="pct"/>
                  <w:vAlign w:val="center"/>
                </w:tcPr>
                <w:p w14:paraId="48B8D9DD">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本项目除尘灰出灰口设有收集袋进行收集，收集过程保持密闭性，避免集灰二次飞扬，除尘灰收集后统一转运</w:t>
                  </w:r>
                  <w:r>
                    <w:rPr>
                      <w:rFonts w:hint="eastAsia" w:cs="Times New Roman"/>
                      <w:color w:val="000000" w:themeColor="text1"/>
                      <w:sz w:val="21"/>
                      <w:szCs w:val="21"/>
                      <w:lang w:val="en-US" w:eastAsia="zh-CN"/>
                      <w14:textFill>
                        <w14:solidFill>
                          <w14:schemeClr w14:val="tx1"/>
                        </w14:solidFill>
                      </w14:textFill>
                    </w:rPr>
                    <w:t>堆渣棚</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内暂存，定期外售其他企业综合利用。</w:t>
                  </w:r>
                </w:p>
              </w:tc>
              <w:tc>
                <w:tcPr>
                  <w:tcW w:w="613" w:type="pct"/>
                  <w:vAlign w:val="center"/>
                </w:tcPr>
                <w:p w14:paraId="531C1745">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bl>
          <w:p w14:paraId="539EF03E">
            <w:pPr>
              <w:pStyle w:val="32"/>
              <w:keepNext w:val="0"/>
              <w:pageBreakBefore w:val="0"/>
              <w:kinsoku/>
              <w:overflowPunct/>
              <w:topLinePunct w:val="0"/>
              <w:bidi w:val="0"/>
              <w:spacing w:after="0" w:line="360" w:lineRule="auto"/>
              <w:ind w:left="0" w:leftChars="0" w:firstLine="480"/>
              <w:rPr>
                <w:rFonts w:hint="eastAsia"/>
                <w:color w:val="000000" w:themeColor="text1"/>
                <w:sz w:val="24"/>
                <w:lang w:eastAsia="zh-CN"/>
                <w14:textFill>
                  <w14:solidFill>
                    <w14:schemeClr w14:val="tx1"/>
                  </w14:solidFill>
                </w14:textFill>
              </w:rPr>
            </w:pPr>
          </w:p>
          <w:p w14:paraId="190307D1">
            <w:pPr>
              <w:pStyle w:val="32"/>
              <w:keepNext w:val="0"/>
              <w:pageBreakBefore w:val="0"/>
              <w:kinsoku/>
              <w:overflowPunct/>
              <w:topLinePunct w:val="0"/>
              <w:bidi w:val="0"/>
              <w:spacing w:after="0" w:line="360" w:lineRule="auto"/>
              <w:ind w:left="0" w:leftChars="0" w:firstLine="480"/>
              <w:rPr>
                <w:rFonts w:hint="eastAsia"/>
                <w:color w:val="000000" w:themeColor="text1"/>
                <w:sz w:val="24"/>
                <w:lang w:eastAsia="zh-CN"/>
                <w14:textFill>
                  <w14:solidFill>
                    <w14:schemeClr w14:val="tx1"/>
                  </w14:solidFill>
                </w14:textFill>
              </w:rPr>
            </w:pPr>
          </w:p>
          <w:p w14:paraId="64150CC3">
            <w:pPr>
              <w:pStyle w:val="32"/>
              <w:keepNext w:val="0"/>
              <w:pageBreakBefore w:val="0"/>
              <w:kinsoku/>
              <w:overflowPunct/>
              <w:topLinePunct w:val="0"/>
              <w:bidi w:val="0"/>
              <w:spacing w:after="0" w:line="360" w:lineRule="auto"/>
              <w:ind w:left="0" w:leftChars="0" w:firstLine="480"/>
              <w:rPr>
                <w:rFonts w:hint="eastAsia"/>
                <w:color w:val="000000" w:themeColor="text1"/>
                <w:sz w:val="24"/>
                <w:lang w:eastAsia="zh-CN"/>
                <w14:textFill>
                  <w14:solidFill>
                    <w14:schemeClr w14:val="tx1"/>
                  </w14:solidFill>
                </w14:textFill>
              </w:rPr>
            </w:pPr>
          </w:p>
          <w:p w14:paraId="00B1B463">
            <w:pPr>
              <w:pStyle w:val="32"/>
              <w:keepNext w:val="0"/>
              <w:pageBreakBefore w:val="0"/>
              <w:kinsoku/>
              <w:overflowPunct/>
              <w:topLinePunct w:val="0"/>
              <w:bidi w:val="0"/>
              <w:spacing w:after="0" w:line="360" w:lineRule="auto"/>
              <w:ind w:left="0" w:leftChars="0" w:firstLine="480"/>
              <w:rPr>
                <w:rFonts w:hint="eastAsia"/>
                <w:color w:val="000000" w:themeColor="text1"/>
                <w:sz w:val="24"/>
                <w:lang w:eastAsia="zh-CN"/>
                <w14:textFill>
                  <w14:solidFill>
                    <w14:schemeClr w14:val="tx1"/>
                  </w14:solidFill>
                </w14:textFill>
              </w:rPr>
            </w:pPr>
          </w:p>
          <w:p w14:paraId="4E252D09">
            <w:pPr>
              <w:pStyle w:val="32"/>
              <w:keepNext w:val="0"/>
              <w:pageBreakBefore w:val="0"/>
              <w:kinsoku/>
              <w:overflowPunct/>
              <w:topLinePunct w:val="0"/>
              <w:bidi w:val="0"/>
              <w:spacing w:after="0" w:line="360" w:lineRule="auto"/>
              <w:ind w:left="0" w:leftChars="0" w:firstLine="480"/>
              <w:rPr>
                <w:rFonts w:hint="eastAsia"/>
                <w:color w:val="000000" w:themeColor="text1"/>
                <w:sz w:val="24"/>
                <w:lang w:eastAsia="zh-CN"/>
                <w14:textFill>
                  <w14:solidFill>
                    <w14:schemeClr w14:val="tx1"/>
                  </w14:solidFill>
                </w14:textFill>
              </w:rPr>
            </w:pPr>
          </w:p>
          <w:p w14:paraId="3C45BBD0">
            <w:pPr>
              <w:pStyle w:val="32"/>
              <w:keepNext w:val="0"/>
              <w:pageBreakBefore w:val="0"/>
              <w:kinsoku/>
              <w:overflowPunct/>
              <w:topLinePunct w:val="0"/>
              <w:bidi w:val="0"/>
              <w:spacing w:after="0" w:line="360" w:lineRule="auto"/>
              <w:ind w:left="0" w:leftChars="0" w:firstLine="480"/>
              <w:rPr>
                <w:rFonts w:hint="eastAsia"/>
                <w:color w:val="000000" w:themeColor="text1"/>
                <w:sz w:val="24"/>
                <w:lang w:eastAsia="zh-CN"/>
                <w14:textFill>
                  <w14:solidFill>
                    <w14:schemeClr w14:val="tx1"/>
                  </w14:solidFill>
                </w14:textFill>
              </w:rPr>
            </w:pPr>
          </w:p>
          <w:p w14:paraId="3E4BF030">
            <w:pPr>
              <w:pStyle w:val="32"/>
              <w:keepNext w:val="0"/>
              <w:pageBreakBefore w:val="0"/>
              <w:kinsoku/>
              <w:overflowPunct/>
              <w:topLinePunct w:val="0"/>
              <w:bidi w:val="0"/>
              <w:spacing w:after="0" w:line="360" w:lineRule="auto"/>
              <w:ind w:left="0" w:leftChars="0" w:firstLine="480"/>
              <w:rPr>
                <w:rFonts w:hint="eastAsia"/>
                <w:color w:val="000000" w:themeColor="text1"/>
                <w:sz w:val="24"/>
                <w:lang w:eastAsia="zh-CN"/>
                <w14:textFill>
                  <w14:solidFill>
                    <w14:schemeClr w14:val="tx1"/>
                  </w14:solidFill>
                </w14:textFill>
              </w:rPr>
            </w:pPr>
          </w:p>
          <w:p w14:paraId="72741A1B">
            <w:pPr>
              <w:pStyle w:val="32"/>
              <w:keepNext w:val="0"/>
              <w:pageBreakBefore w:val="0"/>
              <w:kinsoku/>
              <w:overflowPunct/>
              <w:topLinePunct w:val="0"/>
              <w:bidi w:val="0"/>
              <w:spacing w:after="0" w:line="360" w:lineRule="auto"/>
              <w:ind w:left="0" w:leftChars="0" w:firstLine="480"/>
              <w:rPr>
                <w:rFonts w:hint="eastAsia"/>
                <w:color w:val="000000" w:themeColor="text1"/>
                <w:sz w:val="24"/>
                <w:lang w:eastAsia="zh-CN"/>
                <w14:textFill>
                  <w14:solidFill>
                    <w14:schemeClr w14:val="tx1"/>
                  </w14:solidFill>
                </w14:textFill>
              </w:rPr>
            </w:pPr>
          </w:p>
          <w:p w14:paraId="7C9CFA1D">
            <w:pPr>
              <w:pStyle w:val="32"/>
              <w:keepNext w:val="0"/>
              <w:pageBreakBefore w:val="0"/>
              <w:kinsoku/>
              <w:overflowPunct/>
              <w:topLinePunct w:val="0"/>
              <w:bidi w:val="0"/>
              <w:spacing w:after="0" w:line="360" w:lineRule="auto"/>
              <w:ind w:left="0" w:leftChars="0" w:firstLine="480"/>
              <w:rPr>
                <w:rFonts w:hint="eastAsia"/>
                <w:color w:val="000000" w:themeColor="text1"/>
                <w:sz w:val="24"/>
                <w:lang w:eastAsia="zh-CN"/>
                <w14:textFill>
                  <w14:solidFill>
                    <w14:schemeClr w14:val="tx1"/>
                  </w14:solidFill>
                </w14:textFill>
              </w:rPr>
            </w:pPr>
          </w:p>
          <w:p w14:paraId="1BDE139D">
            <w:pPr>
              <w:pStyle w:val="32"/>
              <w:keepNext w:val="0"/>
              <w:pageBreakBefore w:val="0"/>
              <w:kinsoku/>
              <w:overflowPunct/>
              <w:topLinePunct w:val="0"/>
              <w:bidi w:val="0"/>
              <w:spacing w:after="0" w:line="360" w:lineRule="auto"/>
              <w:ind w:left="0" w:leftChars="0" w:firstLine="480"/>
              <w:rPr>
                <w:rFonts w:hint="eastAsia"/>
                <w:color w:val="000000" w:themeColor="text1"/>
                <w:sz w:val="24"/>
                <w:lang w:eastAsia="zh-CN"/>
                <w14:textFill>
                  <w14:solidFill>
                    <w14:schemeClr w14:val="tx1"/>
                  </w14:solidFill>
                </w14:textFill>
              </w:rPr>
            </w:pPr>
          </w:p>
          <w:p w14:paraId="47B04C60">
            <w:pPr>
              <w:pStyle w:val="32"/>
              <w:keepNext w:val="0"/>
              <w:pageBreakBefore w:val="0"/>
              <w:kinsoku/>
              <w:overflowPunct/>
              <w:topLinePunct w:val="0"/>
              <w:bidi w:val="0"/>
              <w:spacing w:after="0" w:line="360" w:lineRule="auto"/>
              <w:ind w:left="0" w:leftChars="0" w:firstLine="480"/>
              <w:rPr>
                <w:rFonts w:hint="eastAsia"/>
                <w:color w:val="000000" w:themeColor="text1"/>
                <w:sz w:val="24"/>
                <w:lang w:eastAsia="zh-CN"/>
                <w14:textFill>
                  <w14:solidFill>
                    <w14:schemeClr w14:val="tx1"/>
                  </w14:solidFill>
                </w14:textFill>
              </w:rPr>
            </w:pPr>
          </w:p>
          <w:p w14:paraId="0E7C6DB4">
            <w:pPr>
              <w:pStyle w:val="32"/>
              <w:keepNext w:val="0"/>
              <w:pageBreakBefore w:val="0"/>
              <w:kinsoku/>
              <w:overflowPunct/>
              <w:topLinePunct w:val="0"/>
              <w:bidi w:val="0"/>
              <w:spacing w:after="0" w:line="360" w:lineRule="auto"/>
              <w:ind w:left="0" w:leftChars="0" w:firstLine="480"/>
              <w:rPr>
                <w:rFonts w:hint="eastAsia"/>
                <w:color w:val="000000" w:themeColor="text1"/>
                <w:sz w:val="24"/>
                <w:lang w:eastAsia="zh-CN"/>
                <w14:textFill>
                  <w14:solidFill>
                    <w14:schemeClr w14:val="tx1"/>
                  </w14:solidFill>
                </w14:textFill>
              </w:rPr>
            </w:pPr>
          </w:p>
          <w:p w14:paraId="3D2683E7">
            <w:pPr>
              <w:pStyle w:val="32"/>
              <w:keepNext w:val="0"/>
              <w:pageBreakBefore w:val="0"/>
              <w:kinsoku/>
              <w:overflowPunct/>
              <w:topLinePunct w:val="0"/>
              <w:bidi w:val="0"/>
              <w:spacing w:after="0" w:line="360" w:lineRule="auto"/>
              <w:ind w:left="0" w:leftChars="0" w:firstLine="480"/>
              <w:rPr>
                <w:rFonts w:hint="eastAsia"/>
                <w:color w:val="000000" w:themeColor="text1"/>
                <w:sz w:val="24"/>
                <w:lang w:eastAsia="zh-CN"/>
                <w14:textFill>
                  <w14:solidFill>
                    <w14:schemeClr w14:val="tx1"/>
                  </w14:solidFill>
                </w14:textFill>
              </w:rPr>
            </w:pPr>
          </w:p>
          <w:p w14:paraId="19FCCD13">
            <w:pPr>
              <w:pStyle w:val="32"/>
              <w:keepNext w:val="0"/>
              <w:pageBreakBefore w:val="0"/>
              <w:kinsoku/>
              <w:overflowPunct/>
              <w:topLinePunct w:val="0"/>
              <w:bidi w:val="0"/>
              <w:spacing w:after="0" w:line="360" w:lineRule="auto"/>
              <w:ind w:left="0" w:leftChars="0" w:firstLine="480"/>
              <w:rPr>
                <w:rFonts w:hint="eastAsia"/>
                <w:color w:val="000000" w:themeColor="text1"/>
                <w:sz w:val="24"/>
                <w:lang w:eastAsia="zh-CN"/>
                <w14:textFill>
                  <w14:solidFill>
                    <w14:schemeClr w14:val="tx1"/>
                  </w14:solidFill>
                </w14:textFill>
              </w:rPr>
            </w:pPr>
          </w:p>
          <w:p w14:paraId="5AF7DC1B">
            <w:pPr>
              <w:pStyle w:val="32"/>
              <w:keepNext w:val="0"/>
              <w:pageBreakBefore w:val="0"/>
              <w:kinsoku/>
              <w:overflowPunct/>
              <w:topLinePunct w:val="0"/>
              <w:bidi w:val="0"/>
              <w:spacing w:after="0" w:line="360" w:lineRule="auto"/>
              <w:ind w:left="0" w:leftChars="0" w:firstLine="480"/>
              <w:rPr>
                <w:rFonts w:hint="eastAsia"/>
                <w:color w:val="000000" w:themeColor="text1"/>
                <w:sz w:val="24"/>
                <w:lang w:eastAsia="zh-CN"/>
                <w14:textFill>
                  <w14:solidFill>
                    <w14:schemeClr w14:val="tx1"/>
                  </w14:solidFill>
                </w14:textFill>
              </w:rPr>
            </w:pPr>
          </w:p>
          <w:p w14:paraId="0DE81BD4">
            <w:pPr>
              <w:pStyle w:val="32"/>
              <w:keepNext w:val="0"/>
              <w:pageBreakBefore w:val="0"/>
              <w:kinsoku/>
              <w:overflowPunct/>
              <w:topLinePunct w:val="0"/>
              <w:bidi w:val="0"/>
              <w:spacing w:after="0" w:line="360" w:lineRule="auto"/>
              <w:ind w:left="0" w:leftChars="0" w:firstLine="480"/>
              <w:rPr>
                <w:rFonts w:hint="eastAsia"/>
                <w:color w:val="000000" w:themeColor="text1"/>
                <w:sz w:val="24"/>
                <w:lang w:eastAsia="zh-CN"/>
                <w14:textFill>
                  <w14:solidFill>
                    <w14:schemeClr w14:val="tx1"/>
                  </w14:solidFill>
                </w14:textFill>
              </w:rPr>
            </w:pPr>
          </w:p>
          <w:p w14:paraId="256E0A23">
            <w:pPr>
              <w:pStyle w:val="32"/>
              <w:keepNext w:val="0"/>
              <w:pageBreakBefore w:val="0"/>
              <w:kinsoku/>
              <w:overflowPunct/>
              <w:topLinePunct w:val="0"/>
              <w:bidi w:val="0"/>
              <w:spacing w:after="0" w:line="360" w:lineRule="auto"/>
              <w:ind w:left="0" w:leftChars="0" w:firstLine="480"/>
              <w:rPr>
                <w:rFonts w:hint="eastAsia"/>
                <w:color w:val="000000" w:themeColor="text1"/>
                <w:sz w:val="24"/>
                <w:lang w:eastAsia="zh-CN"/>
                <w14:textFill>
                  <w14:solidFill>
                    <w14:schemeClr w14:val="tx1"/>
                  </w14:solidFill>
                </w14:textFill>
              </w:rPr>
            </w:pPr>
          </w:p>
          <w:p w14:paraId="1844DDD5">
            <w:pPr>
              <w:pStyle w:val="32"/>
              <w:keepNext w:val="0"/>
              <w:pageBreakBefore w:val="0"/>
              <w:kinsoku/>
              <w:overflowPunct/>
              <w:topLinePunct w:val="0"/>
              <w:bidi w:val="0"/>
              <w:spacing w:after="0" w:line="360" w:lineRule="auto"/>
              <w:ind w:left="0" w:leftChars="0" w:firstLine="480"/>
              <w:rPr>
                <w:rFonts w:hint="eastAsia"/>
                <w:color w:val="000000" w:themeColor="text1"/>
                <w:sz w:val="24"/>
                <w:lang w:eastAsia="zh-CN"/>
                <w14:textFill>
                  <w14:solidFill>
                    <w14:schemeClr w14:val="tx1"/>
                  </w14:solidFill>
                </w14:textFill>
              </w:rPr>
            </w:pPr>
          </w:p>
          <w:p w14:paraId="087692DB">
            <w:pPr>
              <w:pStyle w:val="32"/>
              <w:keepNext w:val="0"/>
              <w:pageBreakBefore w:val="0"/>
              <w:kinsoku/>
              <w:overflowPunct/>
              <w:topLinePunct w:val="0"/>
              <w:bidi w:val="0"/>
              <w:spacing w:after="0" w:line="360" w:lineRule="auto"/>
              <w:ind w:left="0" w:leftChars="0" w:firstLine="480"/>
              <w:rPr>
                <w:rFonts w:hint="eastAsia"/>
                <w:color w:val="000000" w:themeColor="text1"/>
                <w:sz w:val="24"/>
                <w:lang w:eastAsia="zh-CN"/>
                <w14:textFill>
                  <w14:solidFill>
                    <w14:schemeClr w14:val="tx1"/>
                  </w14:solidFill>
                </w14:textFill>
              </w:rPr>
            </w:pPr>
          </w:p>
          <w:p w14:paraId="5D286C45">
            <w:pPr>
              <w:pStyle w:val="32"/>
              <w:keepNext w:val="0"/>
              <w:pageBreakBefore w:val="0"/>
              <w:kinsoku/>
              <w:overflowPunct/>
              <w:topLinePunct w:val="0"/>
              <w:bidi w:val="0"/>
              <w:spacing w:after="0" w:line="360" w:lineRule="auto"/>
              <w:ind w:left="0" w:leftChars="0" w:firstLine="480"/>
              <w:rPr>
                <w:rFonts w:hint="eastAsia"/>
                <w:color w:val="000000" w:themeColor="text1"/>
                <w:sz w:val="24"/>
                <w:lang w:eastAsia="zh-CN"/>
                <w14:textFill>
                  <w14:solidFill>
                    <w14:schemeClr w14:val="tx1"/>
                  </w14:solidFill>
                </w14:textFill>
              </w:rPr>
            </w:pPr>
          </w:p>
          <w:p w14:paraId="3CFD0714">
            <w:pPr>
              <w:pStyle w:val="32"/>
              <w:keepNext w:val="0"/>
              <w:pageBreakBefore w:val="0"/>
              <w:kinsoku/>
              <w:overflowPunct/>
              <w:topLinePunct w:val="0"/>
              <w:bidi w:val="0"/>
              <w:spacing w:after="0" w:line="360" w:lineRule="auto"/>
              <w:ind w:left="0" w:leftChars="0" w:firstLine="480"/>
              <w:rPr>
                <w:rFonts w:hint="eastAsia"/>
                <w:color w:val="000000" w:themeColor="text1"/>
                <w:sz w:val="24"/>
                <w:lang w:eastAsia="zh-CN"/>
                <w14:textFill>
                  <w14:solidFill>
                    <w14:schemeClr w14:val="tx1"/>
                  </w14:solidFill>
                </w14:textFill>
              </w:rPr>
            </w:pPr>
          </w:p>
          <w:p w14:paraId="24D75657">
            <w:pPr>
              <w:pStyle w:val="88"/>
              <w:keepNext w:val="0"/>
              <w:pageBreakBefore w:val="0"/>
              <w:kinsoku/>
              <w:overflowPunct/>
              <w:topLinePunct w:val="0"/>
              <w:bidi w:val="0"/>
              <w:ind w:left="0" w:leftChars="0" w:right="0" w:firstLine="0" w:firstLineChars="0"/>
              <w:rPr>
                <w:rFonts w:hint="eastAsia" w:eastAsia="宋体"/>
                <w:color w:val="000000" w:themeColor="text1"/>
                <w:kern w:val="0"/>
                <w:lang w:eastAsia="zh-CN"/>
                <w14:textFill>
                  <w14:solidFill>
                    <w14:schemeClr w14:val="tx1"/>
                  </w14:solidFill>
                </w14:textFill>
              </w:rPr>
            </w:pPr>
          </w:p>
        </w:tc>
      </w:tr>
    </w:tbl>
    <w:p w14:paraId="2A2C3E19">
      <w:pPr>
        <w:pStyle w:val="14"/>
        <w:pageBreakBefore w:val="0"/>
        <w:kinsoku/>
        <w:overflowPunct/>
        <w:topLinePunct w:val="0"/>
        <w:bidi w:val="0"/>
        <w:spacing w:after="0"/>
        <w:ind w:left="0" w:leftChars="0" w:right="0"/>
        <w:rPr>
          <w:rFonts w:hint="eastAsia" w:eastAsia="宋体"/>
          <w:color w:val="000000" w:themeColor="text1"/>
          <w:lang w:eastAsia="zh-CN"/>
          <w14:textFill>
            <w14:solidFill>
              <w14:schemeClr w14:val="tx1"/>
            </w14:solidFill>
          </w14:textFill>
        </w:rPr>
      </w:pPr>
    </w:p>
    <w:p w14:paraId="2A591200">
      <w:pPr>
        <w:pageBreakBefore w:val="0"/>
        <w:kinsoku/>
        <w:overflowPunct/>
        <w:topLinePunct w:val="0"/>
        <w:bidi w:val="0"/>
        <w:ind w:left="0" w:leftChars="0" w:right="0"/>
        <w:rPr>
          <w:rFonts w:hint="eastAsia" w:eastAsia="宋体"/>
          <w:color w:val="000000" w:themeColor="text1"/>
          <w:lang w:eastAsia="zh-CN"/>
          <w14:textFill>
            <w14:solidFill>
              <w14:schemeClr w14:val="tx1"/>
            </w14:solidFill>
          </w14:textFill>
        </w:rPr>
        <w:sectPr>
          <w:footerReference r:id="rId4" w:type="default"/>
          <w:pgSz w:w="11906" w:h="16838"/>
          <w:pgMar w:top="1417" w:right="1417" w:bottom="1417" w:left="1417"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6E80A2E3">
      <w:pPr>
        <w:pStyle w:val="29"/>
        <w:pageBreakBefore w:val="0"/>
        <w:kinsoku/>
        <w:overflowPunct/>
        <w:topLinePunct w:val="0"/>
        <w:bidi w:val="0"/>
        <w:adjustRightInd w:val="0"/>
        <w:snapToGrid w:val="0"/>
        <w:spacing w:before="0" w:beforeAutospacing="0" w:after="0" w:afterAutospacing="0"/>
        <w:ind w:left="0" w:leftChars="0" w:right="0"/>
        <w:jc w:val="center"/>
        <w:outlineLvl w:val="0"/>
        <w:rPr>
          <w:rFonts w:ascii="Times New Roman" w:hAnsi="Times New Roman"/>
          <w:b/>
          <w:bCs/>
          <w:snapToGrid w:val="0"/>
          <w:color w:val="000000" w:themeColor="text1"/>
          <w:sz w:val="30"/>
          <w:szCs w:val="30"/>
          <w14:textFill>
            <w14:solidFill>
              <w14:schemeClr w14:val="tx1"/>
            </w14:solidFill>
          </w14:textFill>
        </w:rPr>
      </w:pPr>
      <w:bookmarkStart w:id="4" w:name="_Toc22458"/>
      <w:bookmarkStart w:id="5" w:name="_Toc1587"/>
      <w:r>
        <w:rPr>
          <w:rFonts w:ascii="Times New Roman" w:hAnsi="Times New Roman"/>
          <w:b/>
          <w:bCs/>
          <w:snapToGrid w:val="0"/>
          <w:color w:val="000000" w:themeColor="text1"/>
          <w:sz w:val="30"/>
          <w:szCs w:val="30"/>
          <w14:textFill>
            <w14:solidFill>
              <w14:schemeClr w14:val="tx1"/>
            </w14:solidFill>
          </w14:textFill>
        </w:rPr>
        <w:t>二、建设项目工程分析</w:t>
      </w:r>
      <w:bookmarkEnd w:id="4"/>
      <w:bookmarkEnd w:id="5"/>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8496"/>
      </w:tblGrid>
      <w:tr w14:paraId="1A684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4" w:type="dxa"/>
            <w:vAlign w:val="center"/>
          </w:tcPr>
          <w:p w14:paraId="7101FFA9">
            <w:pPr>
              <w:pStyle w:val="29"/>
              <w:pageBreakBefore w:val="0"/>
              <w:kinsoku/>
              <w:overflowPunct/>
              <w:topLinePunct w:val="0"/>
              <w:bidi w:val="0"/>
              <w:adjustRightInd w:val="0"/>
              <w:snapToGrid w:val="0"/>
              <w:spacing w:before="0" w:beforeAutospacing="0" w:after="0" w:afterAutospacing="0"/>
              <w:ind w:left="0" w:leftChars="0" w:right="0" w:rightChars="0"/>
              <w:jc w:val="center"/>
              <w:rPr>
                <w:rFonts w:hint="eastAsia" w:ascii="Times New Roman" w:hAnsi="Times New Roman" w:eastAsia="宋体"/>
                <w:b w:val="0"/>
                <w:bCs w:val="0"/>
                <w:snapToGrid w:val="0"/>
                <w:color w:val="000000" w:themeColor="text1"/>
                <w:sz w:val="24"/>
                <w:szCs w:val="24"/>
                <w:vertAlign w:val="baseline"/>
                <w:lang w:eastAsia="zh-CN"/>
                <w14:textFill>
                  <w14:solidFill>
                    <w14:schemeClr w14:val="tx1"/>
                  </w14:solidFill>
                </w14:textFill>
              </w:rPr>
            </w:pPr>
            <w:r>
              <w:rPr>
                <w:rFonts w:ascii="Times New Roman" w:hAnsi="Times New Roman"/>
                <w:color w:val="000000" w:themeColor="text1"/>
                <w:szCs w:val="24"/>
                <w14:textFill>
                  <w14:solidFill>
                    <w14:schemeClr w14:val="tx1"/>
                  </w14:solidFill>
                </w14:textFill>
              </w:rPr>
              <w:t>建设内容</w:t>
            </w:r>
          </w:p>
        </w:tc>
        <w:tc>
          <w:tcPr>
            <w:tcW w:w="8496" w:type="dxa"/>
          </w:tcPr>
          <w:p w14:paraId="019B3DB2">
            <w:pPr>
              <w:pStyle w:val="51"/>
              <w:pageBreakBefore w:val="0"/>
              <w:kinsoku/>
              <w:overflowPunct/>
              <w:topLinePunct w:val="0"/>
              <w:bidi w:val="0"/>
              <w:ind w:left="0" w:leftChars="0" w:right="0"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b/>
                <w:bCs/>
                <w:color w:val="000000" w:themeColor="text1"/>
                <w14:textFill>
                  <w14:solidFill>
                    <w14:schemeClr w14:val="tx1"/>
                  </w14:solidFill>
                </w14:textFill>
              </w:rPr>
              <w:t>项目由来</w:t>
            </w:r>
          </w:p>
          <w:p w14:paraId="7F130FF1">
            <w:pPr>
              <w:pStyle w:val="51"/>
              <w:pageBreakBefore w:val="0"/>
              <w:kinsoku/>
              <w:overflowPunct/>
              <w:topLinePunct w:val="0"/>
              <w:bidi w:val="0"/>
              <w:ind w:left="0" w:leftChars="0" w:right="0" w:firstLine="48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峨山县文邦</w:t>
            </w:r>
            <w:r>
              <w:rPr>
                <w:rFonts w:hint="default" w:cs="Times New Roman"/>
                <w:color w:val="000000" w:themeColor="text1"/>
                <w:lang w:eastAsia="zh-CN"/>
                <w14:textFill>
                  <w14:solidFill>
                    <w14:schemeClr w14:val="tx1"/>
                  </w14:solidFill>
                </w14:textFill>
              </w:rPr>
              <w:t>包装制品有限公司</w:t>
            </w:r>
            <w:r>
              <w:rPr>
                <w:rFonts w:hint="eastAsia" w:cs="Times New Roman"/>
                <w:color w:val="000000" w:themeColor="text1"/>
                <w:lang w:eastAsia="zh-CN"/>
                <w14:textFill>
                  <w14:solidFill>
                    <w14:schemeClr w14:val="tx1"/>
                  </w14:solidFill>
                </w14:textFill>
              </w:rPr>
              <w:t>成立于2013年01月18日，位于峨山县双江街道办事处石花村，公司现有《峨山县文邦</w:t>
            </w:r>
            <w:r>
              <w:rPr>
                <w:rFonts w:hint="default" w:cs="Times New Roman"/>
                <w:color w:val="000000" w:themeColor="text1"/>
                <w:lang w:eastAsia="zh-CN"/>
                <w14:textFill>
                  <w14:solidFill>
                    <w14:schemeClr w14:val="tx1"/>
                  </w14:solidFill>
                </w14:textFill>
              </w:rPr>
              <w:t>包装制品有限公司</w:t>
            </w:r>
            <w:r>
              <w:rPr>
                <w:rFonts w:hint="eastAsia" w:cs="Times New Roman"/>
                <w:color w:val="000000" w:themeColor="text1"/>
                <w:lang w:eastAsia="zh-CN"/>
                <w14:textFill>
                  <w14:solidFill>
                    <w14:schemeClr w14:val="tx1"/>
                  </w14:solidFill>
                </w14:textFill>
              </w:rPr>
              <w:t>年产</w:t>
            </w:r>
            <w:r>
              <w:rPr>
                <w:rFonts w:hint="eastAsia" w:cs="Times New Roman"/>
                <w:color w:val="000000" w:themeColor="text1"/>
                <w:lang w:val="en-US" w:eastAsia="zh-CN"/>
                <w14:textFill>
                  <w14:solidFill>
                    <w14:schemeClr w14:val="tx1"/>
                  </w14:solidFill>
                </w14:textFill>
              </w:rPr>
              <w:t>8万立方米建筑泡沫板材、50万件（套）泡沫包装制品技改搬迁项目</w:t>
            </w:r>
            <w:r>
              <w:rPr>
                <w:rFonts w:hint="eastAsia" w:cs="Times New Roman"/>
                <w:color w:val="000000" w:themeColor="text1"/>
                <w:lang w:eastAsia="zh-CN"/>
                <w14:textFill>
                  <w14:solidFill>
                    <w14:schemeClr w14:val="tx1"/>
                  </w14:solidFill>
                </w14:textFill>
              </w:rPr>
              <w:t>》（以下简称“现有项目”）</w:t>
            </w:r>
            <w:r>
              <w:rPr>
                <w:rFonts w:hint="eastAsia" w:cs="Times New Roman"/>
                <w:color w:val="000000" w:themeColor="text1"/>
                <w:lang w:val="en-US" w:eastAsia="zh-CN"/>
                <w14:textFill>
                  <w14:solidFill>
                    <w14:schemeClr w14:val="tx1"/>
                  </w14:solidFill>
                </w14:textFill>
              </w:rPr>
              <w:t>。</w:t>
            </w:r>
          </w:p>
          <w:p w14:paraId="282BCD58">
            <w:pPr>
              <w:pStyle w:val="51"/>
              <w:pageBreakBefore w:val="0"/>
              <w:kinsoku/>
              <w:overflowPunct/>
              <w:topLinePunct w:val="0"/>
              <w:bidi w:val="0"/>
              <w:ind w:left="0" w:leftChars="0" w:right="0" w:firstLine="48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近年来，随着相关环保法律法规完善，为此，</w:t>
            </w:r>
            <w:r>
              <w:rPr>
                <w:rFonts w:hint="eastAsia" w:cs="Times New Roman"/>
                <w:color w:val="000000" w:themeColor="text1"/>
                <w:lang w:eastAsia="zh-CN"/>
                <w14:textFill>
                  <w14:solidFill>
                    <w14:schemeClr w14:val="tx1"/>
                  </w14:solidFill>
                </w14:textFill>
              </w:rPr>
              <w:t>峨山县文邦</w:t>
            </w:r>
            <w:r>
              <w:rPr>
                <w:rFonts w:hint="default" w:cs="Times New Roman"/>
                <w:color w:val="000000" w:themeColor="text1"/>
                <w:lang w:eastAsia="zh-CN"/>
                <w14:textFill>
                  <w14:solidFill>
                    <w14:schemeClr w14:val="tx1"/>
                  </w14:solidFill>
                </w14:textFill>
              </w:rPr>
              <w:t>包装制品有限公司</w:t>
            </w:r>
            <w:r>
              <w:rPr>
                <w:rFonts w:hint="eastAsia" w:cs="Times New Roman"/>
                <w:color w:val="000000" w:themeColor="text1"/>
                <w:lang w:eastAsia="zh-CN"/>
                <w14:textFill>
                  <w14:solidFill>
                    <w14:schemeClr w14:val="tx1"/>
                  </w14:solidFill>
                </w14:textFill>
              </w:rPr>
              <w:t>进行“</w:t>
            </w:r>
            <w:r>
              <w:rPr>
                <w:rFonts w:hint="eastAsia" w:cs="Times New Roman"/>
                <w:color w:val="000000" w:themeColor="text1"/>
                <w:lang w:val="en-US" w:eastAsia="zh-CN"/>
                <w14:textFill>
                  <w14:solidFill>
                    <w14:schemeClr w14:val="tx1"/>
                  </w14:solidFill>
                </w14:textFill>
              </w:rPr>
              <w:t>文邦包装锅炉以及环保设施技改项目</w:t>
            </w:r>
            <w:r>
              <w:rPr>
                <w:rFonts w:hint="eastAsia" w:cs="Times New Roman"/>
                <w:color w:val="000000" w:themeColor="text1"/>
                <w:lang w:eastAsia="zh-CN"/>
                <w14:textFill>
                  <w14:solidFill>
                    <w14:schemeClr w14:val="tx1"/>
                  </w14:solidFill>
                </w14:textFill>
              </w:rPr>
              <w:t>”建设，主要建设内容为：现有</w:t>
            </w:r>
            <w:r>
              <w:rPr>
                <w:rFonts w:hint="eastAsia" w:cs="Times New Roman"/>
                <w:color w:val="000000" w:themeColor="text1"/>
                <w:lang w:val="en-US" w:eastAsia="zh-CN"/>
                <w14:textFill>
                  <w14:solidFill>
                    <w14:schemeClr w14:val="tx1"/>
                  </w14:solidFill>
                </w14:textFill>
              </w:rPr>
              <w:t>1台2t/h的燃煤锅炉拆除，新建1台3t/h的生物质锅炉，新增“低氮燃烧+旋风除尘+布袋除尘”设施；</w:t>
            </w:r>
            <w:r>
              <w:rPr>
                <w:rFonts w:hint="default" w:eastAsia="宋体" w:cs="Times New Roman"/>
                <w:color w:val="000000" w:themeColor="text1"/>
                <w:lang w:val="en-US" w:eastAsia="zh-CN"/>
                <w14:textFill>
                  <w14:solidFill>
                    <w14:schemeClr w14:val="tx1"/>
                  </w14:solidFill>
                </w14:textFill>
              </w:rPr>
              <w:t>本项目</w:t>
            </w:r>
            <w:r>
              <w:rPr>
                <w:rFonts w:hint="eastAsia" w:eastAsia="宋体" w:cs="Times New Roman"/>
                <w:color w:val="000000" w:themeColor="text1"/>
                <w:lang w:val="en-US" w:eastAsia="zh-CN"/>
                <w14:textFill>
                  <w14:solidFill>
                    <w14:schemeClr w14:val="tx1"/>
                  </w14:solidFill>
                </w14:textFill>
              </w:rPr>
              <w:t>新增有机废气集气罩以及有机废气治理设施“两级活性炭吸附装置”，新增</w:t>
            </w:r>
            <w:r>
              <w:rPr>
                <w:rFonts w:hint="eastAsia" w:cs="Times New Roman"/>
                <w:color w:val="000000" w:themeColor="text1"/>
                <w:lang w:val="en-US" w:eastAsia="zh-CN"/>
                <w14:textFill>
                  <w14:solidFill>
                    <w14:schemeClr w14:val="tx1"/>
                  </w14:solidFill>
                </w14:textFill>
              </w:rPr>
              <w:t>1根15m高排气筒DA002；新增1套一体化生活污水处理设施。</w:t>
            </w:r>
          </w:p>
          <w:p w14:paraId="268B654F">
            <w:pPr>
              <w:pStyle w:val="18"/>
              <w:keepNext w:val="0"/>
              <w:keepLines w:val="0"/>
              <w:pageBreakBefore w:val="0"/>
              <w:kinsoku/>
              <w:wordWrap/>
              <w:overflowPunct/>
              <w:topLinePunct w:val="0"/>
              <w:bidi w:val="0"/>
              <w:snapToGrid/>
              <w:spacing w:line="360" w:lineRule="auto"/>
              <w:ind w:firstLine="480" w:firstLineChars="200"/>
              <w:textAlignment w:val="auto"/>
              <w:outlineLvl w:val="9"/>
              <w:rPr>
                <w:rFonts w:hint="default" w:ascii="Times New Roman" w:hAnsi="Times New Roman" w:eastAsia="宋体" w:cs="Times New Roman"/>
                <w:b w:val="0"/>
                <w:bCs/>
                <w:color w:val="000000" w:themeColor="text1"/>
                <w:sz w:val="24"/>
                <w:szCs w:val="24"/>
                <w:lang w:val="en-US"/>
                <w14:textFill>
                  <w14:solidFill>
                    <w14:schemeClr w14:val="tx1"/>
                  </w14:solidFill>
                </w14:textFill>
              </w:rPr>
            </w:pP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文邦包装锅炉以及环保设施技改项目</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14:textFill>
                  <w14:solidFill>
                    <w14:schemeClr w14:val="tx1"/>
                  </w14:solidFill>
                </w14:textFill>
              </w:rPr>
              <w:t>于20</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25</w:t>
            </w:r>
            <w:r>
              <w:rPr>
                <w:rFonts w:hint="default" w:ascii="Times New Roman" w:hAnsi="Times New Roman" w:eastAsia="宋体" w:cs="Times New Roman"/>
                <w:b w:val="0"/>
                <w:bCs/>
                <w:color w:val="000000" w:themeColor="text1"/>
                <w:sz w:val="24"/>
                <w:szCs w:val="24"/>
                <w14:textFill>
                  <w14:solidFill>
                    <w14:schemeClr w14:val="tx1"/>
                  </w14:solidFill>
                </w14:textFill>
              </w:rPr>
              <w:t>年</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11</w:t>
            </w:r>
            <w:r>
              <w:rPr>
                <w:rFonts w:hint="default" w:ascii="Times New Roman" w:hAnsi="Times New Roman" w:eastAsia="宋体" w:cs="Times New Roman"/>
                <w:b w:val="0"/>
                <w:bCs/>
                <w:color w:val="000000" w:themeColor="text1"/>
                <w:sz w:val="24"/>
                <w:szCs w:val="24"/>
                <w14:textFill>
                  <w14:solidFill>
                    <w14:schemeClr w14:val="tx1"/>
                  </w14:solidFill>
                </w14:textFill>
              </w:rPr>
              <w:t>月</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27</w:t>
            </w:r>
            <w:r>
              <w:rPr>
                <w:rFonts w:hint="default" w:ascii="Times New Roman" w:hAnsi="Times New Roman" w:eastAsia="宋体" w:cs="Times New Roman"/>
                <w:b w:val="0"/>
                <w:bCs/>
                <w:color w:val="000000" w:themeColor="text1"/>
                <w:sz w:val="24"/>
                <w:szCs w:val="24"/>
                <w14:textFill>
                  <w14:solidFill>
                    <w14:schemeClr w14:val="tx1"/>
                  </w14:solidFill>
                </w14:textFill>
              </w:rPr>
              <w:t>日取得</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峨山</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县发展和改革局</w:t>
            </w: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核发的《云南省固定资产投资项目备案证》</w:t>
            </w:r>
            <w:r>
              <w:rPr>
                <w:rFonts w:hint="default" w:ascii="Times New Roman" w:hAnsi="Times New Roman" w:eastAsia="宋体" w:cs="Times New Roman"/>
                <w:b w:val="0"/>
                <w:bCs/>
                <w:color w:val="000000" w:themeColor="text1"/>
                <w:sz w:val="24"/>
                <w:szCs w:val="24"/>
                <w14:textFill>
                  <w14:solidFill>
                    <w14:schemeClr w14:val="tx1"/>
                  </w14:solidFill>
                </w14:textFill>
              </w:rPr>
              <w:t>，项目代码</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511</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-5304</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26</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-04-02-</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334555</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，同意项目建设。</w:t>
            </w:r>
          </w:p>
          <w:p w14:paraId="1B08C258">
            <w:pPr>
              <w:pStyle w:val="51"/>
              <w:pageBreakBefore w:val="0"/>
              <w:kinsoku/>
              <w:overflowPunct/>
              <w:topLinePunct w:val="0"/>
              <w:bidi w:val="0"/>
              <w:ind w:left="0" w:leftChars="0" w:right="0" w:firstLine="480"/>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根据《中华人民共和国环境保护法》、《中华人民共和国环境影响评价法》、《建设项目环境保护管理条例》和《云南省建设项目环境保护管理规定》的规定，建设项目必须履行环境影响评价制度。根据《建设项目环境影响评价分类管理名录》（2021年版）等有关法律、法规的要求</w:t>
            </w:r>
            <w:r>
              <w:rPr>
                <w:rFonts w:hint="default" w:ascii="Times New Roman" w:hAnsi="Times New Roman" w:cs="Times New Roman"/>
                <w:color w:val="000000" w:themeColor="text1"/>
                <w:lang w:val="en-US" w:eastAsia="zh-CN"/>
                <w14:textFill>
                  <w14:solidFill>
                    <w14:schemeClr w14:val="tx1"/>
                  </w14:solidFill>
                </w14:textFill>
              </w:rPr>
              <w:t>进行判定，判定一览表如下。</w:t>
            </w:r>
          </w:p>
          <w:p w14:paraId="2A6731D8">
            <w:pPr>
              <w:pStyle w:val="51"/>
              <w:keepNext w:val="0"/>
              <w:keepLines w:val="0"/>
              <w:pageBreakBefore w:val="0"/>
              <w:widowControl w:val="0"/>
              <w:kinsoku/>
              <w:wordWrap w:val="0"/>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4"/>
                <w:lang w:val="en-US" w:eastAsia="zh-CN" w:bidi="ar-SA"/>
                <w14:textFill>
                  <w14:solidFill>
                    <w14:schemeClr w14:val="tx1"/>
                  </w14:solidFill>
                </w14:textFill>
              </w:rPr>
              <w:t>表2-1 《建设项目环境影响评价分类管理名录》环评类别判定</w:t>
            </w:r>
          </w:p>
          <w:tbl>
            <w:tblPr>
              <w:tblStyle w:val="3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6"/>
              <w:gridCol w:w="1349"/>
              <w:gridCol w:w="1888"/>
              <w:gridCol w:w="1283"/>
              <w:gridCol w:w="1624"/>
              <w:gridCol w:w="745"/>
            </w:tblGrid>
            <w:tr w14:paraId="11D0E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2" w:type="pct"/>
                  <w:vAlign w:val="center"/>
                </w:tcPr>
                <w:p w14:paraId="5B75D780">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环评项目类别</w:t>
                  </w:r>
                </w:p>
              </w:tc>
              <w:tc>
                <w:tcPr>
                  <w:tcW w:w="816" w:type="pct"/>
                  <w:vAlign w:val="center"/>
                </w:tcPr>
                <w:p w14:paraId="4A637835">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报告书</w:t>
                  </w:r>
                </w:p>
              </w:tc>
              <w:tc>
                <w:tcPr>
                  <w:tcW w:w="1142" w:type="pct"/>
                  <w:vAlign w:val="center"/>
                </w:tcPr>
                <w:p w14:paraId="27B06076">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报告表</w:t>
                  </w:r>
                </w:p>
              </w:tc>
              <w:tc>
                <w:tcPr>
                  <w:tcW w:w="776" w:type="pct"/>
                  <w:vAlign w:val="center"/>
                </w:tcPr>
                <w:p w14:paraId="2945E036">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登记表</w:t>
                  </w:r>
                </w:p>
              </w:tc>
              <w:tc>
                <w:tcPr>
                  <w:tcW w:w="982" w:type="pct"/>
                  <w:vAlign w:val="center"/>
                </w:tcPr>
                <w:p w14:paraId="10A058C3">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本项目情况</w:t>
                  </w:r>
                </w:p>
              </w:tc>
              <w:tc>
                <w:tcPr>
                  <w:tcW w:w="450" w:type="pct"/>
                  <w:vAlign w:val="center"/>
                </w:tcPr>
                <w:p w14:paraId="64776C13">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环评类别判定</w:t>
                  </w:r>
                </w:p>
              </w:tc>
            </w:tr>
            <w:tr w14:paraId="5590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14:paraId="5A9B75B7">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热力生产和供应工程（包括建设单位自建 自用的供热工程）</w:t>
                  </w:r>
                </w:p>
              </w:tc>
              <w:tc>
                <w:tcPr>
                  <w:tcW w:w="816" w:type="pct"/>
                  <w:vAlign w:val="center"/>
                </w:tcPr>
                <w:p w14:paraId="59C148BE">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燃煤、燃油锅炉总容量65吨/小时（45.5兆瓦）以上的</w:t>
                  </w:r>
                </w:p>
              </w:tc>
              <w:tc>
                <w:tcPr>
                  <w:tcW w:w="1142" w:type="pct"/>
                  <w:vAlign w:val="center"/>
                </w:tcPr>
                <w:p w14:paraId="1C06B793">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燃煤、燃油锅炉总容量65吨/小时（45.5兆瓦）及以下的；天然气锅炉总容量1吨/小时（0.7兆瓦）以上的；使用其他高污染燃料的（高污染燃料指国环规大气〔2017〕2号《高污染燃料目录》中规定的燃料）</w:t>
                  </w:r>
                </w:p>
              </w:tc>
              <w:tc>
                <w:tcPr>
                  <w:tcW w:w="776" w:type="pct"/>
                  <w:vAlign w:val="center"/>
                </w:tcPr>
                <w:p w14:paraId="5CFA3B17">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w:t>
                  </w:r>
                </w:p>
              </w:tc>
              <w:tc>
                <w:tcPr>
                  <w:tcW w:w="982" w:type="pct"/>
                  <w:vAlign w:val="center"/>
                </w:tcPr>
                <w:p w14:paraId="555AD39C">
                  <w:pPr>
                    <w:pageBreakBefore w:val="0"/>
                    <w:kinsoku/>
                    <w:overflowPunct/>
                    <w:topLinePunct w:val="0"/>
                    <w:bidi w:val="0"/>
                    <w:adjustRightInd w:val="0"/>
                    <w:snapToGrid w:val="0"/>
                    <w:ind w:left="0" w:leftChars="0" w:right="0"/>
                    <w:jc w:val="center"/>
                    <w:rPr>
                      <w:rFonts w:hint="default"/>
                      <w:color w:val="000000" w:themeColor="text1"/>
                      <w:sz w:val="18"/>
                      <w:szCs w:val="21"/>
                      <w:lang w:val="en-US" w:eastAsia="zh-CN"/>
                      <w14:textFill>
                        <w14:solidFill>
                          <w14:schemeClr w14:val="tx1"/>
                        </w14:solidFill>
                      </w14:textFill>
                    </w:rPr>
                  </w:pPr>
                  <w:r>
                    <w:rPr>
                      <w:rFonts w:hint="eastAsia"/>
                      <w:color w:val="000000" w:themeColor="text1"/>
                      <w:sz w:val="18"/>
                      <w:szCs w:val="21"/>
                      <w:lang w:val="en-US" w:eastAsia="zh-CN"/>
                      <w14:textFill>
                        <w14:solidFill>
                          <w14:schemeClr w14:val="tx1"/>
                        </w14:solidFill>
                      </w14:textFill>
                    </w:rPr>
                    <w:t>本项目拆除现有1台2t/h燃煤锅炉，新增1台3t/h生物质锅炉</w:t>
                  </w:r>
                </w:p>
              </w:tc>
              <w:tc>
                <w:tcPr>
                  <w:tcW w:w="450" w:type="pct"/>
                  <w:vAlign w:val="center"/>
                </w:tcPr>
                <w:p w14:paraId="68D7F7F1">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报告表</w:t>
                  </w:r>
                </w:p>
              </w:tc>
            </w:tr>
            <w:tr w14:paraId="7CCA3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14:paraId="028FE2FD">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18"/>
                      <w:szCs w:val="21"/>
                      <w:lang w:val="en-US" w:eastAsia="zh-CN"/>
                      <w14:textFill>
                        <w14:solidFill>
                          <w14:schemeClr w14:val="tx1"/>
                        </w14:solidFill>
                      </w14:textFill>
                    </w:rPr>
                  </w:pPr>
                  <w:r>
                    <w:rPr>
                      <w:rFonts w:hint="eastAsia" w:ascii="Times New Roman" w:hAnsi="Times New Roman" w:eastAsia="宋体" w:cs="Times New Roman"/>
                      <w:color w:val="000000" w:themeColor="text1"/>
                      <w:sz w:val="18"/>
                      <w:szCs w:val="21"/>
                      <w:lang w:val="en-US" w:eastAsia="zh-CN"/>
                      <w14:textFill>
                        <w14:solidFill>
                          <w14:schemeClr w14:val="tx1"/>
                        </w14:solidFill>
                      </w14:textFill>
                    </w:rPr>
                    <w:t>脱硫、脱硝、除尘、VOCs治理等大气污染治理工程</w:t>
                  </w:r>
                </w:p>
              </w:tc>
              <w:tc>
                <w:tcPr>
                  <w:tcW w:w="816" w:type="pct"/>
                  <w:vAlign w:val="center"/>
                </w:tcPr>
                <w:p w14:paraId="54066818">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18"/>
                      <w:szCs w:val="21"/>
                      <w:lang w:val="en-US" w:eastAsia="zh-CN"/>
                      <w14:textFill>
                        <w14:solidFill>
                          <w14:schemeClr w14:val="tx1"/>
                        </w14:solidFill>
                      </w14:textFill>
                    </w:rPr>
                  </w:pPr>
                  <w:r>
                    <w:rPr>
                      <w:rFonts w:hint="eastAsia" w:ascii="Times New Roman" w:hAnsi="Times New Roman" w:eastAsia="宋体" w:cs="Times New Roman"/>
                      <w:color w:val="000000" w:themeColor="text1"/>
                      <w:sz w:val="18"/>
                      <w:szCs w:val="21"/>
                      <w:lang w:val="en-US" w:eastAsia="zh-CN"/>
                      <w14:textFill>
                        <w14:solidFill>
                          <w14:schemeClr w14:val="tx1"/>
                        </w14:solidFill>
                      </w14:textFill>
                    </w:rPr>
                    <w:t>/</w:t>
                  </w:r>
                </w:p>
              </w:tc>
              <w:tc>
                <w:tcPr>
                  <w:tcW w:w="1142" w:type="pct"/>
                  <w:vAlign w:val="center"/>
                </w:tcPr>
                <w:p w14:paraId="43FD9EFF">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18"/>
                      <w:szCs w:val="21"/>
                      <w:lang w:val="en-US" w:eastAsia="zh-CN"/>
                      <w14:textFill>
                        <w14:solidFill>
                          <w14:schemeClr w14:val="tx1"/>
                        </w14:solidFill>
                      </w14:textFill>
                    </w:rPr>
                  </w:pPr>
                  <w:r>
                    <w:rPr>
                      <w:rFonts w:hint="eastAsia" w:ascii="Times New Roman" w:hAnsi="Times New Roman" w:eastAsia="宋体" w:cs="Times New Roman"/>
                      <w:color w:val="000000" w:themeColor="text1"/>
                      <w:sz w:val="18"/>
                      <w:szCs w:val="21"/>
                      <w:lang w:val="en-US" w:eastAsia="zh-CN"/>
                      <w14:textFill>
                        <w14:solidFill>
                          <w14:schemeClr w14:val="tx1"/>
                        </w14:solidFill>
                      </w14:textFill>
                    </w:rPr>
                    <w:t>/</w:t>
                  </w:r>
                </w:p>
              </w:tc>
              <w:tc>
                <w:tcPr>
                  <w:tcW w:w="776" w:type="pct"/>
                  <w:vAlign w:val="center"/>
                </w:tcPr>
                <w:p w14:paraId="76C1985A">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全部</w:t>
                  </w:r>
                </w:p>
              </w:tc>
              <w:tc>
                <w:tcPr>
                  <w:tcW w:w="982" w:type="pct"/>
                  <w:vAlign w:val="center"/>
                </w:tcPr>
                <w:p w14:paraId="19C8AFD1">
                  <w:pPr>
                    <w:pageBreakBefore w:val="0"/>
                    <w:kinsoku/>
                    <w:overflowPunct/>
                    <w:topLinePunct w:val="0"/>
                    <w:bidi w:val="0"/>
                    <w:adjustRightInd w:val="0"/>
                    <w:snapToGrid w:val="0"/>
                    <w:ind w:left="0" w:leftChars="0" w:right="0"/>
                    <w:jc w:val="center"/>
                    <w:rPr>
                      <w:rFonts w:hint="default"/>
                      <w:color w:val="000000" w:themeColor="text1"/>
                      <w:sz w:val="18"/>
                      <w:szCs w:val="21"/>
                      <w:lang w:val="en-US" w:eastAsia="zh-CN"/>
                      <w14:textFill>
                        <w14:solidFill>
                          <w14:schemeClr w14:val="tx1"/>
                        </w14:solidFill>
                      </w14:textFill>
                    </w:rPr>
                  </w:pPr>
                  <w:r>
                    <w:rPr>
                      <w:rFonts w:hint="eastAsia"/>
                      <w:color w:val="000000" w:themeColor="text1"/>
                      <w:sz w:val="18"/>
                      <w:szCs w:val="21"/>
                      <w:lang w:val="en-US" w:eastAsia="zh-CN"/>
                      <w14:textFill>
                        <w14:solidFill>
                          <w14:schemeClr w14:val="tx1"/>
                        </w14:solidFill>
                      </w14:textFill>
                    </w:rPr>
                    <w:t>本项目生产线新增集气罩，新增1套有机废气治理设施。</w:t>
                  </w:r>
                </w:p>
              </w:tc>
              <w:tc>
                <w:tcPr>
                  <w:tcW w:w="450" w:type="pct"/>
                  <w:vAlign w:val="center"/>
                </w:tcPr>
                <w:p w14:paraId="1FB8FBF9">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登记表</w:t>
                  </w:r>
                </w:p>
              </w:tc>
            </w:tr>
            <w:tr w14:paraId="00CBD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14:paraId="23CD5D48">
                  <w:pPr>
                    <w:pageBreakBefore w:val="0"/>
                    <w:kinsoku/>
                    <w:overflowPunct/>
                    <w:topLinePunct w:val="0"/>
                    <w:bidi w:val="0"/>
                    <w:adjustRightInd w:val="0"/>
                    <w:snapToGrid w:val="0"/>
                    <w:ind w:left="0" w:leftChars="0" w:right="0"/>
                    <w:jc w:val="center"/>
                    <w:rPr>
                      <w:rFonts w:hint="eastAsia" w:ascii="Times New Roman" w:hAnsi="Times New Roman" w:eastAsia="宋体" w:cs="Times New Roman"/>
                      <w:color w:val="000000" w:themeColor="text1"/>
                      <w:sz w:val="18"/>
                      <w:szCs w:val="21"/>
                      <w:lang w:val="en-US" w:eastAsia="zh-CN"/>
                      <w14:textFill>
                        <w14:solidFill>
                          <w14:schemeClr w14:val="tx1"/>
                        </w14:solidFill>
                      </w14:textFill>
                    </w:rPr>
                  </w:pPr>
                  <w:r>
                    <w:rPr>
                      <w:rFonts w:hint="eastAsia" w:cs="Times New Roman"/>
                      <w:color w:val="000000" w:themeColor="text1"/>
                      <w:sz w:val="18"/>
                      <w:szCs w:val="21"/>
                      <w:lang w:val="en-US" w:eastAsia="zh-CN"/>
                      <w14:textFill>
                        <w14:solidFill>
                          <w14:schemeClr w14:val="tx1"/>
                        </w14:solidFill>
                      </w14:textFill>
                    </w:rPr>
                    <w:t>污水处理及再生利用</w:t>
                  </w:r>
                </w:p>
              </w:tc>
              <w:tc>
                <w:tcPr>
                  <w:tcW w:w="816" w:type="pct"/>
                  <w:vAlign w:val="center"/>
                </w:tcPr>
                <w:p w14:paraId="473837C3">
                  <w:pPr>
                    <w:pageBreakBefore w:val="0"/>
                    <w:kinsoku/>
                    <w:overflowPunct/>
                    <w:topLinePunct w:val="0"/>
                    <w:bidi w:val="0"/>
                    <w:adjustRightInd w:val="0"/>
                    <w:snapToGrid w:val="0"/>
                    <w:ind w:left="0" w:leftChars="0" w:right="0"/>
                    <w:jc w:val="center"/>
                    <w:rPr>
                      <w:rFonts w:hint="eastAsia"/>
                      <w:color w:val="000000" w:themeColor="text1"/>
                      <w:sz w:val="18"/>
                      <w:szCs w:val="21"/>
                      <w:lang w:val="en-US" w:eastAsia="zh-CN"/>
                      <w14:textFill>
                        <w14:solidFill>
                          <w14:schemeClr w14:val="tx1"/>
                        </w14:solidFill>
                      </w14:textFill>
                    </w:rPr>
                  </w:pPr>
                  <w:r>
                    <w:rPr>
                      <w:rFonts w:hint="eastAsia"/>
                      <w:color w:val="000000" w:themeColor="text1"/>
                      <w:sz w:val="18"/>
                      <w:szCs w:val="21"/>
                      <w:lang w:val="en-US" w:eastAsia="zh-CN"/>
                      <w14:textFill>
                        <w14:solidFill>
                          <w14:schemeClr w14:val="tx1"/>
                        </w14:solidFill>
                      </w14:textFill>
                    </w:rPr>
                    <w:t>新建、扩建日处理10万吨及以上城乡污水处理的；新建、扩建工业废水集中处理的</w:t>
                  </w:r>
                </w:p>
              </w:tc>
              <w:tc>
                <w:tcPr>
                  <w:tcW w:w="1142" w:type="pct"/>
                  <w:vAlign w:val="center"/>
                </w:tcPr>
                <w:p w14:paraId="5B52DDA1">
                  <w:pPr>
                    <w:pageBreakBefore w:val="0"/>
                    <w:kinsoku/>
                    <w:overflowPunct/>
                    <w:topLinePunct w:val="0"/>
                    <w:bidi w:val="0"/>
                    <w:adjustRightInd w:val="0"/>
                    <w:snapToGrid w:val="0"/>
                    <w:ind w:left="0" w:leftChars="0" w:right="0"/>
                    <w:jc w:val="center"/>
                    <w:rPr>
                      <w:rFonts w:hint="eastAsia"/>
                      <w:color w:val="000000" w:themeColor="text1"/>
                      <w:sz w:val="18"/>
                      <w:szCs w:val="21"/>
                      <w:lang w:val="en-US" w:eastAsia="zh-CN"/>
                      <w14:textFill>
                        <w14:solidFill>
                          <w14:schemeClr w14:val="tx1"/>
                        </w14:solidFill>
                      </w14:textFill>
                    </w:rPr>
                  </w:pPr>
                  <w:r>
                    <w:rPr>
                      <w:rFonts w:hint="eastAsia"/>
                      <w:color w:val="000000" w:themeColor="text1"/>
                      <w:sz w:val="18"/>
                      <w:szCs w:val="21"/>
                      <w:lang w:val="en-US" w:eastAsia="zh-CN"/>
                      <w14:textFill>
                        <w14:solidFill>
                          <w14:schemeClr w14:val="tx1"/>
                        </w14:solidFill>
                      </w14:textFill>
                    </w:rPr>
                    <w:t>新建、扩建日处理10万吨以下500吨及以上城乡污水处理的；新建、扩建其他工业废水处理的（不含建设单位自建自用仅处理生活污水的；不含出水间接排入地表水体且不排放重金属的）</w:t>
                  </w:r>
                </w:p>
              </w:tc>
              <w:tc>
                <w:tcPr>
                  <w:tcW w:w="776" w:type="pct"/>
                  <w:vAlign w:val="center"/>
                </w:tcPr>
                <w:p w14:paraId="362E54EE">
                  <w:pPr>
                    <w:pageBreakBefore w:val="0"/>
                    <w:kinsoku/>
                    <w:overflowPunct/>
                    <w:topLinePunct w:val="0"/>
                    <w:bidi w:val="0"/>
                    <w:adjustRightInd w:val="0"/>
                    <w:snapToGrid w:val="0"/>
                    <w:ind w:left="0" w:leftChars="0" w:right="0"/>
                    <w:jc w:val="center"/>
                    <w:rPr>
                      <w:rFonts w:hint="eastAsia"/>
                      <w:color w:val="000000" w:themeColor="text1"/>
                      <w:sz w:val="18"/>
                      <w:szCs w:val="21"/>
                      <w:lang w:val="en-US" w:eastAsia="zh-CN"/>
                      <w14:textFill>
                        <w14:solidFill>
                          <w14:schemeClr w14:val="tx1"/>
                        </w14:solidFill>
                      </w14:textFill>
                    </w:rPr>
                  </w:pPr>
                  <w:r>
                    <w:rPr>
                      <w:rFonts w:hint="eastAsia"/>
                      <w:color w:val="000000" w:themeColor="text1"/>
                      <w:sz w:val="18"/>
                      <w:szCs w:val="21"/>
                      <w:lang w:val="en-US" w:eastAsia="zh-CN"/>
                      <w14:textFill>
                        <w14:solidFill>
                          <w14:schemeClr w14:val="tx1"/>
                        </w14:solidFill>
                      </w14:textFill>
                    </w:rPr>
                    <w:t>其他（不含提标改造项目；不含化粪池及化粪池处理后中水处理回用；不含仅建设沉淀池处理的）</w:t>
                  </w:r>
                </w:p>
              </w:tc>
              <w:tc>
                <w:tcPr>
                  <w:tcW w:w="982" w:type="pct"/>
                  <w:vAlign w:val="center"/>
                </w:tcPr>
                <w:p w14:paraId="3B89730C">
                  <w:pPr>
                    <w:pageBreakBefore w:val="0"/>
                    <w:kinsoku/>
                    <w:overflowPunct/>
                    <w:topLinePunct w:val="0"/>
                    <w:bidi w:val="0"/>
                    <w:adjustRightInd w:val="0"/>
                    <w:snapToGrid w:val="0"/>
                    <w:ind w:left="0" w:leftChars="0" w:right="0"/>
                    <w:jc w:val="center"/>
                    <w:rPr>
                      <w:rFonts w:hint="eastAsia"/>
                      <w:color w:val="000000" w:themeColor="text1"/>
                      <w:sz w:val="18"/>
                      <w:szCs w:val="21"/>
                      <w:lang w:val="en-US" w:eastAsia="zh-CN"/>
                      <w14:textFill>
                        <w14:solidFill>
                          <w14:schemeClr w14:val="tx1"/>
                        </w14:solidFill>
                      </w14:textFill>
                    </w:rPr>
                  </w:pPr>
                  <w:r>
                    <w:rPr>
                      <w:rFonts w:hint="eastAsia"/>
                      <w:color w:val="000000" w:themeColor="text1"/>
                      <w:sz w:val="18"/>
                      <w:szCs w:val="21"/>
                      <w:lang w:val="en-US" w:eastAsia="zh-CN"/>
                      <w14:textFill>
                        <w14:solidFill>
                          <w14:schemeClr w14:val="tx1"/>
                        </w14:solidFill>
                      </w14:textFill>
                    </w:rPr>
                    <w:t>本项目生活污水经化粪池处理后进入新增的1套一体化污水处理设施处理达标后回用于绿化。</w:t>
                  </w:r>
                </w:p>
              </w:tc>
              <w:tc>
                <w:tcPr>
                  <w:tcW w:w="450" w:type="pct"/>
                  <w:vAlign w:val="center"/>
                </w:tcPr>
                <w:p w14:paraId="1F50019A">
                  <w:pPr>
                    <w:pageBreakBefore w:val="0"/>
                    <w:kinsoku/>
                    <w:overflowPunct/>
                    <w:topLinePunct w:val="0"/>
                    <w:bidi w:val="0"/>
                    <w:adjustRightInd w:val="0"/>
                    <w:snapToGrid w:val="0"/>
                    <w:ind w:left="0" w:leftChars="0" w:right="0"/>
                    <w:jc w:val="center"/>
                    <w:rPr>
                      <w:rFonts w:hint="default"/>
                      <w:color w:val="000000" w:themeColor="text1"/>
                      <w:sz w:val="18"/>
                      <w:szCs w:val="21"/>
                      <w:lang w:val="en-US" w:eastAsia="zh-CN"/>
                      <w14:textFill>
                        <w14:solidFill>
                          <w14:schemeClr w14:val="tx1"/>
                        </w14:solidFill>
                      </w14:textFill>
                    </w:rPr>
                  </w:pPr>
                  <w:r>
                    <w:rPr>
                      <w:rFonts w:hint="eastAsia"/>
                      <w:color w:val="000000" w:themeColor="text1"/>
                      <w:sz w:val="18"/>
                      <w:szCs w:val="21"/>
                      <w:lang w:val="en-US" w:eastAsia="zh-CN"/>
                      <w14:textFill>
                        <w14:solidFill>
                          <w14:schemeClr w14:val="tx1"/>
                        </w14:solidFill>
                      </w14:textFill>
                    </w:rPr>
                    <w:t>/</w:t>
                  </w:r>
                </w:p>
              </w:tc>
            </w:tr>
          </w:tbl>
          <w:p w14:paraId="76355AD2">
            <w:pPr>
              <w:pStyle w:val="18"/>
              <w:keepNext w:val="0"/>
              <w:keepLines w:val="0"/>
              <w:pageBreakBefore w:val="0"/>
              <w:kinsoku/>
              <w:wordWrap/>
              <w:overflowPunct/>
              <w:topLinePunct w:val="0"/>
              <w:bidi w:val="0"/>
              <w:snapToGrid/>
              <w:spacing w:line="360" w:lineRule="auto"/>
              <w:ind w:firstLine="480" w:firstLineChars="200"/>
              <w:textAlignment w:val="auto"/>
              <w:outlineLvl w:val="9"/>
              <w:rPr>
                <w:rFonts w:hint="eastAsia" w:ascii="Times New Roman" w:hAnsi="Times New Roman" w:eastAsia="宋体" w:cs="Times New Roman"/>
                <w:b w:val="0"/>
                <w:bCs/>
                <w:color w:val="000000" w:themeColor="text1"/>
                <w:sz w:val="24"/>
                <w:szCs w:val="24"/>
                <w:lang w:eastAsia="zh-CN"/>
                <w14:textFill>
                  <w14:solidFill>
                    <w14:schemeClr w14:val="tx1"/>
                  </w14:solidFill>
                </w14:textFill>
              </w:rPr>
            </w:pPr>
            <w:r>
              <w:rPr>
                <w:rFonts w:hint="eastAsia" w:cs="Times New Roman"/>
                <w:b w:val="0"/>
                <w:bCs/>
                <w:color w:val="000000" w:themeColor="text1"/>
                <w:sz w:val="24"/>
                <w:szCs w:val="24"/>
                <w:lang w:eastAsia="zh-CN"/>
                <w14:textFill>
                  <w14:solidFill>
                    <w14:schemeClr w14:val="tx1"/>
                  </w14:solidFill>
                </w14:textFill>
              </w:rPr>
              <w:t>综上所述，本项目应当编制环境影响评价报告表。</w:t>
            </w:r>
          </w:p>
          <w:p w14:paraId="770DE675">
            <w:pPr>
              <w:keepNext w:val="0"/>
              <w:keepLines w:val="0"/>
              <w:pageBreakBefore w:val="0"/>
              <w:widowControl/>
              <w:suppressLineNumbers w:val="0"/>
              <w:kinsoku/>
              <w:wordWrap/>
              <w:overflowPunct/>
              <w:topLinePunct w:val="0"/>
              <w:bidi w:val="0"/>
              <w:snapToGrid/>
              <w:spacing w:line="360" w:lineRule="auto"/>
              <w:ind w:firstLine="480" w:firstLineChars="200"/>
              <w:jc w:val="left"/>
              <w:textAlignment w:val="auto"/>
              <w:outlineLvl w:val="9"/>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我单位在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接受</w:t>
            </w:r>
            <w:r>
              <w:rPr>
                <w:rFonts w:hint="default" w:ascii="Times New Roman" w:hAnsi="Times New Roman" w:eastAsia="宋体" w:cs="Times New Roman"/>
                <w:b w:val="0"/>
                <w:bCs/>
                <w:color w:val="000000" w:themeColor="text1"/>
                <w:sz w:val="24"/>
                <w:szCs w:val="24"/>
                <w14:textFill>
                  <w14:solidFill>
                    <w14:schemeClr w14:val="tx1"/>
                  </w14:solidFill>
                </w14:textFill>
              </w:rPr>
              <w:t>委托后</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14:textFill>
                  <w14:solidFill>
                    <w14:schemeClr w14:val="tx1"/>
                  </w14:solidFill>
                </w14:textFill>
              </w:rPr>
              <w:t>及时组织人员对该项目开展了相关的环评工作，考察该项目场址周边环境及企业生产的实际情况，收集和查阅了该项目的有关资料，在此基础上完成了该项目的环境影响报告表的编制工作，</w:t>
            </w:r>
            <w:r>
              <w:rPr>
                <w:rFonts w:hint="default" w:ascii="Times New Roman" w:hAnsi="Times New Roman" w:eastAsia="宋体" w:cs="Times New Roman"/>
                <w:b w:val="0"/>
                <w:bCs/>
                <w:color w:val="000000" w:themeColor="text1"/>
                <w:kern w:val="0"/>
                <w:sz w:val="24"/>
                <w:szCs w:val="24"/>
                <w:lang w:val="en-US" w:eastAsia="zh-CN" w:bidi="ar"/>
                <w14:textFill>
                  <w14:solidFill>
                    <w14:schemeClr w14:val="tx1"/>
                  </w14:solidFill>
                </w14:textFill>
              </w:rPr>
              <w:t>提交给建设单位上报主管部门审批。</w:t>
            </w:r>
          </w:p>
          <w:p w14:paraId="158AAAFC">
            <w:pPr>
              <w:pStyle w:val="51"/>
              <w:pageBreakBefore w:val="0"/>
              <w:kinsoku/>
              <w:overflowPunct/>
              <w:topLinePunct w:val="0"/>
              <w:bidi w:val="0"/>
              <w:ind w:left="0" w:leftChars="0" w:right="0" w:firstLine="482"/>
              <w:rPr>
                <w:b/>
                <w:bCs/>
                <w:color w:val="000000" w:themeColor="text1"/>
                <w14:textFill>
                  <w14:solidFill>
                    <w14:schemeClr w14:val="tx1"/>
                  </w14:solidFill>
                </w14:textFill>
              </w:rPr>
            </w:pPr>
            <w:r>
              <w:rPr>
                <w:b/>
                <w:bCs/>
                <w:color w:val="000000" w:themeColor="text1"/>
                <w14:textFill>
                  <w14:solidFill>
                    <w14:schemeClr w14:val="tx1"/>
                  </w14:solidFill>
                </w14:textFill>
              </w:rPr>
              <w:t>2、项目建设内容及规模</w:t>
            </w:r>
          </w:p>
          <w:p w14:paraId="20A0631B">
            <w:pPr>
              <w:pStyle w:val="51"/>
              <w:pageBreakBefore w:val="0"/>
              <w:kinsoku/>
              <w:overflowPunct/>
              <w:topLinePunct w:val="0"/>
              <w:bidi w:val="0"/>
              <w:ind w:left="0" w:leftChars="0" w:right="0" w:firstLine="48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峨山县文邦</w:t>
            </w:r>
            <w:r>
              <w:rPr>
                <w:rFonts w:hint="default" w:cs="Times New Roman"/>
                <w:color w:val="000000" w:themeColor="text1"/>
                <w:lang w:eastAsia="zh-CN"/>
                <w14:textFill>
                  <w14:solidFill>
                    <w14:schemeClr w14:val="tx1"/>
                  </w14:solidFill>
                </w14:textFill>
              </w:rPr>
              <w:t>包装制品有限公司</w:t>
            </w:r>
            <w:r>
              <w:rPr>
                <w:rFonts w:hint="eastAsia" w:cs="Times New Roman"/>
                <w:color w:val="000000" w:themeColor="text1"/>
                <w:lang w:eastAsia="zh-CN"/>
                <w14:textFill>
                  <w14:solidFill>
                    <w14:schemeClr w14:val="tx1"/>
                  </w14:solidFill>
                </w14:textFill>
              </w:rPr>
              <w:t>厂区占地面积约</w:t>
            </w:r>
            <w:r>
              <w:rPr>
                <w:rFonts w:hint="eastAsia" w:cs="Times New Roman"/>
                <w:color w:val="000000" w:themeColor="text1"/>
                <w:lang w:val="en-US" w:eastAsia="zh-CN"/>
                <w14:textFill>
                  <w14:solidFill>
                    <w14:schemeClr w14:val="tx1"/>
                  </w14:solidFill>
                </w14:textFill>
              </w:rPr>
              <w:t>6100m</w:t>
            </w:r>
            <w:r>
              <w:rPr>
                <w:rFonts w:hint="eastAsia" w:cs="Times New Roman"/>
                <w:color w:val="000000" w:themeColor="text1"/>
                <w:vertAlign w:val="superscript"/>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，其中锅炉房约100m</w:t>
            </w:r>
            <w:r>
              <w:rPr>
                <w:rFonts w:hint="eastAsia" w:cs="Times New Roman"/>
                <w:color w:val="000000" w:themeColor="text1"/>
                <w:vertAlign w:val="superscript"/>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w:t>
            </w:r>
          </w:p>
          <w:p w14:paraId="612125FF">
            <w:pPr>
              <w:pStyle w:val="51"/>
              <w:pageBreakBefore w:val="0"/>
              <w:kinsoku/>
              <w:overflowPunct/>
              <w:topLinePunct w:val="0"/>
              <w:bidi w:val="0"/>
              <w:ind w:left="0" w:leftChars="0" w:right="0" w:firstLine="48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本项目主要为拆除</w:t>
            </w:r>
            <w:r>
              <w:rPr>
                <w:rFonts w:hint="eastAsia" w:cs="Times New Roman"/>
                <w:color w:val="000000" w:themeColor="text1"/>
                <w:lang w:eastAsia="zh-CN"/>
                <w14:textFill>
                  <w14:solidFill>
                    <w14:schemeClr w14:val="tx1"/>
                  </w14:solidFill>
                </w14:textFill>
              </w:rPr>
              <w:t>现有</w:t>
            </w:r>
            <w:r>
              <w:rPr>
                <w:rFonts w:hint="eastAsia" w:cs="Times New Roman"/>
                <w:color w:val="000000" w:themeColor="text1"/>
                <w:lang w:val="en-US" w:eastAsia="zh-CN"/>
                <w14:textFill>
                  <w14:solidFill>
                    <w14:schemeClr w14:val="tx1"/>
                  </w14:solidFill>
                </w14:textFill>
              </w:rPr>
              <w:t>1台2t/h的燃煤锅炉，新增1台3t/h的生物质锅炉，锅炉废气经新增“低氮燃烧+旋风除尘+布袋除尘”设施处理后通过30m高排气筒DA001排放；</w:t>
            </w:r>
            <w:r>
              <w:rPr>
                <w:rFonts w:hint="default" w:eastAsia="宋体" w:cs="Times New Roman"/>
                <w:color w:val="000000" w:themeColor="text1"/>
                <w:lang w:val="en-US" w:eastAsia="zh-CN"/>
                <w14:textFill>
                  <w14:solidFill>
                    <w14:schemeClr w14:val="tx1"/>
                  </w14:solidFill>
                </w14:textFill>
              </w:rPr>
              <w:t>本项目</w:t>
            </w:r>
            <w:r>
              <w:rPr>
                <w:rFonts w:hint="eastAsia" w:eastAsia="宋体" w:cs="Times New Roman"/>
                <w:color w:val="000000" w:themeColor="text1"/>
                <w:lang w:val="en-US" w:eastAsia="zh-CN"/>
                <w14:textFill>
                  <w14:solidFill>
                    <w14:schemeClr w14:val="tx1"/>
                  </w14:solidFill>
                </w14:textFill>
              </w:rPr>
              <w:t>新增集气罩以及“两级活性炭吸附装置”，发泡、成型工序</w:t>
            </w:r>
            <w:r>
              <w:rPr>
                <w:rFonts w:hint="default" w:eastAsia="宋体" w:cs="Times New Roman"/>
                <w:color w:val="000000" w:themeColor="text1"/>
                <w:lang w:val="en-US" w:eastAsia="zh-CN"/>
                <w14:textFill>
                  <w14:solidFill>
                    <w14:schemeClr w14:val="tx1"/>
                  </w14:solidFill>
                </w14:textFill>
              </w:rPr>
              <w:t>有机废气经集气罩收集后，通过两级活性炭吸附装置吸附处理后，通过</w:t>
            </w:r>
            <w:r>
              <w:rPr>
                <w:rFonts w:hint="eastAsia" w:cs="Times New Roman"/>
                <w:color w:val="000000" w:themeColor="text1"/>
                <w:lang w:val="en-US" w:eastAsia="zh-CN"/>
                <w14:textFill>
                  <w14:solidFill>
                    <w14:schemeClr w14:val="tx1"/>
                  </w14:solidFill>
                </w14:textFill>
              </w:rPr>
              <w:t>1根15m排气筒DA002</w:t>
            </w:r>
            <w:r>
              <w:rPr>
                <w:rFonts w:hint="eastAsia" w:eastAsia="宋体" w:cs="Times New Roman"/>
                <w:color w:val="000000" w:themeColor="text1"/>
                <w:lang w:val="en-US" w:eastAsia="zh-CN"/>
                <w14:textFill>
                  <w14:solidFill>
                    <w14:schemeClr w14:val="tx1"/>
                  </w14:solidFill>
                </w14:textFill>
              </w:rPr>
              <w:t>排放</w:t>
            </w:r>
            <w:r>
              <w:rPr>
                <w:rFonts w:hint="eastAsia" w:cs="Times New Roman"/>
                <w:color w:val="000000" w:themeColor="text1"/>
                <w:lang w:val="en-US" w:eastAsia="zh-CN"/>
                <w14:textFill>
                  <w14:solidFill>
                    <w14:schemeClr w14:val="tx1"/>
                  </w14:solidFill>
                </w14:textFill>
              </w:rPr>
              <w:t>；新增1套一体化生活污水处理设施，生活污水经处理后回用于厂区绿化。</w:t>
            </w:r>
          </w:p>
          <w:p w14:paraId="10CC7CA5">
            <w:pPr>
              <w:pStyle w:val="51"/>
              <w:pageBreakBefore w:val="0"/>
              <w:kinsoku/>
              <w:overflowPunct/>
              <w:topLinePunct w:val="0"/>
              <w:bidi w:val="0"/>
              <w:ind w:left="0" w:leftChars="0" w:right="0" w:firstLine="480"/>
              <w:rPr>
                <w:color w:val="000000" w:themeColor="text1"/>
                <w14:textFill>
                  <w14:solidFill>
                    <w14:schemeClr w14:val="tx1"/>
                  </w14:solidFill>
                </w14:textFill>
              </w:rPr>
            </w:pPr>
            <w:r>
              <w:rPr>
                <w:color w:val="000000" w:themeColor="text1"/>
                <w14:textFill>
                  <w14:solidFill>
                    <w14:schemeClr w14:val="tx1"/>
                  </w14:solidFill>
                </w14:textFill>
              </w:rPr>
              <w:t>项目主要建设内容见表。</w:t>
            </w:r>
          </w:p>
          <w:p w14:paraId="5D992C05">
            <w:pPr>
              <w:pStyle w:val="51"/>
              <w:pageBreakBefore w:val="0"/>
              <w:kinsoku/>
              <w:overflowPunct/>
              <w:topLinePunct w:val="0"/>
              <w:bidi w:val="0"/>
              <w:ind w:left="0" w:leftChars="0" w:right="0" w:firstLine="480"/>
              <w:rPr>
                <w:color w:val="000000" w:themeColor="text1"/>
                <w14:textFill>
                  <w14:solidFill>
                    <w14:schemeClr w14:val="tx1"/>
                  </w14:solidFill>
                </w14:textFill>
              </w:rPr>
            </w:pPr>
          </w:p>
          <w:p w14:paraId="02E031B4">
            <w:pPr>
              <w:pStyle w:val="51"/>
              <w:pageBreakBefore w:val="0"/>
              <w:kinsoku/>
              <w:overflowPunct/>
              <w:topLinePunct w:val="0"/>
              <w:bidi w:val="0"/>
              <w:ind w:left="0" w:leftChars="0" w:right="0" w:firstLine="480"/>
              <w:rPr>
                <w:color w:val="000000" w:themeColor="text1"/>
                <w14:textFill>
                  <w14:solidFill>
                    <w14:schemeClr w14:val="tx1"/>
                  </w14:solidFill>
                </w14:textFill>
              </w:rPr>
            </w:pPr>
          </w:p>
          <w:p w14:paraId="63F6A69C">
            <w:pPr>
              <w:pStyle w:val="51"/>
              <w:pageBreakBefore w:val="0"/>
              <w:kinsoku/>
              <w:overflowPunct/>
              <w:topLinePunct w:val="0"/>
              <w:bidi w:val="0"/>
              <w:ind w:left="0" w:leftChars="0" w:right="0" w:firstLine="480"/>
              <w:rPr>
                <w:color w:val="000000" w:themeColor="text1"/>
                <w14:textFill>
                  <w14:solidFill>
                    <w14:schemeClr w14:val="tx1"/>
                  </w14:solidFill>
                </w14:textFill>
              </w:rPr>
            </w:pPr>
          </w:p>
          <w:p w14:paraId="38429F0A">
            <w:pPr>
              <w:pStyle w:val="51"/>
              <w:pageBreakBefore w:val="0"/>
              <w:kinsoku/>
              <w:overflowPunct/>
              <w:topLinePunct w:val="0"/>
              <w:bidi w:val="0"/>
              <w:ind w:left="0" w:leftChars="0" w:right="0" w:firstLine="480"/>
              <w:rPr>
                <w:color w:val="000000" w:themeColor="text1"/>
                <w14:textFill>
                  <w14:solidFill>
                    <w14:schemeClr w14:val="tx1"/>
                  </w14:solidFill>
                </w14:textFill>
              </w:rPr>
            </w:pPr>
          </w:p>
          <w:p w14:paraId="62230A83">
            <w:pPr>
              <w:pStyle w:val="51"/>
              <w:pageBreakBefore w:val="0"/>
              <w:kinsoku/>
              <w:overflowPunct/>
              <w:topLinePunct w:val="0"/>
              <w:bidi w:val="0"/>
              <w:ind w:left="0" w:leftChars="0" w:right="0" w:firstLine="480"/>
              <w:rPr>
                <w:color w:val="000000" w:themeColor="text1"/>
                <w14:textFill>
                  <w14:solidFill>
                    <w14:schemeClr w14:val="tx1"/>
                  </w14:solidFill>
                </w14:textFill>
              </w:rPr>
            </w:pPr>
          </w:p>
          <w:p w14:paraId="527FD591">
            <w:pPr>
              <w:pStyle w:val="51"/>
              <w:pageBreakBefore w:val="0"/>
              <w:kinsoku/>
              <w:overflowPunct/>
              <w:topLinePunct w:val="0"/>
              <w:bidi w:val="0"/>
              <w:ind w:left="0" w:leftChars="0" w:right="0" w:firstLine="480"/>
              <w:rPr>
                <w:color w:val="000000" w:themeColor="text1"/>
                <w14:textFill>
                  <w14:solidFill>
                    <w14:schemeClr w14:val="tx1"/>
                  </w14:solidFill>
                </w14:textFill>
              </w:rPr>
            </w:pPr>
          </w:p>
          <w:p w14:paraId="4E00BD61">
            <w:pPr>
              <w:pStyle w:val="51"/>
              <w:pageBreakBefore w:val="0"/>
              <w:kinsoku/>
              <w:overflowPunct/>
              <w:topLinePunct w:val="0"/>
              <w:bidi w:val="0"/>
              <w:ind w:left="0" w:leftChars="0" w:right="0" w:firstLine="480"/>
              <w:rPr>
                <w:color w:val="000000" w:themeColor="text1"/>
                <w14:textFill>
                  <w14:solidFill>
                    <w14:schemeClr w14:val="tx1"/>
                  </w14:solidFill>
                </w14:textFill>
              </w:rPr>
            </w:pPr>
          </w:p>
          <w:p w14:paraId="7017DF82">
            <w:pPr>
              <w:pStyle w:val="51"/>
              <w:pageBreakBefore w:val="0"/>
              <w:kinsoku/>
              <w:overflowPunct/>
              <w:topLinePunct w:val="0"/>
              <w:bidi w:val="0"/>
              <w:ind w:left="0" w:leftChars="0" w:right="0" w:firstLine="480"/>
              <w:rPr>
                <w:rFonts w:hint="eastAsia" w:eastAsia="宋体"/>
                <w:color w:val="000000" w:themeColor="text1"/>
                <w:lang w:eastAsia="zh-CN"/>
                <w14:textFill>
                  <w14:solidFill>
                    <w14:schemeClr w14:val="tx1"/>
                  </w14:solidFill>
                </w14:textFill>
              </w:rPr>
            </w:pPr>
          </w:p>
          <w:p w14:paraId="237ECE3E">
            <w:pPr>
              <w:pStyle w:val="29"/>
              <w:pageBreakBefore w:val="0"/>
              <w:kinsoku/>
              <w:overflowPunct/>
              <w:topLinePunct w:val="0"/>
              <w:bidi w:val="0"/>
              <w:adjustRightInd w:val="0"/>
              <w:snapToGrid w:val="0"/>
              <w:spacing w:before="0" w:beforeAutospacing="0" w:after="0" w:afterAutospacing="0"/>
              <w:ind w:right="0"/>
              <w:jc w:val="center"/>
              <w:outlineLvl w:val="0"/>
              <w:rPr>
                <w:rFonts w:hint="eastAsia" w:ascii="Times New Roman" w:hAnsi="Times New Roman" w:eastAsia="宋体"/>
                <w:b/>
                <w:bCs/>
                <w:snapToGrid w:val="0"/>
                <w:color w:val="000000" w:themeColor="text1"/>
                <w:sz w:val="30"/>
                <w:szCs w:val="30"/>
                <w:vertAlign w:val="baseline"/>
                <w:lang w:eastAsia="zh-CN"/>
                <w14:textFill>
                  <w14:solidFill>
                    <w14:schemeClr w14:val="tx1"/>
                  </w14:solidFill>
                </w14:textFill>
              </w:rPr>
            </w:pPr>
          </w:p>
        </w:tc>
      </w:tr>
    </w:tbl>
    <w:p w14:paraId="25EC76E1">
      <w:pPr>
        <w:pStyle w:val="29"/>
        <w:pageBreakBefore w:val="0"/>
        <w:kinsoku/>
        <w:overflowPunct/>
        <w:topLinePunct w:val="0"/>
        <w:bidi w:val="0"/>
        <w:adjustRightInd w:val="0"/>
        <w:snapToGrid w:val="0"/>
        <w:spacing w:before="0" w:beforeAutospacing="0" w:after="0" w:afterAutospacing="0"/>
        <w:ind w:left="0" w:leftChars="0" w:right="0"/>
        <w:jc w:val="center"/>
        <w:outlineLvl w:val="0"/>
        <w:rPr>
          <w:rFonts w:ascii="Times New Roman" w:hAnsi="Times New Roman"/>
          <w:b/>
          <w:bCs/>
          <w:snapToGrid w:val="0"/>
          <w:color w:val="000000" w:themeColor="text1"/>
          <w:sz w:val="30"/>
          <w:szCs w:val="30"/>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2973"/>
      </w:tblGrid>
      <w:tr w14:paraId="6F4C8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tcPr>
          <w:p w14:paraId="70AA3F5A">
            <w:pPr>
              <w:pStyle w:val="29"/>
              <w:pageBreakBefore w:val="0"/>
              <w:kinsoku/>
              <w:overflowPunct/>
              <w:topLinePunct w:val="0"/>
              <w:bidi w:val="0"/>
              <w:adjustRightInd w:val="0"/>
              <w:snapToGrid w:val="0"/>
              <w:spacing w:before="0" w:beforeAutospacing="0" w:after="0" w:afterAutospacing="0"/>
              <w:ind w:right="0"/>
              <w:jc w:val="center"/>
              <w:outlineLvl w:val="0"/>
              <w:rPr>
                <w:rFonts w:ascii="Times New Roman" w:hAnsi="Times New Roman"/>
                <w:b/>
                <w:bCs/>
                <w:snapToGrid w:val="0"/>
                <w:color w:val="000000" w:themeColor="text1"/>
                <w:sz w:val="30"/>
                <w:szCs w:val="30"/>
                <w:vertAlign w:val="baseline"/>
                <w14:textFill>
                  <w14:solidFill>
                    <w14:schemeClr w14:val="tx1"/>
                  </w14:solidFill>
                </w14:textFill>
              </w:rPr>
            </w:pPr>
          </w:p>
        </w:tc>
        <w:tc>
          <w:tcPr>
            <w:tcW w:w="4752" w:type="pct"/>
          </w:tcPr>
          <w:p w14:paraId="3D7F6C03">
            <w:pPr>
              <w:pStyle w:val="52"/>
              <w:pageBreakBefore w:val="0"/>
              <w:kinsoku/>
              <w:overflowPunct/>
              <w:topLinePunct w:val="0"/>
              <w:bidi w:val="0"/>
              <w:spacing w:before="0"/>
              <w:ind w:left="0" w:leftChars="0" w:right="0"/>
              <w:rPr>
                <w:rFonts w:ascii="Times New Roman" w:hAnsi="Times New Roman"/>
                <w:b/>
                <w:bCs/>
                <w:snapToGrid w:val="0"/>
                <w:color w:val="000000" w:themeColor="text1"/>
                <w:sz w:val="30"/>
                <w:szCs w:val="30"/>
                <w:vertAlign w:val="baseline"/>
                <w14:textFill>
                  <w14:solidFill>
                    <w14:schemeClr w14:val="tx1"/>
                  </w14:solidFill>
                </w14:textFill>
              </w:rPr>
            </w:pPr>
            <w:r>
              <w:rPr>
                <w:color w:val="000000" w:themeColor="text1"/>
                <w14:textFill>
                  <w14:solidFill>
                    <w14:schemeClr w14:val="tx1"/>
                  </w14:solidFill>
                </w14:textFill>
              </w:rPr>
              <w:t>表2-</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 xml:space="preserve"> 项目组成一览表</w:t>
            </w:r>
          </w:p>
          <w:tbl>
            <w:tblPr>
              <w:tblStyle w:val="3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670"/>
              <w:gridCol w:w="854"/>
              <w:gridCol w:w="4397"/>
              <w:gridCol w:w="981"/>
              <w:gridCol w:w="4463"/>
              <w:gridCol w:w="636"/>
            </w:tblGrid>
            <w:tr w14:paraId="604A5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Align w:val="center"/>
                </w:tcPr>
                <w:p w14:paraId="28ACB9DA">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工程分类</w:t>
                  </w:r>
                </w:p>
              </w:tc>
              <w:tc>
                <w:tcPr>
                  <w:tcW w:w="263" w:type="pct"/>
                  <w:vAlign w:val="center"/>
                </w:tcPr>
                <w:p w14:paraId="2DE57F54">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项目名称</w:t>
                  </w:r>
                </w:p>
              </w:tc>
              <w:tc>
                <w:tcPr>
                  <w:tcW w:w="2060" w:type="pct"/>
                  <w:gridSpan w:val="2"/>
                  <w:vAlign w:val="center"/>
                </w:tcPr>
                <w:p w14:paraId="1DA36DF5">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ascii="Times New Roman" w:hAnsi="Times New Roman" w:eastAsia="宋体" w:cs="Times New Roman"/>
                      <w:b/>
                      <w:color w:val="000000" w:themeColor="text1"/>
                      <w:szCs w:val="21"/>
                      <w:lang w:eastAsia="zh-CN"/>
                      <w14:textFill>
                        <w14:solidFill>
                          <w14:schemeClr w14:val="tx1"/>
                        </w14:solidFill>
                      </w14:textFill>
                    </w:rPr>
                  </w:pPr>
                  <w:r>
                    <w:rPr>
                      <w:rFonts w:hint="eastAsia" w:cs="Times New Roman"/>
                      <w:b/>
                      <w:color w:val="000000" w:themeColor="text1"/>
                      <w:szCs w:val="21"/>
                      <w:lang w:eastAsia="zh-CN"/>
                      <w14:textFill>
                        <w14:solidFill>
                          <w14:schemeClr w14:val="tx1"/>
                        </w14:solidFill>
                      </w14:textFill>
                    </w:rPr>
                    <w:t>现有项目</w:t>
                  </w:r>
                  <w:r>
                    <w:rPr>
                      <w:rFonts w:hint="default" w:ascii="Times New Roman" w:hAnsi="Times New Roman" w:cs="Times New Roman"/>
                      <w:b/>
                      <w:color w:val="000000" w:themeColor="text1"/>
                      <w:szCs w:val="21"/>
                      <w14:textFill>
                        <w14:solidFill>
                          <w14:schemeClr w14:val="tx1"/>
                        </w14:solidFill>
                      </w14:textFill>
                    </w:rPr>
                    <w:t>建设内容及规模</w:t>
                  </w:r>
                </w:p>
              </w:tc>
              <w:tc>
                <w:tcPr>
                  <w:tcW w:w="2136" w:type="pct"/>
                  <w:gridSpan w:val="2"/>
                  <w:vAlign w:val="center"/>
                </w:tcPr>
                <w:p w14:paraId="3FCFFF7C">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b/>
                      <w:color w:val="000000" w:themeColor="text1"/>
                      <w:szCs w:val="21"/>
                      <w14:textFill>
                        <w14:solidFill>
                          <w14:schemeClr w14:val="tx1"/>
                        </w14:solidFill>
                      </w14:textFill>
                    </w:rPr>
                  </w:pPr>
                  <w:r>
                    <w:rPr>
                      <w:rFonts w:hint="eastAsia" w:cs="Times New Roman"/>
                      <w:b/>
                      <w:color w:val="000000" w:themeColor="text1"/>
                      <w:szCs w:val="21"/>
                      <w:lang w:eastAsia="zh-CN"/>
                      <w14:textFill>
                        <w14:solidFill>
                          <w14:schemeClr w14:val="tx1"/>
                        </w14:solidFill>
                      </w14:textFill>
                    </w:rPr>
                    <w:t>本项目改建后</w:t>
                  </w:r>
                  <w:r>
                    <w:rPr>
                      <w:rFonts w:hint="default" w:ascii="Times New Roman" w:hAnsi="Times New Roman" w:cs="Times New Roman"/>
                      <w:b/>
                      <w:color w:val="000000" w:themeColor="text1"/>
                      <w:szCs w:val="21"/>
                      <w14:textFill>
                        <w14:solidFill>
                          <w14:schemeClr w14:val="tx1"/>
                        </w14:solidFill>
                      </w14:textFill>
                    </w:rPr>
                    <w:t>建设内容及规模</w:t>
                  </w:r>
                </w:p>
              </w:tc>
              <w:tc>
                <w:tcPr>
                  <w:tcW w:w="249" w:type="pct"/>
                  <w:vAlign w:val="center"/>
                </w:tcPr>
                <w:p w14:paraId="55064663">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备注</w:t>
                  </w:r>
                </w:p>
              </w:tc>
            </w:tr>
            <w:tr w14:paraId="3B21A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restart"/>
                  <w:vAlign w:val="center"/>
                </w:tcPr>
                <w:p w14:paraId="74DFECBC">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主体工程</w:t>
                  </w:r>
                </w:p>
              </w:tc>
              <w:tc>
                <w:tcPr>
                  <w:tcW w:w="263" w:type="pct"/>
                  <w:vAlign w:val="center"/>
                </w:tcPr>
                <w:p w14:paraId="00EA60CB">
                  <w:pPr>
                    <w:pStyle w:val="20"/>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锅炉房</w:t>
                  </w:r>
                </w:p>
              </w:tc>
              <w:tc>
                <w:tcPr>
                  <w:tcW w:w="2060" w:type="pct"/>
                  <w:gridSpan w:val="2"/>
                  <w:vAlign w:val="center"/>
                </w:tcPr>
                <w:p w14:paraId="0DFDAC46">
                  <w:pPr>
                    <w:pStyle w:val="20"/>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现有锅炉房占地面积约70m</w:t>
                  </w:r>
                  <w:r>
                    <w:rPr>
                      <w:rFonts w:hint="eastAsia" w:cs="Times New Roman"/>
                      <w:color w:val="000000" w:themeColor="text1"/>
                      <w:sz w:val="21"/>
                      <w:szCs w:val="21"/>
                      <w:vertAlign w:val="superscript"/>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eastAsia="zh-CN"/>
                      <w14:textFill>
                        <w14:solidFill>
                          <w14:schemeClr w14:val="tx1"/>
                        </w14:solidFill>
                      </w14:textFill>
                    </w:rPr>
                    <w:t>现有</w:t>
                  </w:r>
                  <w:r>
                    <w:rPr>
                      <w:rFonts w:hint="eastAsia" w:cs="Times New Roman"/>
                      <w:color w:val="000000" w:themeColor="text1"/>
                      <w:sz w:val="21"/>
                      <w:szCs w:val="21"/>
                      <w:lang w:val="en-US" w:eastAsia="zh-CN"/>
                      <w14:textFill>
                        <w14:solidFill>
                          <w14:schemeClr w14:val="tx1"/>
                        </w14:solidFill>
                      </w14:textFill>
                    </w:rPr>
                    <w:t>1台2t/h的燃煤锅炉，配套设置“双碱法脱硫除尘设施”。</w:t>
                  </w:r>
                </w:p>
                <w:p w14:paraId="3FB41D6D">
                  <w:pPr>
                    <w:pStyle w:val="20"/>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000000" w:themeColor="text1"/>
                      <w:sz w:val="21"/>
                      <w:szCs w:val="21"/>
                      <w:lang w:eastAsia="zh-CN"/>
                      <w14:textFill>
                        <w14:solidFill>
                          <w14:schemeClr w14:val="tx1"/>
                        </w14:solidFill>
                      </w14:textFill>
                    </w:rPr>
                  </w:pPr>
                </w:p>
              </w:tc>
              <w:tc>
                <w:tcPr>
                  <w:tcW w:w="2136" w:type="pct"/>
                  <w:gridSpan w:val="2"/>
                  <w:vAlign w:val="center"/>
                </w:tcPr>
                <w:p w14:paraId="159B5045">
                  <w:pPr>
                    <w:pStyle w:val="20"/>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依托现有锅炉房占地面积约70m</w:t>
                  </w:r>
                  <w:r>
                    <w:rPr>
                      <w:rFonts w:hint="eastAsia" w:cs="Times New Roman"/>
                      <w:color w:val="000000" w:themeColor="text1"/>
                      <w:sz w:val="21"/>
                      <w:szCs w:val="21"/>
                      <w:vertAlign w:val="superscript"/>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，拆除</w:t>
                  </w:r>
                  <w:r>
                    <w:rPr>
                      <w:rFonts w:hint="eastAsia" w:cs="Times New Roman"/>
                      <w:color w:val="000000" w:themeColor="text1"/>
                      <w:sz w:val="21"/>
                      <w:szCs w:val="21"/>
                      <w:lang w:eastAsia="zh-CN"/>
                      <w14:textFill>
                        <w14:solidFill>
                          <w14:schemeClr w14:val="tx1"/>
                        </w14:solidFill>
                      </w14:textFill>
                    </w:rPr>
                    <w:t>现有</w:t>
                  </w:r>
                  <w:r>
                    <w:rPr>
                      <w:rFonts w:hint="eastAsia" w:cs="Times New Roman"/>
                      <w:color w:val="000000" w:themeColor="text1"/>
                      <w:sz w:val="21"/>
                      <w:szCs w:val="21"/>
                      <w:lang w:val="en-US" w:eastAsia="zh-CN"/>
                      <w14:textFill>
                        <w14:solidFill>
                          <w14:schemeClr w14:val="tx1"/>
                        </w14:solidFill>
                      </w14:textFill>
                    </w:rPr>
                    <w:t>1台2t/h的燃煤锅炉。</w:t>
                  </w:r>
                </w:p>
                <w:p w14:paraId="5BF5DCBA">
                  <w:pPr>
                    <w:pStyle w:val="20"/>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建设单位为优化生物质颗粒堆放，本项目建设过程中锅炉房新增30m</w:t>
                  </w:r>
                  <w:r>
                    <w:rPr>
                      <w:rFonts w:hint="eastAsia" w:cs="Times New Roman"/>
                      <w:color w:val="000000" w:themeColor="text1"/>
                      <w:sz w:val="21"/>
                      <w:szCs w:val="21"/>
                      <w:vertAlign w:val="superscript"/>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，即本项目建设完成后锅炉房总面积为100m</w:t>
                  </w:r>
                  <w:r>
                    <w:rPr>
                      <w:rFonts w:hint="eastAsia" w:cs="Times New Roman"/>
                      <w:color w:val="000000" w:themeColor="text1"/>
                      <w:sz w:val="21"/>
                      <w:szCs w:val="21"/>
                      <w:vertAlign w:val="superscript"/>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w:t>
                  </w:r>
                </w:p>
                <w:p w14:paraId="443E17E8">
                  <w:pPr>
                    <w:pStyle w:val="20"/>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本项目新增1台3t/h的生物质锅炉，新增1套“低氮燃烧+旋风除尘+布袋除尘”废气治理设施，锅炉废气经收集后进入废气治理设施处理达标后通过依托现有30m高排气筒DA001排放。</w:t>
                  </w:r>
                </w:p>
                <w:p w14:paraId="6E6170E8">
                  <w:pPr>
                    <w:pStyle w:val="20"/>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新增1套软水制备设施。</w:t>
                  </w:r>
                </w:p>
                <w:p w14:paraId="26977B51">
                  <w:pPr>
                    <w:pStyle w:val="20"/>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依托现有</w:t>
                  </w:r>
                  <w:r>
                    <w:rPr>
                      <w:rFonts w:hint="eastAsia" w:cs="Times New Roman"/>
                      <w:color w:val="000000" w:themeColor="text1"/>
                      <w:sz w:val="21"/>
                      <w:szCs w:val="21"/>
                      <w:lang w:val="en-US" w:eastAsia="zh-CN"/>
                      <w14:textFill>
                        <w14:solidFill>
                          <w14:schemeClr w14:val="tx1"/>
                        </w14:solidFill>
                      </w14:textFill>
                    </w:rPr>
                    <w:t>1个约3m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eastAsia="zh-CN"/>
                      <w14:textFill>
                        <w14:solidFill>
                          <w14:schemeClr w14:val="tx1"/>
                        </w14:solidFill>
                      </w14:textFill>
                    </w:rPr>
                    <w:t>蒸汽罐，设备未使用的蒸汽经蒸汽罐收集后逐步使用</w:t>
                  </w:r>
                  <w:r>
                    <w:rPr>
                      <w:rFonts w:hint="eastAsia" w:cs="Times New Roman"/>
                      <w:color w:val="000000" w:themeColor="text1"/>
                      <w:sz w:val="21"/>
                      <w:szCs w:val="21"/>
                      <w:lang w:val="en-US" w:eastAsia="zh-CN"/>
                      <w14:textFill>
                        <w14:solidFill>
                          <w14:schemeClr w14:val="tx1"/>
                        </w14:solidFill>
                      </w14:textFill>
                    </w:rPr>
                    <w:t>。</w:t>
                  </w:r>
                </w:p>
              </w:tc>
              <w:tc>
                <w:tcPr>
                  <w:tcW w:w="249" w:type="pct"/>
                  <w:vAlign w:val="center"/>
                </w:tcPr>
                <w:p w14:paraId="73F0FCA9">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依托现有、新建、设备改建</w:t>
                  </w:r>
                </w:p>
              </w:tc>
            </w:tr>
            <w:tr w14:paraId="63B73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continue"/>
                  <w:vAlign w:val="center"/>
                </w:tcPr>
                <w:p w14:paraId="5BF0729F">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bCs/>
                      <w:color w:val="000000" w:themeColor="text1"/>
                      <w:szCs w:val="21"/>
                      <w14:textFill>
                        <w14:solidFill>
                          <w14:schemeClr w14:val="tx1"/>
                        </w14:solidFill>
                      </w14:textFill>
                    </w:rPr>
                  </w:pPr>
                </w:p>
              </w:tc>
              <w:tc>
                <w:tcPr>
                  <w:tcW w:w="263" w:type="pct"/>
                  <w:vAlign w:val="center"/>
                </w:tcPr>
                <w:p w14:paraId="41552922">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生产厂房</w:t>
                  </w:r>
                </w:p>
              </w:tc>
              <w:tc>
                <w:tcPr>
                  <w:tcW w:w="2060" w:type="pct"/>
                  <w:gridSpan w:val="2"/>
                  <w:vAlign w:val="center"/>
                </w:tcPr>
                <w:p w14:paraId="2C58195B">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现有生产厂房占地面积约1827m</w:t>
                  </w:r>
                  <w:r>
                    <w:rPr>
                      <w:rFonts w:hint="eastAsia" w:cs="Times New Roman"/>
                      <w:color w:val="000000" w:themeColor="text1"/>
                      <w:sz w:val="21"/>
                      <w:szCs w:val="21"/>
                      <w:vertAlign w:val="superscript"/>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，现有生产车间内设置有原料区、成品区、生产区。生产车间内布设有一条EPS板材生产线。</w:t>
                  </w:r>
                </w:p>
                <w:p w14:paraId="53CF72FA">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生产线中有机废气为无组织排放。</w:t>
                  </w:r>
                </w:p>
              </w:tc>
              <w:tc>
                <w:tcPr>
                  <w:tcW w:w="2136" w:type="pct"/>
                  <w:gridSpan w:val="2"/>
                  <w:vAlign w:val="center"/>
                </w:tcPr>
                <w:p w14:paraId="3151DA27">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依托现有生产厂房占地面积约1827m</w:t>
                  </w:r>
                  <w:r>
                    <w:rPr>
                      <w:rFonts w:hint="eastAsia" w:cs="Times New Roman"/>
                      <w:color w:val="000000" w:themeColor="text1"/>
                      <w:sz w:val="21"/>
                      <w:szCs w:val="21"/>
                      <w:vertAlign w:val="superscript"/>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，现有生产车间内设置有原料区、成品区、生产区。生产车间内布设有一条EPS板材生产线。</w:t>
                  </w:r>
                </w:p>
                <w:p w14:paraId="7F5FA925">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本项目发泡工序新增2个集气罩、成型工序新增1个集气罩，有机废气经收集后进入1套“两级活性炭吸附装置”处理，处理后通过15m高排气筒DA002排放。</w:t>
                  </w:r>
                </w:p>
                <w:p w14:paraId="0D5B7EFA">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本项目使用生物质燃料堆放于生产车间原料区。</w:t>
                  </w:r>
                </w:p>
              </w:tc>
              <w:tc>
                <w:tcPr>
                  <w:tcW w:w="249" w:type="pct"/>
                  <w:vAlign w:val="center"/>
                </w:tcPr>
                <w:p w14:paraId="43AF0BF9">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生产厂房依托现有、设备改建</w:t>
                  </w:r>
                </w:p>
              </w:tc>
            </w:tr>
            <w:tr w14:paraId="1206E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restart"/>
                  <w:vAlign w:val="center"/>
                </w:tcPr>
                <w:p w14:paraId="3C649133">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ascii="Times New Roman" w:hAnsi="Times New Roman" w:eastAsia="宋体" w:cs="Times New Roman"/>
                      <w:bCs/>
                      <w:color w:val="000000" w:themeColor="text1"/>
                      <w:szCs w:val="21"/>
                      <w:lang w:eastAsia="zh-CN"/>
                      <w14:textFill>
                        <w14:solidFill>
                          <w14:schemeClr w14:val="tx1"/>
                        </w14:solidFill>
                      </w14:textFill>
                    </w:rPr>
                  </w:pPr>
                  <w:r>
                    <w:rPr>
                      <w:rFonts w:hint="eastAsia" w:cs="Times New Roman"/>
                      <w:bCs/>
                      <w:color w:val="000000" w:themeColor="text1"/>
                      <w:szCs w:val="21"/>
                      <w:lang w:eastAsia="zh-CN"/>
                      <w14:textFill>
                        <w14:solidFill>
                          <w14:schemeClr w14:val="tx1"/>
                        </w14:solidFill>
                      </w14:textFill>
                    </w:rPr>
                    <w:t>辅助工程</w:t>
                  </w:r>
                </w:p>
              </w:tc>
              <w:tc>
                <w:tcPr>
                  <w:tcW w:w="263" w:type="pct"/>
                  <w:vAlign w:val="center"/>
                </w:tcPr>
                <w:p w14:paraId="6BD1031C">
                  <w:pPr>
                    <w:pStyle w:val="20"/>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办公楼</w:t>
                  </w:r>
                </w:p>
              </w:tc>
              <w:tc>
                <w:tcPr>
                  <w:tcW w:w="2060" w:type="pct"/>
                  <w:gridSpan w:val="2"/>
                  <w:vAlign w:val="center"/>
                </w:tcPr>
                <w:p w14:paraId="41A21700">
                  <w:pPr>
                    <w:pStyle w:val="170"/>
                    <w:keepNext w:val="0"/>
                    <w:keepLines w:val="0"/>
                    <w:pageBreakBefore w:val="0"/>
                    <w:kinsoku/>
                    <w:wordWrap/>
                    <w:overflowPunct/>
                    <w:topLinePunct w:val="0"/>
                    <w:autoSpaceDE/>
                    <w:autoSpaceDN/>
                    <w:bidi w:val="0"/>
                    <w:spacing w:line="240" w:lineRule="auto"/>
                    <w:textAlignment w:val="auto"/>
                    <w:rPr>
                      <w:rFonts w:hint="eastAsia" w:cs="Times New Roman"/>
                      <w:color w:val="000000" w:themeColor="text1"/>
                      <w:sz w:val="21"/>
                      <w:szCs w:val="21"/>
                      <w:lang w:val="en-US" w:eastAsia="zh-CN"/>
                      <w14:textFill>
                        <w14:solidFill>
                          <w14:schemeClr w14:val="tx1"/>
                        </w14:solidFill>
                      </w14:textFill>
                    </w:rPr>
                  </w:pPr>
                  <w:r>
                    <w:rPr>
                      <w:rFonts w:hint="eastAsia"/>
                      <w:color w:val="000000" w:themeColor="text1"/>
                      <w:sz w:val="21"/>
                      <w:lang w:eastAsia="zh-CN"/>
                      <w14:textFill>
                        <w14:solidFill>
                          <w14:schemeClr w14:val="tx1"/>
                        </w14:solidFill>
                      </w14:textFill>
                    </w:rPr>
                    <w:t>设置有</w:t>
                  </w:r>
                  <w:r>
                    <w:rPr>
                      <w:rFonts w:hint="eastAsia"/>
                      <w:color w:val="000000" w:themeColor="text1"/>
                      <w:sz w:val="21"/>
                      <w:lang w:val="en-US" w:eastAsia="zh-CN"/>
                      <w14:textFill>
                        <w14:solidFill>
                          <w14:schemeClr w14:val="tx1"/>
                        </w14:solidFill>
                      </w14:textFill>
                    </w:rPr>
                    <w:t>1间1层的</w:t>
                  </w:r>
                  <w:r>
                    <w:rPr>
                      <w:color w:val="000000" w:themeColor="text1"/>
                      <w:sz w:val="21"/>
                      <w14:textFill>
                        <w14:solidFill>
                          <w14:schemeClr w14:val="tx1"/>
                        </w14:solidFill>
                      </w14:textFill>
                    </w:rPr>
                    <w:t>占地面积约1</w:t>
                  </w:r>
                  <w:r>
                    <w:rPr>
                      <w:rFonts w:hint="eastAsia"/>
                      <w:color w:val="000000" w:themeColor="text1"/>
                      <w:sz w:val="21"/>
                      <w:lang w:val="en-US" w:eastAsia="zh-CN"/>
                      <w14:textFill>
                        <w14:solidFill>
                          <w14:schemeClr w14:val="tx1"/>
                        </w14:solidFill>
                      </w14:textFill>
                    </w:rPr>
                    <w:t>86</w:t>
                  </w:r>
                  <w:r>
                    <w:rPr>
                      <w:color w:val="000000" w:themeColor="text1"/>
                      <w:sz w:val="21"/>
                      <w14:textFill>
                        <w14:solidFill>
                          <w14:schemeClr w14:val="tx1"/>
                        </w14:solidFill>
                      </w14:textFill>
                    </w:rPr>
                    <w:t>m</w:t>
                  </w:r>
                  <w:r>
                    <w:rPr>
                      <w:color w:val="000000" w:themeColor="text1"/>
                      <w:sz w:val="21"/>
                      <w:vertAlign w:val="superscript"/>
                      <w14:textFill>
                        <w14:solidFill>
                          <w14:schemeClr w14:val="tx1"/>
                        </w14:solidFill>
                      </w14:textFill>
                    </w:rPr>
                    <w:t>2</w:t>
                  </w:r>
                  <w:r>
                    <w:rPr>
                      <w:rFonts w:hint="eastAsia"/>
                      <w:color w:val="000000" w:themeColor="text1"/>
                      <w:sz w:val="21"/>
                      <w:lang w:eastAsia="zh-CN"/>
                      <w14:textFill>
                        <w14:solidFill>
                          <w14:schemeClr w14:val="tx1"/>
                        </w14:solidFill>
                      </w14:textFill>
                    </w:rPr>
                    <w:t>砖混结构的</w:t>
                  </w:r>
                  <w:r>
                    <w:rPr>
                      <w:color w:val="000000" w:themeColor="text1"/>
                      <w:sz w:val="21"/>
                      <w14:textFill>
                        <w14:solidFill>
                          <w14:schemeClr w14:val="tx1"/>
                        </w14:solidFill>
                      </w14:textFill>
                    </w:rPr>
                    <w:t>办公</w:t>
                  </w:r>
                  <w:r>
                    <w:rPr>
                      <w:rFonts w:hint="eastAsia"/>
                      <w:color w:val="000000" w:themeColor="text1"/>
                      <w:sz w:val="21"/>
                      <w:lang w:eastAsia="zh-CN"/>
                      <w14:textFill>
                        <w14:solidFill>
                          <w14:schemeClr w14:val="tx1"/>
                        </w14:solidFill>
                      </w14:textFill>
                    </w:rPr>
                    <w:t>用房。</w:t>
                  </w:r>
                </w:p>
              </w:tc>
              <w:tc>
                <w:tcPr>
                  <w:tcW w:w="2136" w:type="pct"/>
                  <w:gridSpan w:val="2"/>
                  <w:vAlign w:val="center"/>
                </w:tcPr>
                <w:p w14:paraId="54399564">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不变</w:t>
                  </w:r>
                </w:p>
              </w:tc>
              <w:tc>
                <w:tcPr>
                  <w:tcW w:w="249" w:type="pct"/>
                  <w:vAlign w:val="center"/>
                </w:tcPr>
                <w:p w14:paraId="5910361B">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依托</w:t>
                  </w:r>
                </w:p>
              </w:tc>
            </w:tr>
            <w:tr w14:paraId="5D244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continue"/>
                  <w:vAlign w:val="center"/>
                </w:tcPr>
                <w:p w14:paraId="03415B3F">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bCs/>
                      <w:color w:val="000000" w:themeColor="text1"/>
                      <w:szCs w:val="21"/>
                      <w14:textFill>
                        <w14:solidFill>
                          <w14:schemeClr w14:val="tx1"/>
                        </w14:solidFill>
                      </w14:textFill>
                    </w:rPr>
                  </w:pPr>
                </w:p>
              </w:tc>
              <w:tc>
                <w:tcPr>
                  <w:tcW w:w="263" w:type="pct"/>
                  <w:vAlign w:val="center"/>
                </w:tcPr>
                <w:p w14:paraId="4AA026DC">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管理用房</w:t>
                  </w:r>
                </w:p>
              </w:tc>
              <w:tc>
                <w:tcPr>
                  <w:tcW w:w="2060" w:type="pct"/>
                  <w:gridSpan w:val="2"/>
                  <w:vAlign w:val="center"/>
                </w:tcPr>
                <w:p w14:paraId="6B98B8B2">
                  <w:pPr>
                    <w:pStyle w:val="170"/>
                    <w:keepNext w:val="0"/>
                    <w:keepLines w:val="0"/>
                    <w:pageBreakBefore w:val="0"/>
                    <w:kinsoku/>
                    <w:wordWrap/>
                    <w:overflowPunct/>
                    <w:topLinePunct w:val="0"/>
                    <w:autoSpaceDE/>
                    <w:autoSpaceDN/>
                    <w:bidi w:val="0"/>
                    <w:spacing w:line="240" w:lineRule="auto"/>
                    <w:textAlignment w:val="auto"/>
                    <w:rPr>
                      <w:rFonts w:hint="eastAsia" w:cs="Times New Roman"/>
                      <w:color w:val="000000" w:themeColor="text1"/>
                      <w:sz w:val="21"/>
                      <w:szCs w:val="21"/>
                      <w:lang w:val="en-US" w:eastAsia="zh-CN"/>
                      <w14:textFill>
                        <w14:solidFill>
                          <w14:schemeClr w14:val="tx1"/>
                        </w14:solidFill>
                      </w14:textFill>
                    </w:rPr>
                  </w:pPr>
                  <w:r>
                    <w:rPr>
                      <w:rFonts w:hint="eastAsia"/>
                      <w:color w:val="000000" w:themeColor="text1"/>
                      <w:sz w:val="21"/>
                      <w:lang w:eastAsia="zh-CN"/>
                      <w14:textFill>
                        <w14:solidFill>
                          <w14:schemeClr w14:val="tx1"/>
                        </w14:solidFill>
                      </w14:textFill>
                    </w:rPr>
                    <w:t>设置有</w:t>
                  </w:r>
                  <w:r>
                    <w:rPr>
                      <w:rFonts w:hint="eastAsia"/>
                      <w:color w:val="000000" w:themeColor="text1"/>
                      <w:sz w:val="21"/>
                      <w:lang w:val="en-US" w:eastAsia="zh-CN"/>
                      <w14:textFill>
                        <w14:solidFill>
                          <w14:schemeClr w14:val="tx1"/>
                        </w14:solidFill>
                      </w14:textFill>
                    </w:rPr>
                    <w:t>1间1层的</w:t>
                  </w:r>
                  <w:r>
                    <w:rPr>
                      <w:color w:val="000000" w:themeColor="text1"/>
                      <w:sz w:val="21"/>
                      <w14:textFill>
                        <w14:solidFill>
                          <w14:schemeClr w14:val="tx1"/>
                        </w14:solidFill>
                      </w14:textFill>
                    </w:rPr>
                    <w:t>占地面积约</w:t>
                  </w:r>
                  <w:r>
                    <w:rPr>
                      <w:rFonts w:hint="eastAsia"/>
                      <w:color w:val="000000" w:themeColor="text1"/>
                      <w:sz w:val="21"/>
                      <w:lang w:val="en-US" w:eastAsia="zh-CN"/>
                      <w14:textFill>
                        <w14:solidFill>
                          <w14:schemeClr w14:val="tx1"/>
                        </w14:solidFill>
                      </w14:textFill>
                    </w:rPr>
                    <w:t>54</w:t>
                  </w:r>
                  <w:r>
                    <w:rPr>
                      <w:color w:val="000000" w:themeColor="text1"/>
                      <w:sz w:val="21"/>
                      <w14:textFill>
                        <w14:solidFill>
                          <w14:schemeClr w14:val="tx1"/>
                        </w14:solidFill>
                      </w14:textFill>
                    </w:rPr>
                    <w:t>m</w:t>
                  </w:r>
                  <w:r>
                    <w:rPr>
                      <w:color w:val="000000" w:themeColor="text1"/>
                      <w:sz w:val="21"/>
                      <w:vertAlign w:val="superscript"/>
                      <w14:textFill>
                        <w14:solidFill>
                          <w14:schemeClr w14:val="tx1"/>
                        </w14:solidFill>
                      </w14:textFill>
                    </w:rPr>
                    <w:t>2</w:t>
                  </w:r>
                  <w:r>
                    <w:rPr>
                      <w:rFonts w:hint="eastAsia"/>
                      <w:color w:val="000000" w:themeColor="text1"/>
                      <w:sz w:val="21"/>
                      <w:lang w:eastAsia="zh-CN"/>
                      <w14:textFill>
                        <w14:solidFill>
                          <w14:schemeClr w14:val="tx1"/>
                        </w14:solidFill>
                      </w14:textFill>
                    </w:rPr>
                    <w:t>砖混结构的管理用房，作为门卫室。</w:t>
                  </w:r>
                </w:p>
              </w:tc>
              <w:tc>
                <w:tcPr>
                  <w:tcW w:w="2136" w:type="pct"/>
                  <w:gridSpan w:val="2"/>
                  <w:vAlign w:val="center"/>
                </w:tcPr>
                <w:p w14:paraId="5AC08A72">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不变</w:t>
                  </w:r>
                </w:p>
              </w:tc>
              <w:tc>
                <w:tcPr>
                  <w:tcW w:w="249" w:type="pct"/>
                  <w:vAlign w:val="center"/>
                </w:tcPr>
                <w:p w14:paraId="61E1DC3F">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依托</w:t>
                  </w:r>
                </w:p>
              </w:tc>
            </w:tr>
            <w:tr w14:paraId="7B728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restart"/>
                  <w:vAlign w:val="center"/>
                </w:tcPr>
                <w:p w14:paraId="34BF4EAF">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ascii="Times New Roman" w:hAnsi="Times New Roman" w:eastAsia="宋体" w:cs="Times New Roman"/>
                      <w:bCs/>
                      <w:color w:val="000000" w:themeColor="text1"/>
                      <w:szCs w:val="21"/>
                      <w:lang w:eastAsia="zh-CN"/>
                      <w14:textFill>
                        <w14:solidFill>
                          <w14:schemeClr w14:val="tx1"/>
                        </w14:solidFill>
                      </w14:textFill>
                    </w:rPr>
                  </w:pPr>
                  <w:r>
                    <w:rPr>
                      <w:rFonts w:hint="eastAsia" w:cs="Times New Roman"/>
                      <w:bCs/>
                      <w:color w:val="000000" w:themeColor="text1"/>
                      <w:szCs w:val="21"/>
                      <w:lang w:eastAsia="zh-CN"/>
                      <w14:textFill>
                        <w14:solidFill>
                          <w14:schemeClr w14:val="tx1"/>
                        </w14:solidFill>
                      </w14:textFill>
                    </w:rPr>
                    <w:t>储运公共</w:t>
                  </w:r>
                </w:p>
              </w:tc>
              <w:tc>
                <w:tcPr>
                  <w:tcW w:w="263" w:type="pct"/>
                  <w:vAlign w:val="center"/>
                </w:tcPr>
                <w:p w14:paraId="43BF48B4">
                  <w:pPr>
                    <w:pStyle w:val="20"/>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olor w:val="000000" w:themeColor="text1"/>
                      <w:sz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仓库</w:t>
                  </w:r>
                </w:p>
              </w:tc>
              <w:tc>
                <w:tcPr>
                  <w:tcW w:w="2060" w:type="pct"/>
                  <w:gridSpan w:val="2"/>
                  <w:vAlign w:val="center"/>
                </w:tcPr>
                <w:p w14:paraId="2B50DADD">
                  <w:pPr>
                    <w:pStyle w:val="20"/>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现有仓库</w:t>
                  </w:r>
                  <w:r>
                    <w:rPr>
                      <w:rFonts w:hint="eastAsia"/>
                      <w:color w:val="000000" w:themeColor="text1"/>
                      <w:sz w:val="21"/>
                      <w:lang w:val="en-US" w:eastAsia="zh-CN"/>
                      <w14:textFill>
                        <w14:solidFill>
                          <w14:schemeClr w14:val="tx1"/>
                        </w14:solidFill>
                      </w14:textFill>
                    </w:rPr>
                    <w:t>1间，</w:t>
                  </w:r>
                  <w:r>
                    <w:rPr>
                      <w:color w:val="000000" w:themeColor="text1"/>
                      <w:sz w:val="21"/>
                      <w14:textFill>
                        <w14:solidFill>
                          <w14:schemeClr w14:val="tx1"/>
                        </w14:solidFill>
                      </w14:textFill>
                    </w:rPr>
                    <w:t>占地面积约</w:t>
                  </w:r>
                  <w:r>
                    <w:rPr>
                      <w:rFonts w:hint="eastAsia"/>
                      <w:color w:val="000000" w:themeColor="text1"/>
                      <w:sz w:val="21"/>
                      <w:lang w:val="en-US" w:eastAsia="zh-CN"/>
                      <w14:textFill>
                        <w14:solidFill>
                          <w14:schemeClr w14:val="tx1"/>
                        </w14:solidFill>
                      </w14:textFill>
                    </w:rPr>
                    <w:t>252</w:t>
                  </w:r>
                  <w:r>
                    <w:rPr>
                      <w:color w:val="000000" w:themeColor="text1"/>
                      <w:sz w:val="21"/>
                      <w14:textFill>
                        <w14:solidFill>
                          <w14:schemeClr w14:val="tx1"/>
                        </w14:solidFill>
                      </w14:textFill>
                    </w:rPr>
                    <w:t>m</w:t>
                  </w:r>
                  <w:r>
                    <w:rPr>
                      <w:color w:val="000000" w:themeColor="text1"/>
                      <w:sz w:val="21"/>
                      <w:vertAlign w:val="superscript"/>
                      <w14:textFill>
                        <w14:solidFill>
                          <w14:schemeClr w14:val="tx1"/>
                        </w14:solidFill>
                      </w14:textFill>
                    </w:rPr>
                    <w:t>2</w:t>
                  </w:r>
                  <w:r>
                    <w:rPr>
                      <w:color w:val="000000" w:themeColor="text1"/>
                      <w:sz w:val="21"/>
                      <w14:textFill>
                        <w14:solidFill>
                          <w14:schemeClr w14:val="tx1"/>
                        </w14:solidFill>
                      </w14:textFill>
                    </w:rPr>
                    <w:t>，</w:t>
                  </w:r>
                  <w:r>
                    <w:rPr>
                      <w:rFonts w:hint="eastAsia"/>
                      <w:color w:val="000000" w:themeColor="text1"/>
                      <w:sz w:val="21"/>
                      <w:lang w:eastAsia="zh-CN"/>
                      <w14:textFill>
                        <w14:solidFill>
                          <w14:schemeClr w14:val="tx1"/>
                        </w14:solidFill>
                      </w14:textFill>
                    </w:rPr>
                    <w:t>钢架结构，封闭式</w:t>
                  </w:r>
                  <w:r>
                    <w:rPr>
                      <w:color w:val="000000" w:themeColor="text1"/>
                      <w:sz w:val="21"/>
                      <w14:textFill>
                        <w14:solidFill>
                          <w14:schemeClr w14:val="tx1"/>
                        </w14:solidFill>
                      </w14:textFill>
                    </w:rPr>
                    <w:t>，地面硬化。</w:t>
                  </w:r>
                </w:p>
              </w:tc>
              <w:tc>
                <w:tcPr>
                  <w:tcW w:w="2136" w:type="pct"/>
                  <w:gridSpan w:val="2"/>
                  <w:vAlign w:val="center"/>
                </w:tcPr>
                <w:p w14:paraId="7FDCAE51">
                  <w:pPr>
                    <w:pStyle w:val="20"/>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不变</w:t>
                  </w:r>
                </w:p>
              </w:tc>
              <w:tc>
                <w:tcPr>
                  <w:tcW w:w="249" w:type="pct"/>
                  <w:vAlign w:val="center"/>
                </w:tcPr>
                <w:p w14:paraId="13672E8B">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依托</w:t>
                  </w:r>
                </w:p>
              </w:tc>
            </w:tr>
            <w:tr w14:paraId="1C58F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continue"/>
                  <w:vAlign w:val="center"/>
                </w:tcPr>
                <w:p w14:paraId="5BE4D02B">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cs="Times New Roman"/>
                      <w:bCs/>
                      <w:color w:val="000000" w:themeColor="text1"/>
                      <w:szCs w:val="21"/>
                      <w:lang w:eastAsia="zh-CN"/>
                      <w14:textFill>
                        <w14:solidFill>
                          <w14:schemeClr w14:val="tx1"/>
                        </w14:solidFill>
                      </w14:textFill>
                    </w:rPr>
                  </w:pPr>
                </w:p>
              </w:tc>
              <w:tc>
                <w:tcPr>
                  <w:tcW w:w="263" w:type="pct"/>
                  <w:vAlign w:val="center"/>
                </w:tcPr>
                <w:p w14:paraId="4881FD20">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运输道路</w:t>
                  </w:r>
                </w:p>
              </w:tc>
              <w:tc>
                <w:tcPr>
                  <w:tcW w:w="2060" w:type="pct"/>
                  <w:gridSpan w:val="2"/>
                  <w:shd w:val="clear" w:color="auto" w:fill="auto"/>
                  <w:vAlign w:val="center"/>
                </w:tcPr>
                <w:p w14:paraId="0D656AB0">
                  <w:pPr>
                    <w:pStyle w:val="20"/>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厂区内现有运输道路约</w:t>
                  </w:r>
                  <w:r>
                    <w:rPr>
                      <w:rFonts w:hint="eastAsia" w:cs="Times New Roman"/>
                      <w:color w:val="000000" w:themeColor="text1"/>
                      <w:sz w:val="21"/>
                      <w:szCs w:val="21"/>
                      <w:lang w:val="en-US" w:eastAsia="zh-CN"/>
                      <w14:textFill>
                        <w14:solidFill>
                          <w14:schemeClr w14:val="tx1"/>
                        </w14:solidFill>
                      </w14:textFill>
                    </w:rPr>
                    <w:t>900m</w:t>
                  </w:r>
                  <w:r>
                    <w:rPr>
                      <w:rFonts w:hint="eastAsia" w:cs="Times New Roman"/>
                      <w:color w:val="000000" w:themeColor="text1"/>
                      <w:sz w:val="21"/>
                      <w:szCs w:val="21"/>
                      <w:vertAlign w:val="superscript"/>
                      <w:lang w:val="en-US" w:eastAsia="zh-CN"/>
                      <w14:textFill>
                        <w14:solidFill>
                          <w14:schemeClr w14:val="tx1"/>
                        </w14:solidFill>
                      </w14:textFill>
                    </w:rPr>
                    <w:t>2</w:t>
                  </w:r>
                </w:p>
              </w:tc>
              <w:tc>
                <w:tcPr>
                  <w:tcW w:w="2136" w:type="pct"/>
                  <w:gridSpan w:val="2"/>
                  <w:vAlign w:val="center"/>
                </w:tcPr>
                <w:p w14:paraId="24E4C664">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不变</w:t>
                  </w:r>
                </w:p>
              </w:tc>
              <w:tc>
                <w:tcPr>
                  <w:tcW w:w="249" w:type="pct"/>
                  <w:vAlign w:val="center"/>
                </w:tcPr>
                <w:p w14:paraId="72EF4252">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依托</w:t>
                  </w:r>
                </w:p>
              </w:tc>
            </w:tr>
            <w:tr w14:paraId="41D84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restart"/>
                  <w:vAlign w:val="center"/>
                </w:tcPr>
                <w:p w14:paraId="2EA14A28">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公用工程</w:t>
                  </w:r>
                </w:p>
              </w:tc>
              <w:tc>
                <w:tcPr>
                  <w:tcW w:w="263" w:type="pct"/>
                  <w:vAlign w:val="center"/>
                </w:tcPr>
                <w:p w14:paraId="55487E23">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ascii="Times New Roman" w:hAnsi="Times New Roman" w:eastAsia="宋体" w:cs="Times New Roman"/>
                      <w:bCs/>
                      <w:color w:val="000000" w:themeColor="text1"/>
                      <w:kern w:val="0"/>
                      <w:szCs w:val="21"/>
                      <w:lang w:eastAsia="zh-CN"/>
                      <w14:textFill>
                        <w14:solidFill>
                          <w14:schemeClr w14:val="tx1"/>
                        </w14:solidFill>
                      </w14:textFill>
                    </w:rPr>
                  </w:pPr>
                  <w:r>
                    <w:rPr>
                      <w:rFonts w:hint="eastAsia" w:cs="Times New Roman"/>
                      <w:bCs/>
                      <w:color w:val="000000" w:themeColor="text1"/>
                      <w:kern w:val="0"/>
                      <w:szCs w:val="21"/>
                      <w:lang w:eastAsia="zh-CN"/>
                      <w14:textFill>
                        <w14:solidFill>
                          <w14:schemeClr w14:val="tx1"/>
                        </w14:solidFill>
                      </w14:textFill>
                    </w:rPr>
                    <w:t>供电</w:t>
                  </w:r>
                </w:p>
              </w:tc>
              <w:tc>
                <w:tcPr>
                  <w:tcW w:w="2060" w:type="pct"/>
                  <w:gridSpan w:val="2"/>
                  <w:vAlign w:val="center"/>
                </w:tcPr>
                <w:p w14:paraId="3F78669F">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bCs/>
                      <w:color w:val="000000" w:themeColor="text1"/>
                      <w:kern w:val="0"/>
                      <w:szCs w:val="21"/>
                      <w:lang w:eastAsia="zh-CN"/>
                      <w14:textFill>
                        <w14:solidFill>
                          <w14:schemeClr w14:val="tx1"/>
                        </w14:solidFill>
                      </w14:textFill>
                    </w:rPr>
                  </w:pPr>
                  <w:r>
                    <w:rPr>
                      <w:rFonts w:hint="eastAsia" w:cs="Times New Roman"/>
                      <w:color w:val="000000" w:themeColor="text1"/>
                      <w:kern w:val="0"/>
                      <w:szCs w:val="21"/>
                      <w:lang w:eastAsia="zh-CN"/>
                      <w14:textFill>
                        <w14:solidFill>
                          <w14:schemeClr w14:val="tx1"/>
                        </w14:solidFill>
                      </w14:textFill>
                    </w:rPr>
                    <w:t>由市政电网供给</w:t>
                  </w:r>
                </w:p>
              </w:tc>
              <w:tc>
                <w:tcPr>
                  <w:tcW w:w="2136" w:type="pct"/>
                  <w:gridSpan w:val="2"/>
                  <w:vAlign w:val="center"/>
                </w:tcPr>
                <w:p w14:paraId="4C4CDCCD">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ascii="Times New Roman" w:hAnsi="Times New Roman" w:eastAsia="宋体" w:cs="Times New Roman"/>
                      <w:color w:val="000000" w:themeColor="text1"/>
                      <w:kern w:val="0"/>
                      <w:szCs w:val="21"/>
                      <w:lang w:eastAsia="zh-CN"/>
                      <w14:textFill>
                        <w14:solidFill>
                          <w14:schemeClr w14:val="tx1"/>
                        </w14:solidFill>
                      </w14:textFill>
                    </w:rPr>
                  </w:pPr>
                  <w:r>
                    <w:rPr>
                      <w:rFonts w:hint="eastAsia" w:cs="Times New Roman"/>
                      <w:color w:val="000000" w:themeColor="text1"/>
                      <w:kern w:val="0"/>
                      <w:szCs w:val="21"/>
                      <w:lang w:eastAsia="zh-CN"/>
                      <w14:textFill>
                        <w14:solidFill>
                          <w14:schemeClr w14:val="tx1"/>
                        </w14:solidFill>
                      </w14:textFill>
                    </w:rPr>
                    <w:t>由市政电网供给</w:t>
                  </w:r>
                </w:p>
              </w:tc>
              <w:tc>
                <w:tcPr>
                  <w:tcW w:w="249" w:type="pct"/>
                  <w:vAlign w:val="center"/>
                </w:tcPr>
                <w:p w14:paraId="63CFD321">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r>
            <w:tr w14:paraId="722F4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continue"/>
                  <w:vAlign w:val="center"/>
                </w:tcPr>
                <w:p w14:paraId="2CFBCE00">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bCs/>
                      <w:color w:val="000000" w:themeColor="text1"/>
                      <w:szCs w:val="21"/>
                      <w14:textFill>
                        <w14:solidFill>
                          <w14:schemeClr w14:val="tx1"/>
                        </w14:solidFill>
                      </w14:textFill>
                    </w:rPr>
                  </w:pPr>
                </w:p>
              </w:tc>
              <w:tc>
                <w:tcPr>
                  <w:tcW w:w="263" w:type="pct"/>
                  <w:vAlign w:val="center"/>
                </w:tcPr>
                <w:p w14:paraId="3E41BEFD">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ascii="Times New Roman" w:hAnsi="Times New Roman" w:eastAsia="宋体" w:cs="Times New Roman"/>
                      <w:bCs/>
                      <w:color w:val="000000" w:themeColor="text1"/>
                      <w:kern w:val="0"/>
                      <w:szCs w:val="21"/>
                      <w:lang w:eastAsia="zh-CN"/>
                      <w14:textFill>
                        <w14:solidFill>
                          <w14:schemeClr w14:val="tx1"/>
                        </w14:solidFill>
                      </w14:textFill>
                    </w:rPr>
                  </w:pPr>
                  <w:r>
                    <w:rPr>
                      <w:rFonts w:hint="eastAsia" w:cs="Times New Roman"/>
                      <w:bCs/>
                      <w:color w:val="000000" w:themeColor="text1"/>
                      <w:kern w:val="0"/>
                      <w:szCs w:val="21"/>
                      <w:lang w:eastAsia="zh-CN"/>
                      <w14:textFill>
                        <w14:solidFill>
                          <w14:schemeClr w14:val="tx1"/>
                        </w14:solidFill>
                      </w14:textFill>
                    </w:rPr>
                    <w:t>供水</w:t>
                  </w:r>
                </w:p>
              </w:tc>
              <w:tc>
                <w:tcPr>
                  <w:tcW w:w="2060" w:type="pct"/>
                  <w:gridSpan w:val="2"/>
                  <w:vAlign w:val="center"/>
                </w:tcPr>
                <w:p w14:paraId="4695E46F">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bCs/>
                      <w:color w:val="000000" w:themeColor="text1"/>
                      <w:kern w:val="0"/>
                      <w:szCs w:val="21"/>
                      <w:lang w:eastAsia="zh-CN"/>
                      <w14:textFill>
                        <w14:solidFill>
                          <w14:schemeClr w14:val="tx1"/>
                        </w14:solidFill>
                      </w14:textFill>
                    </w:rPr>
                  </w:pPr>
                  <w:r>
                    <w:rPr>
                      <w:rFonts w:hint="eastAsia" w:cs="Times New Roman"/>
                      <w:color w:val="000000" w:themeColor="text1"/>
                      <w:kern w:val="0"/>
                      <w:szCs w:val="21"/>
                      <w:lang w:eastAsia="zh-CN"/>
                      <w14:textFill>
                        <w14:solidFill>
                          <w14:schemeClr w14:val="tx1"/>
                        </w14:solidFill>
                      </w14:textFill>
                    </w:rPr>
                    <w:t>由市政管网供给</w:t>
                  </w:r>
                </w:p>
              </w:tc>
              <w:tc>
                <w:tcPr>
                  <w:tcW w:w="2136" w:type="pct"/>
                  <w:gridSpan w:val="2"/>
                  <w:vAlign w:val="center"/>
                </w:tcPr>
                <w:p w14:paraId="1376F4F3">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eastAsia" w:cs="Times New Roman"/>
                      <w:color w:val="000000" w:themeColor="text1"/>
                      <w:kern w:val="0"/>
                      <w:szCs w:val="21"/>
                      <w:lang w:eastAsia="zh-CN"/>
                      <w14:textFill>
                        <w14:solidFill>
                          <w14:schemeClr w14:val="tx1"/>
                        </w14:solidFill>
                      </w14:textFill>
                    </w:rPr>
                    <w:t>由市政管网供给</w:t>
                  </w:r>
                </w:p>
              </w:tc>
              <w:tc>
                <w:tcPr>
                  <w:tcW w:w="249" w:type="pct"/>
                  <w:vAlign w:val="center"/>
                </w:tcPr>
                <w:p w14:paraId="017E48D2">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r>
            <w:tr w14:paraId="41A9B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continue"/>
                  <w:vAlign w:val="center"/>
                </w:tcPr>
                <w:p w14:paraId="29292D0D">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bCs/>
                      <w:color w:val="000000" w:themeColor="text1"/>
                      <w:szCs w:val="21"/>
                      <w14:textFill>
                        <w14:solidFill>
                          <w14:schemeClr w14:val="tx1"/>
                        </w14:solidFill>
                      </w14:textFill>
                    </w:rPr>
                  </w:pPr>
                </w:p>
              </w:tc>
              <w:tc>
                <w:tcPr>
                  <w:tcW w:w="263" w:type="pct"/>
                  <w:vAlign w:val="center"/>
                </w:tcPr>
                <w:p w14:paraId="70AF2CF8">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ascii="Times New Roman" w:hAnsi="Times New Roman" w:eastAsia="宋体" w:cs="Times New Roman"/>
                      <w:bCs/>
                      <w:color w:val="000000" w:themeColor="text1"/>
                      <w:kern w:val="0"/>
                      <w:szCs w:val="21"/>
                      <w:lang w:eastAsia="zh-CN"/>
                      <w14:textFill>
                        <w14:solidFill>
                          <w14:schemeClr w14:val="tx1"/>
                        </w14:solidFill>
                      </w14:textFill>
                    </w:rPr>
                  </w:pPr>
                  <w:r>
                    <w:rPr>
                      <w:rFonts w:hint="eastAsia" w:cs="Times New Roman"/>
                      <w:bCs/>
                      <w:color w:val="000000" w:themeColor="text1"/>
                      <w:kern w:val="0"/>
                      <w:szCs w:val="21"/>
                      <w:lang w:eastAsia="zh-CN"/>
                      <w14:textFill>
                        <w14:solidFill>
                          <w14:schemeClr w14:val="tx1"/>
                        </w14:solidFill>
                      </w14:textFill>
                    </w:rPr>
                    <w:t>燃料</w:t>
                  </w:r>
                </w:p>
              </w:tc>
              <w:tc>
                <w:tcPr>
                  <w:tcW w:w="2060" w:type="pct"/>
                  <w:gridSpan w:val="2"/>
                  <w:vAlign w:val="center"/>
                </w:tcPr>
                <w:p w14:paraId="7F25CA99">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cs="Times New Roman"/>
                      <w:bCs/>
                      <w:color w:val="000000" w:themeColor="text1"/>
                      <w:kern w:val="0"/>
                      <w:szCs w:val="21"/>
                      <w:lang w:eastAsia="zh-CN"/>
                      <w14:textFill>
                        <w14:solidFill>
                          <w14:schemeClr w14:val="tx1"/>
                        </w14:solidFill>
                      </w14:textFill>
                    </w:rPr>
                  </w:pPr>
                  <w:r>
                    <w:rPr>
                      <w:rFonts w:hint="eastAsia" w:cs="Times New Roman"/>
                      <w:bCs/>
                      <w:color w:val="000000" w:themeColor="text1"/>
                      <w:kern w:val="0"/>
                      <w:szCs w:val="21"/>
                      <w:lang w:eastAsia="zh-CN"/>
                      <w14:textFill>
                        <w14:solidFill>
                          <w14:schemeClr w14:val="tx1"/>
                        </w14:solidFill>
                      </w14:textFill>
                    </w:rPr>
                    <w:t>现有项目锅炉使用燃煤作为燃料</w:t>
                  </w:r>
                </w:p>
              </w:tc>
              <w:tc>
                <w:tcPr>
                  <w:tcW w:w="2136" w:type="pct"/>
                  <w:gridSpan w:val="2"/>
                  <w:vAlign w:val="center"/>
                </w:tcPr>
                <w:p w14:paraId="5987424C">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ascii="Times New Roman" w:hAnsi="Times New Roman" w:eastAsia="宋体" w:cs="Times New Roman"/>
                      <w:color w:val="000000" w:themeColor="text1"/>
                      <w:kern w:val="0"/>
                      <w:szCs w:val="21"/>
                      <w:lang w:eastAsia="zh-CN"/>
                      <w14:textFill>
                        <w14:solidFill>
                          <w14:schemeClr w14:val="tx1"/>
                        </w14:solidFill>
                      </w14:textFill>
                    </w:rPr>
                  </w:pPr>
                  <w:r>
                    <w:rPr>
                      <w:rFonts w:hint="eastAsia" w:cs="Times New Roman"/>
                      <w:color w:val="000000" w:themeColor="text1"/>
                      <w:kern w:val="0"/>
                      <w:szCs w:val="21"/>
                      <w:lang w:eastAsia="zh-CN"/>
                      <w14:textFill>
                        <w14:solidFill>
                          <w14:schemeClr w14:val="tx1"/>
                        </w14:solidFill>
                      </w14:textFill>
                    </w:rPr>
                    <w:t>本项目锅炉使用生物质成型颗粒作为燃料</w:t>
                  </w:r>
                </w:p>
              </w:tc>
              <w:tc>
                <w:tcPr>
                  <w:tcW w:w="249" w:type="pct"/>
                  <w:vAlign w:val="center"/>
                </w:tcPr>
                <w:p w14:paraId="41C0242A">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改建</w:t>
                  </w:r>
                </w:p>
              </w:tc>
            </w:tr>
            <w:tr w14:paraId="4CBF8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continue"/>
                  <w:vAlign w:val="center"/>
                </w:tcPr>
                <w:p w14:paraId="397F49D1">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bCs/>
                      <w:color w:val="000000" w:themeColor="text1"/>
                      <w:szCs w:val="21"/>
                      <w14:textFill>
                        <w14:solidFill>
                          <w14:schemeClr w14:val="tx1"/>
                        </w14:solidFill>
                      </w14:textFill>
                    </w:rPr>
                  </w:pPr>
                </w:p>
              </w:tc>
              <w:tc>
                <w:tcPr>
                  <w:tcW w:w="263" w:type="pct"/>
                  <w:vAlign w:val="center"/>
                </w:tcPr>
                <w:p w14:paraId="3918001E">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排水</w:t>
                  </w:r>
                </w:p>
              </w:tc>
              <w:tc>
                <w:tcPr>
                  <w:tcW w:w="2060" w:type="pct"/>
                  <w:gridSpan w:val="2"/>
                  <w:vAlign w:val="center"/>
                </w:tcPr>
                <w:p w14:paraId="7BCED055">
                  <w:pPr>
                    <w:pStyle w:val="128"/>
                    <w:keepNext w:val="0"/>
                    <w:keepLines w:val="0"/>
                    <w:pageBreakBefore w:val="0"/>
                    <w:kinsoku/>
                    <w:wordWrap/>
                    <w:overflowPunct/>
                    <w:topLinePunct w:val="0"/>
                    <w:autoSpaceDE/>
                    <w:autoSpaceDN/>
                    <w:bidi w:val="0"/>
                    <w:spacing w:before="0" w:after="0" w:line="240" w:lineRule="auto"/>
                    <w:ind w:left="0" w:leftChars="0" w:right="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（1）项目采取雨污分流制，初期</w:t>
                  </w:r>
                  <w:r>
                    <w:rPr>
                      <w:rFonts w:hint="eastAsia" w:cs="Times New Roman"/>
                      <w:color w:val="000000" w:themeColor="text1"/>
                      <w:lang w:val="en-US" w:eastAsia="zh-CN"/>
                      <w14:textFill>
                        <w14:solidFill>
                          <w14:schemeClr w14:val="tx1"/>
                        </w14:solidFill>
                      </w14:textFill>
                    </w:rPr>
                    <w:t>雨水经厂区周边现有雨水沟收集后进入周边道路旁雨水沟。</w:t>
                  </w:r>
                </w:p>
                <w:p w14:paraId="572D076E">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cs="Times New Roman"/>
                      <w:color w:val="000000" w:themeColor="text1"/>
                      <w:kern w:val="0"/>
                      <w:szCs w:val="21"/>
                      <w:lang w:eastAsia="zh-CN"/>
                      <w14:textFill>
                        <w14:solidFill>
                          <w14:schemeClr w14:val="tx1"/>
                        </w14:solidFill>
                      </w14:textFill>
                    </w:rPr>
                  </w:pPr>
                  <w:r>
                    <w:rPr>
                      <w:rFonts w:hint="eastAsia" w:cs="Times New Roman"/>
                      <w:color w:val="000000" w:themeColor="text1"/>
                      <w:kern w:val="0"/>
                      <w:szCs w:val="21"/>
                      <w:lang w:eastAsia="zh-CN"/>
                      <w14:textFill>
                        <w14:solidFill>
                          <w14:schemeClr w14:val="tx1"/>
                        </w14:solidFill>
                      </w14:textFill>
                    </w:rPr>
                    <w:t>（</w:t>
                  </w:r>
                  <w:r>
                    <w:rPr>
                      <w:rFonts w:hint="eastAsia" w:cs="Times New Roman"/>
                      <w:color w:val="000000" w:themeColor="text1"/>
                      <w:kern w:val="0"/>
                      <w:szCs w:val="21"/>
                      <w:lang w:val="en-US" w:eastAsia="zh-CN"/>
                      <w14:textFill>
                        <w14:solidFill>
                          <w14:schemeClr w14:val="tx1"/>
                        </w14:solidFill>
                      </w14:textFill>
                    </w:rPr>
                    <w:t>2</w:t>
                  </w:r>
                  <w:r>
                    <w:rPr>
                      <w:rFonts w:hint="eastAsia" w:cs="Times New Roman"/>
                      <w:color w:val="000000" w:themeColor="text1"/>
                      <w:kern w:val="0"/>
                      <w:szCs w:val="21"/>
                      <w:lang w:eastAsia="zh-CN"/>
                      <w14:textFill>
                        <w14:solidFill>
                          <w14:schemeClr w14:val="tx1"/>
                        </w14:solidFill>
                      </w14:textFill>
                    </w:rPr>
                    <w:t>）生活污水经隔油池、化粪池处理后用于厂区内菜地浇洒。</w:t>
                  </w:r>
                </w:p>
                <w:p w14:paraId="0A857E62">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ascii="Times New Roman" w:hAnsi="Times New Roman" w:eastAsia="宋体" w:cs="Times New Roman"/>
                      <w:color w:val="000000" w:themeColor="text1"/>
                      <w:kern w:val="0"/>
                      <w:szCs w:val="21"/>
                      <w:lang w:eastAsia="zh-CN"/>
                      <w14:textFill>
                        <w14:solidFill>
                          <w14:schemeClr w14:val="tx1"/>
                        </w14:solidFill>
                      </w14:textFill>
                    </w:rPr>
                  </w:pPr>
                  <w:r>
                    <w:rPr>
                      <w:rFonts w:hint="eastAsia" w:cs="Times New Roman"/>
                      <w:color w:val="000000" w:themeColor="text1"/>
                      <w:kern w:val="0"/>
                      <w:szCs w:val="21"/>
                      <w:lang w:eastAsia="zh-CN"/>
                      <w14:textFill>
                        <w14:solidFill>
                          <w14:schemeClr w14:val="tx1"/>
                        </w14:solidFill>
                      </w14:textFill>
                    </w:rPr>
                    <w:t>（</w:t>
                  </w:r>
                  <w:r>
                    <w:rPr>
                      <w:rFonts w:hint="eastAsia" w:cs="Times New Roman"/>
                      <w:color w:val="000000" w:themeColor="text1"/>
                      <w:kern w:val="0"/>
                      <w:szCs w:val="21"/>
                      <w:lang w:val="en-US" w:eastAsia="zh-CN"/>
                      <w14:textFill>
                        <w14:solidFill>
                          <w14:schemeClr w14:val="tx1"/>
                        </w14:solidFill>
                      </w14:textFill>
                    </w:rPr>
                    <w:t>3</w:t>
                  </w:r>
                  <w:r>
                    <w:rPr>
                      <w:rFonts w:hint="eastAsia" w:cs="Times New Roman"/>
                      <w:color w:val="000000" w:themeColor="text1"/>
                      <w:kern w:val="0"/>
                      <w:szCs w:val="21"/>
                      <w:lang w:eastAsia="zh-CN"/>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燃煤</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锅炉排污水经收集后回用于</w:t>
                  </w:r>
                  <w:r>
                    <w:rPr>
                      <w:rFonts w:hint="eastAsia" w:cs="Times New Roman"/>
                      <w:color w:val="000000" w:themeColor="text1"/>
                      <w:kern w:val="2"/>
                      <w:sz w:val="21"/>
                      <w:szCs w:val="21"/>
                      <w:lang w:val="en-US" w:eastAsia="zh-CN" w:bidi="ar-SA"/>
                      <w14:textFill>
                        <w14:solidFill>
                          <w14:schemeClr w14:val="tx1"/>
                        </w14:solidFill>
                      </w14:textFill>
                    </w:rPr>
                    <w:t>双碱法脱硫除尘设施补水</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，不外排</w:t>
                  </w:r>
                  <w:r>
                    <w:rPr>
                      <w:rFonts w:hint="eastAsia" w:cs="Times New Roman"/>
                      <w:color w:val="000000" w:themeColor="text1"/>
                      <w:kern w:val="0"/>
                      <w:szCs w:val="21"/>
                      <w:lang w:eastAsia="zh-CN"/>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发泡工段蒸汽冷凝水用于</w:t>
                  </w:r>
                  <w:r>
                    <w:rPr>
                      <w:rFonts w:hint="eastAsia" w:cs="Times New Roman"/>
                      <w:color w:val="000000" w:themeColor="text1"/>
                      <w:kern w:val="2"/>
                      <w:sz w:val="21"/>
                      <w:szCs w:val="21"/>
                      <w:lang w:val="en-US" w:eastAsia="zh-CN" w:bidi="ar-SA"/>
                      <w14:textFill>
                        <w14:solidFill>
                          <w14:schemeClr w14:val="tx1"/>
                        </w14:solidFill>
                      </w14:textFill>
                    </w:rPr>
                    <w:t>燃煤</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锅炉损耗补充水，不外排。</w:t>
                  </w:r>
                  <w:r>
                    <w:rPr>
                      <w:rFonts w:hint="eastAsia" w:cs="Times New Roman"/>
                      <w:color w:val="000000" w:themeColor="text1"/>
                      <w:kern w:val="2"/>
                      <w:sz w:val="21"/>
                      <w:szCs w:val="21"/>
                      <w:lang w:val="en-US" w:eastAsia="zh-CN" w:bidi="ar-SA"/>
                      <w14:textFill>
                        <w14:solidFill>
                          <w14:schemeClr w14:val="tx1"/>
                        </w14:solidFill>
                      </w14:textFill>
                    </w:rPr>
                    <w:t>流化干燥、烘干环节蒸汽自然蒸发</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压模环节蒸汽加热成型后多余蒸汽排出，自然蒸发</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2136" w:type="pct"/>
                  <w:gridSpan w:val="2"/>
                  <w:vAlign w:val="center"/>
                </w:tcPr>
                <w:p w14:paraId="1688377E">
                  <w:pPr>
                    <w:pStyle w:val="128"/>
                    <w:keepNext w:val="0"/>
                    <w:keepLines w:val="0"/>
                    <w:pageBreakBefore w:val="0"/>
                    <w:kinsoku/>
                    <w:wordWrap/>
                    <w:overflowPunct/>
                    <w:topLinePunct w:val="0"/>
                    <w:autoSpaceDE/>
                    <w:autoSpaceDN/>
                    <w:bidi w:val="0"/>
                    <w:spacing w:before="0" w:after="0" w:line="240" w:lineRule="auto"/>
                    <w:ind w:left="0" w:leftChars="0" w:right="0"/>
                    <w:textAlignment w:val="auto"/>
                    <w:rPr>
                      <w:rFonts w:hint="eastAsia"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（1）项目采取雨污分流制，初期</w:t>
                  </w:r>
                  <w:r>
                    <w:rPr>
                      <w:rFonts w:hint="eastAsia" w:cs="Times New Roman"/>
                      <w:color w:val="000000" w:themeColor="text1"/>
                      <w:lang w:val="en-US" w:eastAsia="zh-CN"/>
                      <w14:textFill>
                        <w14:solidFill>
                          <w14:schemeClr w14:val="tx1"/>
                        </w14:solidFill>
                      </w14:textFill>
                    </w:rPr>
                    <w:t>雨水经厂区周边现有雨水沟收集后进入周边道路旁雨水沟。</w:t>
                  </w:r>
                </w:p>
                <w:p w14:paraId="790546EA">
                  <w:pPr>
                    <w:keepNext w:val="0"/>
                    <w:keepLines w:val="0"/>
                    <w:pageBreakBefore w:val="0"/>
                    <w:kinsoku/>
                    <w:wordWrap/>
                    <w:overflowPunct/>
                    <w:topLinePunct w:val="0"/>
                    <w:autoSpaceDE/>
                    <w:autoSpaceDN/>
                    <w:bidi w:val="0"/>
                    <w:spacing w:line="240" w:lineRule="auto"/>
                    <w:textAlignment w:val="auto"/>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生活污水经隔油池、化粪池预处理后进入自建生活污水处理设施处理达《城市污水再生利用 城市杂用水水质》（GB/T18920-2020）中绿化标准后用于厂区绿化。</w:t>
                  </w:r>
                </w:p>
                <w:p w14:paraId="0382E96F">
                  <w:pPr>
                    <w:pStyle w:val="129"/>
                    <w:keepNext w:val="0"/>
                    <w:keepLines w:val="0"/>
                    <w:pageBreakBefore w:val="0"/>
                    <w:kinsoku/>
                    <w:wordWrap/>
                    <w:overflowPunct/>
                    <w:topLinePunct w:val="0"/>
                    <w:autoSpaceDE/>
                    <w:autoSpaceDN/>
                    <w:bidi w:val="0"/>
                    <w:spacing w:line="240" w:lineRule="auto"/>
                    <w:ind w:left="0" w:leftChars="0" w:right="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本项目软水制备废水及生物质锅炉排污水</w:t>
                  </w:r>
                  <w:r>
                    <w:rPr>
                      <w:rFonts w:hint="eastAsia" w:cs="Times New Roman"/>
                      <w:color w:val="000000" w:themeColor="text1"/>
                      <w:kern w:val="2"/>
                      <w:sz w:val="21"/>
                      <w:szCs w:val="21"/>
                      <w:lang w:val="en-US" w:eastAsia="zh-CN" w:bidi="ar-SA"/>
                      <w14:textFill>
                        <w14:solidFill>
                          <w14:schemeClr w14:val="tx1"/>
                        </w14:solidFill>
                      </w14:textFill>
                    </w:rPr>
                    <w:t>经收集处理后回用于厂区洒水降尘</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，不外排。发泡工段蒸汽冷凝水用于生物质锅炉损耗补充水，不外排。</w:t>
                  </w:r>
                  <w:r>
                    <w:rPr>
                      <w:rFonts w:hint="eastAsia" w:cs="Times New Roman"/>
                      <w:color w:val="000000" w:themeColor="text1"/>
                      <w:kern w:val="2"/>
                      <w:sz w:val="21"/>
                      <w:szCs w:val="21"/>
                      <w:lang w:val="en-US" w:eastAsia="zh-CN" w:bidi="ar-SA"/>
                      <w14:textFill>
                        <w14:solidFill>
                          <w14:schemeClr w14:val="tx1"/>
                        </w14:solidFill>
                      </w14:textFill>
                    </w:rPr>
                    <w:t>流化干燥、烘干环节蒸汽自然蒸发</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压模环节蒸汽加热成型后多余蒸汽排出，自然蒸发</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249" w:type="pct"/>
                  <w:vAlign w:val="center"/>
                </w:tcPr>
                <w:p w14:paraId="154ECCAD">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依托、</w:t>
                  </w:r>
                  <w:r>
                    <w:rPr>
                      <w:rFonts w:hint="default" w:ascii="Times New Roman" w:hAnsi="Times New Roman" w:cs="Times New Roman"/>
                      <w:color w:val="000000" w:themeColor="text1"/>
                      <w:szCs w:val="21"/>
                      <w14:textFill>
                        <w14:solidFill>
                          <w14:schemeClr w14:val="tx1"/>
                        </w14:solidFill>
                      </w14:textFill>
                    </w:rPr>
                    <w:t>新建</w:t>
                  </w:r>
                </w:p>
              </w:tc>
            </w:tr>
            <w:tr w14:paraId="4AE23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restart"/>
                  <w:vAlign w:val="center"/>
                </w:tcPr>
                <w:p w14:paraId="2D37FAB6">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环保工程</w:t>
                  </w:r>
                </w:p>
              </w:tc>
              <w:tc>
                <w:tcPr>
                  <w:tcW w:w="263" w:type="pct"/>
                  <w:vMerge w:val="restart"/>
                  <w:vAlign w:val="center"/>
                </w:tcPr>
                <w:p w14:paraId="7A5276D9">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废气</w:t>
                  </w:r>
                </w:p>
              </w:tc>
              <w:tc>
                <w:tcPr>
                  <w:tcW w:w="335" w:type="pct"/>
                  <w:tcBorders>
                    <w:bottom w:val="single" w:color="auto" w:sz="4" w:space="0"/>
                  </w:tcBorders>
                  <w:vAlign w:val="center"/>
                </w:tcPr>
                <w:p w14:paraId="1FE9962D">
                  <w:pPr>
                    <w:pStyle w:val="129"/>
                    <w:keepNext w:val="0"/>
                    <w:keepLines w:val="0"/>
                    <w:pageBreakBefore w:val="0"/>
                    <w:kinsoku/>
                    <w:wordWrap/>
                    <w:overflowPunct/>
                    <w:topLinePunct w:val="0"/>
                    <w:autoSpaceDE/>
                    <w:autoSpaceDN/>
                    <w:bidi w:val="0"/>
                    <w:spacing w:line="240" w:lineRule="auto"/>
                    <w:ind w:left="0" w:leftChars="0" w:right="0" w:rightChars="0" w:firstLine="0" w:firstLineChars="0"/>
                    <w:textAlignment w:val="auto"/>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lang w:val="en-US" w:eastAsia="zh-CN"/>
                      <w14:textFill>
                        <w14:solidFill>
                          <w14:schemeClr w14:val="tx1"/>
                        </w14:solidFill>
                      </w14:textFill>
                    </w:rPr>
                    <w:t>锅炉废气</w:t>
                  </w:r>
                </w:p>
              </w:tc>
              <w:tc>
                <w:tcPr>
                  <w:tcW w:w="1725" w:type="pct"/>
                  <w:tcBorders>
                    <w:bottom w:val="single" w:color="auto" w:sz="4" w:space="0"/>
                  </w:tcBorders>
                  <w:vAlign w:val="center"/>
                </w:tcPr>
                <w:p w14:paraId="722DE84E">
                  <w:pPr>
                    <w:pStyle w:val="129"/>
                    <w:keepNext w:val="0"/>
                    <w:keepLines w:val="0"/>
                    <w:pageBreakBefore w:val="0"/>
                    <w:kinsoku/>
                    <w:wordWrap/>
                    <w:overflowPunct/>
                    <w:topLinePunct w:val="0"/>
                    <w:autoSpaceDE/>
                    <w:autoSpaceDN/>
                    <w:bidi w:val="0"/>
                    <w:spacing w:line="240" w:lineRule="auto"/>
                    <w:ind w:left="0" w:leftChars="0" w:right="0" w:rightChars="0" w:firstLine="0" w:firstLineChars="0"/>
                    <w:textAlignment w:val="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锅炉废气经“双碱脱硫除尘设施”处理后通过30m高排气筒DA001排放。未配套设置低氮燃烧器。</w:t>
                  </w:r>
                </w:p>
              </w:tc>
              <w:tc>
                <w:tcPr>
                  <w:tcW w:w="385" w:type="pct"/>
                  <w:tcBorders>
                    <w:bottom w:val="single" w:color="auto" w:sz="4" w:space="0"/>
                  </w:tcBorders>
                  <w:vAlign w:val="center"/>
                </w:tcPr>
                <w:p w14:paraId="2E9B8663">
                  <w:pPr>
                    <w:pStyle w:val="129"/>
                    <w:keepNext w:val="0"/>
                    <w:keepLines w:val="0"/>
                    <w:pageBreakBefore w:val="0"/>
                    <w:kinsoku/>
                    <w:wordWrap/>
                    <w:overflowPunct/>
                    <w:topLinePunct w:val="0"/>
                    <w:autoSpaceDE/>
                    <w:autoSpaceDN/>
                    <w:bidi w:val="0"/>
                    <w:spacing w:line="240" w:lineRule="auto"/>
                    <w:ind w:left="0" w:leftChars="0" w:right="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锅炉废气</w:t>
                  </w:r>
                </w:p>
              </w:tc>
              <w:tc>
                <w:tcPr>
                  <w:tcW w:w="1751" w:type="pct"/>
                  <w:tcBorders>
                    <w:bottom w:val="single" w:color="auto" w:sz="4" w:space="0"/>
                  </w:tcBorders>
                  <w:vAlign w:val="center"/>
                </w:tcPr>
                <w:p w14:paraId="5D988B31">
                  <w:pPr>
                    <w:pStyle w:val="129"/>
                    <w:keepNext w:val="0"/>
                    <w:keepLines w:val="0"/>
                    <w:pageBreakBefore w:val="0"/>
                    <w:kinsoku/>
                    <w:wordWrap/>
                    <w:overflowPunct/>
                    <w:topLinePunct w:val="0"/>
                    <w:autoSpaceDE/>
                    <w:autoSpaceDN/>
                    <w:bidi w:val="0"/>
                    <w:spacing w:line="240" w:lineRule="auto"/>
                    <w:ind w:left="0" w:leftChars="0" w:right="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新增1套“低氮燃烧+旋风除尘+布袋除尘”废气治理设施，锅炉废气经收集后进入废气治理设施处理达标后通过依托现有30m高排气筒DA001排放。</w:t>
                  </w:r>
                </w:p>
              </w:tc>
              <w:tc>
                <w:tcPr>
                  <w:tcW w:w="249" w:type="pct"/>
                  <w:vAlign w:val="center"/>
                </w:tcPr>
                <w:p w14:paraId="2CB768EE">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改建</w:t>
                  </w:r>
                </w:p>
              </w:tc>
            </w:tr>
            <w:tr w14:paraId="643D5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continue"/>
                  <w:vAlign w:val="center"/>
                </w:tcPr>
                <w:p w14:paraId="08694A25">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bCs/>
                      <w:color w:val="000000" w:themeColor="text1"/>
                      <w:szCs w:val="21"/>
                      <w14:textFill>
                        <w14:solidFill>
                          <w14:schemeClr w14:val="tx1"/>
                        </w14:solidFill>
                      </w14:textFill>
                    </w:rPr>
                  </w:pPr>
                </w:p>
              </w:tc>
              <w:tc>
                <w:tcPr>
                  <w:tcW w:w="263" w:type="pct"/>
                  <w:vMerge w:val="continue"/>
                  <w:vAlign w:val="center"/>
                </w:tcPr>
                <w:p w14:paraId="1149F5DD">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Cs w:val="21"/>
                      <w14:textFill>
                        <w14:solidFill>
                          <w14:schemeClr w14:val="tx1"/>
                        </w14:solidFill>
                      </w14:textFill>
                    </w:rPr>
                  </w:pPr>
                </w:p>
              </w:tc>
              <w:tc>
                <w:tcPr>
                  <w:tcW w:w="335" w:type="pct"/>
                  <w:tcBorders>
                    <w:bottom w:val="single" w:color="auto" w:sz="4" w:space="0"/>
                  </w:tcBorders>
                  <w:vAlign w:val="center"/>
                </w:tcPr>
                <w:p w14:paraId="0B0AC96D">
                  <w:pPr>
                    <w:pStyle w:val="129"/>
                    <w:keepNext w:val="0"/>
                    <w:keepLines w:val="0"/>
                    <w:pageBreakBefore w:val="0"/>
                    <w:kinsoku/>
                    <w:wordWrap/>
                    <w:overflowPunct/>
                    <w:topLinePunct w:val="0"/>
                    <w:autoSpaceDE/>
                    <w:autoSpaceDN/>
                    <w:bidi w:val="0"/>
                    <w:spacing w:line="240" w:lineRule="auto"/>
                    <w:ind w:left="0" w:leftChars="0" w:right="0" w:rightChars="0" w:firstLine="0" w:firstLineChars="0"/>
                    <w:textAlignment w:val="auto"/>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lang w:val="en-US" w:eastAsia="zh-CN"/>
                      <w14:textFill>
                        <w14:solidFill>
                          <w14:schemeClr w14:val="tx1"/>
                        </w14:solidFill>
                      </w14:textFill>
                    </w:rPr>
                    <w:t>有机废气</w:t>
                  </w:r>
                </w:p>
              </w:tc>
              <w:tc>
                <w:tcPr>
                  <w:tcW w:w="1725" w:type="pct"/>
                  <w:tcBorders>
                    <w:bottom w:val="single" w:color="auto" w:sz="4" w:space="0"/>
                  </w:tcBorders>
                  <w:vAlign w:val="center"/>
                </w:tcPr>
                <w:p w14:paraId="7BA7ED51">
                  <w:pPr>
                    <w:pStyle w:val="129"/>
                    <w:keepNext w:val="0"/>
                    <w:keepLines w:val="0"/>
                    <w:pageBreakBefore w:val="0"/>
                    <w:kinsoku/>
                    <w:wordWrap/>
                    <w:overflowPunct/>
                    <w:topLinePunct w:val="0"/>
                    <w:autoSpaceDE/>
                    <w:autoSpaceDN/>
                    <w:bidi w:val="0"/>
                    <w:spacing w:line="240" w:lineRule="auto"/>
                    <w:ind w:left="0" w:leftChars="0" w:right="0" w:rightChars="0" w:firstLine="0" w:firstLineChars="0"/>
                    <w:textAlignment w:val="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有机废气经车间通风后无组织排放。</w:t>
                  </w:r>
                </w:p>
              </w:tc>
              <w:tc>
                <w:tcPr>
                  <w:tcW w:w="385" w:type="pct"/>
                  <w:tcBorders>
                    <w:bottom w:val="single" w:color="auto" w:sz="4" w:space="0"/>
                  </w:tcBorders>
                  <w:vAlign w:val="center"/>
                </w:tcPr>
                <w:p w14:paraId="428E1317">
                  <w:pPr>
                    <w:pStyle w:val="129"/>
                    <w:keepNext w:val="0"/>
                    <w:keepLines w:val="0"/>
                    <w:pageBreakBefore w:val="0"/>
                    <w:kinsoku/>
                    <w:wordWrap/>
                    <w:overflowPunct/>
                    <w:topLinePunct w:val="0"/>
                    <w:autoSpaceDE/>
                    <w:autoSpaceDN/>
                    <w:bidi w:val="0"/>
                    <w:spacing w:line="240" w:lineRule="auto"/>
                    <w:ind w:left="0" w:leftChars="0" w:right="0" w:firstLine="0" w:firstLineChars="0"/>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有机废气</w:t>
                  </w:r>
                </w:p>
              </w:tc>
              <w:tc>
                <w:tcPr>
                  <w:tcW w:w="1751" w:type="pct"/>
                  <w:tcBorders>
                    <w:bottom w:val="single" w:color="auto" w:sz="4" w:space="0"/>
                  </w:tcBorders>
                  <w:vAlign w:val="center"/>
                </w:tcPr>
                <w:p w14:paraId="0F984001">
                  <w:pPr>
                    <w:pStyle w:val="129"/>
                    <w:keepNext w:val="0"/>
                    <w:keepLines w:val="0"/>
                    <w:pageBreakBefore w:val="0"/>
                    <w:kinsoku/>
                    <w:wordWrap/>
                    <w:overflowPunct/>
                    <w:topLinePunct w:val="0"/>
                    <w:autoSpaceDE/>
                    <w:autoSpaceDN/>
                    <w:bidi w:val="0"/>
                    <w:spacing w:line="240" w:lineRule="auto"/>
                    <w:ind w:left="0" w:leftChars="0" w:right="0" w:firstLine="0" w:firstLineChars="0"/>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本项目发泡工序新增2个集气罩、成型工序新增1个集气罩，有机废气经收集后进入1套“两级活性炭吸附装置”处理，处理后通过15m高排气筒DA002排放。</w:t>
                  </w:r>
                </w:p>
              </w:tc>
              <w:tc>
                <w:tcPr>
                  <w:tcW w:w="249" w:type="pct"/>
                  <w:vAlign w:val="center"/>
                </w:tcPr>
                <w:p w14:paraId="15B42989">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改建</w:t>
                  </w:r>
                </w:p>
              </w:tc>
            </w:tr>
            <w:tr w14:paraId="5346F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continue"/>
                  <w:vAlign w:val="center"/>
                </w:tcPr>
                <w:p w14:paraId="09556678">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bCs/>
                      <w:color w:val="000000" w:themeColor="text1"/>
                      <w:szCs w:val="21"/>
                      <w14:textFill>
                        <w14:solidFill>
                          <w14:schemeClr w14:val="tx1"/>
                        </w14:solidFill>
                      </w14:textFill>
                    </w:rPr>
                  </w:pPr>
                </w:p>
              </w:tc>
              <w:tc>
                <w:tcPr>
                  <w:tcW w:w="263" w:type="pct"/>
                  <w:vMerge w:val="continue"/>
                  <w:vAlign w:val="center"/>
                </w:tcPr>
                <w:p w14:paraId="7A76B70A">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Cs w:val="21"/>
                      <w14:textFill>
                        <w14:solidFill>
                          <w14:schemeClr w14:val="tx1"/>
                        </w14:solidFill>
                      </w14:textFill>
                    </w:rPr>
                  </w:pPr>
                </w:p>
              </w:tc>
              <w:tc>
                <w:tcPr>
                  <w:tcW w:w="335" w:type="pct"/>
                  <w:tcBorders>
                    <w:bottom w:val="single" w:color="auto" w:sz="4" w:space="0"/>
                  </w:tcBorders>
                  <w:vAlign w:val="center"/>
                </w:tcPr>
                <w:p w14:paraId="06826B51">
                  <w:pPr>
                    <w:pStyle w:val="129"/>
                    <w:keepNext w:val="0"/>
                    <w:keepLines w:val="0"/>
                    <w:pageBreakBefore w:val="0"/>
                    <w:kinsoku/>
                    <w:wordWrap/>
                    <w:overflowPunct/>
                    <w:topLinePunct w:val="0"/>
                    <w:autoSpaceDE/>
                    <w:autoSpaceDN/>
                    <w:bidi w:val="0"/>
                    <w:spacing w:line="240" w:lineRule="auto"/>
                    <w:ind w:left="0" w:leftChars="0" w:right="0" w:rightChars="0" w:firstLine="0" w:firstLineChars="0"/>
                    <w:textAlignment w:val="auto"/>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lang w:val="en-US" w:eastAsia="zh-CN"/>
                      <w14:textFill>
                        <w14:solidFill>
                          <w14:schemeClr w14:val="tx1"/>
                        </w14:solidFill>
                      </w14:textFill>
                    </w:rPr>
                    <w:t>食堂油烟</w:t>
                  </w:r>
                </w:p>
              </w:tc>
              <w:tc>
                <w:tcPr>
                  <w:tcW w:w="1725" w:type="pct"/>
                  <w:tcBorders>
                    <w:bottom w:val="single" w:color="auto" w:sz="4" w:space="0"/>
                  </w:tcBorders>
                  <w:vAlign w:val="center"/>
                </w:tcPr>
                <w:p w14:paraId="11074274">
                  <w:pPr>
                    <w:pStyle w:val="129"/>
                    <w:keepNext w:val="0"/>
                    <w:keepLines w:val="0"/>
                    <w:pageBreakBefore w:val="0"/>
                    <w:kinsoku/>
                    <w:wordWrap/>
                    <w:overflowPunct/>
                    <w:topLinePunct w:val="0"/>
                    <w:autoSpaceDE/>
                    <w:autoSpaceDN/>
                    <w:bidi w:val="0"/>
                    <w:spacing w:line="240" w:lineRule="auto"/>
                    <w:ind w:left="0" w:leftChars="0" w:right="0" w:rightChars="0" w:firstLine="0" w:firstLineChars="0"/>
                    <w:textAlignment w:val="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食堂油烟经通风设施后无组织排放</w:t>
                  </w:r>
                </w:p>
              </w:tc>
              <w:tc>
                <w:tcPr>
                  <w:tcW w:w="385" w:type="pct"/>
                  <w:tcBorders>
                    <w:bottom w:val="single" w:color="auto" w:sz="4" w:space="0"/>
                  </w:tcBorders>
                  <w:vAlign w:val="center"/>
                </w:tcPr>
                <w:p w14:paraId="22767E31">
                  <w:pPr>
                    <w:pStyle w:val="129"/>
                    <w:keepNext w:val="0"/>
                    <w:keepLines w:val="0"/>
                    <w:pageBreakBefore w:val="0"/>
                    <w:kinsoku/>
                    <w:wordWrap/>
                    <w:overflowPunct/>
                    <w:topLinePunct w:val="0"/>
                    <w:autoSpaceDE/>
                    <w:autoSpaceDN/>
                    <w:bidi w:val="0"/>
                    <w:spacing w:line="240" w:lineRule="auto"/>
                    <w:ind w:left="0" w:leftChars="0" w:right="0" w:firstLine="0" w:firstLineChars="0"/>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食堂油烟</w:t>
                  </w:r>
                </w:p>
              </w:tc>
              <w:tc>
                <w:tcPr>
                  <w:tcW w:w="1751" w:type="pct"/>
                  <w:tcBorders>
                    <w:bottom w:val="single" w:color="auto" w:sz="4" w:space="0"/>
                  </w:tcBorders>
                  <w:vAlign w:val="center"/>
                </w:tcPr>
                <w:p w14:paraId="2ECD1B6F">
                  <w:pPr>
                    <w:pStyle w:val="129"/>
                    <w:keepNext w:val="0"/>
                    <w:keepLines w:val="0"/>
                    <w:pageBreakBefore w:val="0"/>
                    <w:kinsoku/>
                    <w:wordWrap/>
                    <w:overflowPunct/>
                    <w:topLinePunct w:val="0"/>
                    <w:autoSpaceDE/>
                    <w:autoSpaceDN/>
                    <w:bidi w:val="0"/>
                    <w:spacing w:line="240" w:lineRule="auto"/>
                    <w:ind w:left="0" w:leftChars="0" w:right="0" w:firstLine="0" w:firstLineChars="0"/>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新增1台油烟净化器，食堂油烟经油烟净化器处理后排放。</w:t>
                  </w:r>
                </w:p>
              </w:tc>
              <w:tc>
                <w:tcPr>
                  <w:tcW w:w="249" w:type="pct"/>
                  <w:vAlign w:val="center"/>
                </w:tcPr>
                <w:p w14:paraId="23262E5E">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改建</w:t>
                  </w:r>
                </w:p>
              </w:tc>
            </w:tr>
            <w:tr w14:paraId="24AB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continue"/>
                  <w:vAlign w:val="center"/>
                </w:tcPr>
                <w:p w14:paraId="7ADA12A9">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Cs w:val="21"/>
                      <w14:textFill>
                        <w14:solidFill>
                          <w14:schemeClr w14:val="tx1"/>
                        </w14:solidFill>
                      </w14:textFill>
                    </w:rPr>
                  </w:pPr>
                </w:p>
              </w:tc>
              <w:tc>
                <w:tcPr>
                  <w:tcW w:w="263" w:type="pct"/>
                  <w:vMerge w:val="restart"/>
                  <w:vAlign w:val="center"/>
                </w:tcPr>
                <w:p w14:paraId="15DB58A2">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废水</w:t>
                  </w:r>
                </w:p>
              </w:tc>
              <w:tc>
                <w:tcPr>
                  <w:tcW w:w="335" w:type="pct"/>
                  <w:vAlign w:val="center"/>
                </w:tcPr>
                <w:p w14:paraId="282FD8FD">
                  <w:pPr>
                    <w:keepNext w:val="0"/>
                    <w:keepLines w:val="0"/>
                    <w:pageBreakBefore w:val="0"/>
                    <w:widowControl/>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雨污分流</w:t>
                  </w:r>
                </w:p>
              </w:tc>
              <w:tc>
                <w:tcPr>
                  <w:tcW w:w="1725" w:type="pct"/>
                  <w:vAlign w:val="center"/>
                </w:tcPr>
                <w:p w14:paraId="7079C356">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项目采取雨污分流制，初期</w:t>
                  </w:r>
                  <w:r>
                    <w:rPr>
                      <w:rFonts w:hint="eastAsia" w:cs="Times New Roman"/>
                      <w:color w:val="000000" w:themeColor="text1"/>
                      <w:sz w:val="21"/>
                      <w:szCs w:val="21"/>
                      <w:lang w:val="en-US" w:eastAsia="zh-CN"/>
                      <w14:textFill>
                        <w14:solidFill>
                          <w14:schemeClr w14:val="tx1"/>
                        </w14:solidFill>
                      </w14:textFill>
                    </w:rPr>
                    <w:t>雨水经厂区周边现有雨水沟收集后进入周边道路旁雨水沟。</w:t>
                  </w:r>
                </w:p>
              </w:tc>
              <w:tc>
                <w:tcPr>
                  <w:tcW w:w="385" w:type="pct"/>
                  <w:vAlign w:val="center"/>
                </w:tcPr>
                <w:p w14:paraId="124854EE">
                  <w:pPr>
                    <w:keepNext w:val="0"/>
                    <w:keepLines w:val="0"/>
                    <w:pageBreakBefore w:val="0"/>
                    <w:widowControl/>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雨污分流</w:t>
                  </w:r>
                </w:p>
              </w:tc>
              <w:tc>
                <w:tcPr>
                  <w:tcW w:w="1751" w:type="pct"/>
                  <w:vAlign w:val="center"/>
                </w:tcPr>
                <w:p w14:paraId="2219766F">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项目采取雨污分流制，初期</w:t>
                  </w:r>
                  <w:r>
                    <w:rPr>
                      <w:rFonts w:hint="eastAsia" w:cs="Times New Roman"/>
                      <w:color w:val="000000" w:themeColor="text1"/>
                      <w:sz w:val="21"/>
                      <w:szCs w:val="21"/>
                      <w:lang w:val="en-US" w:eastAsia="zh-CN"/>
                      <w14:textFill>
                        <w14:solidFill>
                          <w14:schemeClr w14:val="tx1"/>
                        </w14:solidFill>
                      </w14:textFill>
                    </w:rPr>
                    <w:t>雨水经厂区周边现有雨水沟收集后进入周边道路旁雨水沟。</w:t>
                  </w:r>
                </w:p>
              </w:tc>
              <w:tc>
                <w:tcPr>
                  <w:tcW w:w="249" w:type="pct"/>
                  <w:vAlign w:val="center"/>
                </w:tcPr>
                <w:p w14:paraId="0F2F3CC1">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依托</w:t>
                  </w:r>
                </w:p>
              </w:tc>
            </w:tr>
            <w:tr w14:paraId="7B859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continue"/>
                  <w:vAlign w:val="center"/>
                </w:tcPr>
                <w:p w14:paraId="7230D10E">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Cs w:val="21"/>
                      <w14:textFill>
                        <w14:solidFill>
                          <w14:schemeClr w14:val="tx1"/>
                        </w14:solidFill>
                      </w14:textFill>
                    </w:rPr>
                  </w:pPr>
                </w:p>
              </w:tc>
              <w:tc>
                <w:tcPr>
                  <w:tcW w:w="263" w:type="pct"/>
                  <w:vMerge w:val="continue"/>
                  <w:vAlign w:val="center"/>
                </w:tcPr>
                <w:p w14:paraId="5172C344">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35" w:type="pct"/>
                  <w:vAlign w:val="center"/>
                </w:tcPr>
                <w:p w14:paraId="07055AF7">
                  <w:pPr>
                    <w:pStyle w:val="29"/>
                    <w:keepNext w:val="0"/>
                    <w:keepLines w:val="0"/>
                    <w:pageBreakBefore w:val="0"/>
                    <w:widowControl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生活污水</w:t>
                  </w:r>
                </w:p>
              </w:tc>
              <w:tc>
                <w:tcPr>
                  <w:tcW w:w="1725" w:type="pct"/>
                  <w:vAlign w:val="center"/>
                </w:tcPr>
                <w:p w14:paraId="26849C52">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现有</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1个1m</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隔油池、1个3m</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化粪池</w:t>
                  </w:r>
                  <w:r>
                    <w:rPr>
                      <w:rFonts w:hint="eastAsia" w:cs="Times New Roman" w:eastAsiaTheme="minorEastAsia"/>
                      <w:color w:val="000000" w:themeColor="text1"/>
                      <w:sz w:val="21"/>
                      <w:szCs w:val="21"/>
                      <w:lang w:val="en-US" w:eastAsia="zh-CN"/>
                      <w14:textFill>
                        <w14:solidFill>
                          <w14:schemeClr w14:val="tx1"/>
                        </w14:solidFill>
                      </w14:textFill>
                    </w:rPr>
                    <w:t>。</w:t>
                  </w:r>
                </w:p>
                <w:p w14:paraId="0C63B700">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kern w:val="0"/>
                      <w:sz w:val="21"/>
                      <w:szCs w:val="21"/>
                      <w:lang w:eastAsia="zh-CN"/>
                      <w14:textFill>
                        <w14:solidFill>
                          <w14:schemeClr w14:val="tx1"/>
                        </w14:solidFill>
                      </w14:textFill>
                    </w:rPr>
                    <w:t>生活污水经隔油池、化粪池处理后用于厂区内菜地浇洒。</w:t>
                  </w:r>
                </w:p>
              </w:tc>
              <w:tc>
                <w:tcPr>
                  <w:tcW w:w="385" w:type="pct"/>
                  <w:vAlign w:val="center"/>
                </w:tcPr>
                <w:p w14:paraId="063F6267">
                  <w:pPr>
                    <w:pStyle w:val="29"/>
                    <w:keepNext w:val="0"/>
                    <w:keepLines w:val="0"/>
                    <w:pageBreakBefore w:val="0"/>
                    <w:widowControl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生活污水</w:t>
                  </w:r>
                </w:p>
              </w:tc>
              <w:tc>
                <w:tcPr>
                  <w:tcW w:w="1751" w:type="pct"/>
                  <w:vAlign w:val="center"/>
                </w:tcPr>
                <w:p w14:paraId="7DF73620">
                  <w:pPr>
                    <w:pStyle w:val="29"/>
                    <w:keepNext w:val="0"/>
                    <w:keepLines w:val="0"/>
                    <w:pageBreakBefore w:val="0"/>
                    <w:widowControl w:val="0"/>
                    <w:kinsoku/>
                    <w:wordWrap/>
                    <w:overflowPunct/>
                    <w:topLinePunct w:val="0"/>
                    <w:autoSpaceDE/>
                    <w:autoSpaceDN/>
                    <w:bidi w:val="0"/>
                    <w:spacing w:before="0" w:beforeAutospacing="0" w:after="0" w:afterAutospacing="0" w:line="240" w:lineRule="auto"/>
                    <w:ind w:left="0" w:leftChars="0" w:right="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依托现有</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1个1m</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隔油池、1个3m</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化粪池；新增1套处理能力为1m</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/d一体化生活污水处理设施。</w:t>
                  </w:r>
                </w:p>
                <w:p w14:paraId="60EA3D22">
                  <w:pPr>
                    <w:pStyle w:val="29"/>
                    <w:keepNext w:val="0"/>
                    <w:keepLines w:val="0"/>
                    <w:pageBreakBefore w:val="0"/>
                    <w:widowControl w:val="0"/>
                    <w:kinsoku/>
                    <w:wordWrap/>
                    <w:overflowPunct/>
                    <w:topLinePunct w:val="0"/>
                    <w:autoSpaceDE/>
                    <w:autoSpaceDN/>
                    <w:bidi w:val="0"/>
                    <w:spacing w:before="0" w:beforeAutospacing="0" w:after="0" w:afterAutospacing="0" w:line="240" w:lineRule="auto"/>
                    <w:ind w:left="0" w:leftChars="0" w:right="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生活污水经隔油池、化粪池预处理后进入自建生活污水处理设施处理达标后用于厂区绿化。</w:t>
                  </w:r>
                </w:p>
                <w:p w14:paraId="6A819B92">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新增1个约3m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中水池</w:t>
                  </w:r>
                  <w:r>
                    <w:rPr>
                      <w:rFonts w:hint="eastAsia" w:ascii="Times New Roman" w:hAnsi="Times New Roman" w:cs="Times New Roman"/>
                      <w:color w:val="000000" w:themeColor="text1"/>
                      <w:sz w:val="21"/>
                      <w:szCs w:val="21"/>
                      <w:lang w:val="en-US" w:eastAsia="zh-CN"/>
                      <w14:textFill>
                        <w14:solidFill>
                          <w14:schemeClr w14:val="tx1"/>
                        </w14:solidFill>
                      </w14:textFill>
                    </w:rPr>
                    <w:t>，配套设置中水回用软管，</w:t>
                  </w:r>
                  <w:r>
                    <w:rPr>
                      <w:rFonts w:hint="default" w:ascii="Times New Roman" w:hAnsi="Times New Roman" w:cs="Times New Roman"/>
                      <w:color w:val="000000" w:themeColor="text1"/>
                      <w:sz w:val="21"/>
                      <w:szCs w:val="21"/>
                      <w:lang w:val="en-US" w:eastAsia="zh-CN"/>
                      <w14:textFill>
                        <w14:solidFill>
                          <w14:schemeClr w14:val="tx1"/>
                        </w14:solidFill>
                      </w14:textFill>
                    </w:rPr>
                    <w:t>收集雨天处理后的中水，留待晴天使用。</w:t>
                  </w:r>
                </w:p>
              </w:tc>
              <w:tc>
                <w:tcPr>
                  <w:tcW w:w="249" w:type="pct"/>
                  <w:vAlign w:val="center"/>
                </w:tcPr>
                <w:p w14:paraId="5F52FE06">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依托、新建</w:t>
                  </w:r>
                </w:p>
              </w:tc>
            </w:tr>
            <w:tr w14:paraId="7B70D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continue"/>
                  <w:vAlign w:val="center"/>
                </w:tcPr>
                <w:p w14:paraId="7EAFB523">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Cs w:val="21"/>
                      <w14:textFill>
                        <w14:solidFill>
                          <w14:schemeClr w14:val="tx1"/>
                        </w14:solidFill>
                      </w14:textFill>
                    </w:rPr>
                  </w:pPr>
                </w:p>
              </w:tc>
              <w:tc>
                <w:tcPr>
                  <w:tcW w:w="263" w:type="pct"/>
                  <w:vMerge w:val="continue"/>
                  <w:vAlign w:val="center"/>
                </w:tcPr>
                <w:p w14:paraId="5A2E3CCD">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35" w:type="pct"/>
                  <w:vAlign w:val="center"/>
                </w:tcPr>
                <w:p w14:paraId="177B3EA4">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软水制备废水</w:t>
                  </w:r>
                </w:p>
              </w:tc>
              <w:tc>
                <w:tcPr>
                  <w:tcW w:w="1725" w:type="pct"/>
                  <w:vAlign w:val="center"/>
                </w:tcPr>
                <w:p w14:paraId="4B5D1D46">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385" w:type="pct"/>
                  <w:vAlign w:val="center"/>
                </w:tcPr>
                <w:p w14:paraId="5E857830">
                  <w:pPr>
                    <w:keepNext w:val="0"/>
                    <w:keepLines w:val="0"/>
                    <w:pageBreakBefore w:val="0"/>
                    <w:widowControl/>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软水制备废水</w:t>
                  </w:r>
                </w:p>
              </w:tc>
              <w:tc>
                <w:tcPr>
                  <w:tcW w:w="1751" w:type="pct"/>
                  <w:vAlign w:val="center"/>
                </w:tcPr>
                <w:p w14:paraId="388FBCD4">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新增1套软水制备设施。</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软水</w:t>
                  </w:r>
                  <w:r>
                    <w:rPr>
                      <w:rFonts w:hint="default" w:ascii="Times New Roman" w:hAnsi="Times New Roman" w:cs="Times New Roman" w:eastAsiaTheme="minorEastAsia"/>
                      <w:color w:val="000000" w:themeColor="text1"/>
                      <w:sz w:val="21"/>
                      <w:szCs w:val="21"/>
                      <w14:textFill>
                        <w14:solidFill>
                          <w14:schemeClr w14:val="tx1"/>
                        </w14:solidFill>
                      </w14:textFill>
                    </w:rPr>
                    <w:t>制备废水</w:t>
                  </w:r>
                  <w:r>
                    <w:rPr>
                      <w:rFonts w:hint="eastAsia" w:cs="Times New Roman" w:eastAsiaTheme="minorEastAsia"/>
                      <w:color w:val="000000" w:themeColor="text1"/>
                      <w:sz w:val="21"/>
                      <w:szCs w:val="21"/>
                      <w:lang w:eastAsia="zh-CN"/>
                      <w14:textFill>
                        <w14:solidFill>
                          <w14:schemeClr w14:val="tx1"/>
                        </w14:solidFill>
                      </w14:textFill>
                    </w:rPr>
                    <w:t>经收集处理后回用于厂区洒水降尘</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不外排</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249" w:type="pct"/>
                  <w:vAlign w:val="center"/>
                </w:tcPr>
                <w:p w14:paraId="4B4CDCAC">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新建</w:t>
                  </w:r>
                </w:p>
              </w:tc>
            </w:tr>
            <w:tr w14:paraId="138D0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89" w:type="pct"/>
                  <w:vMerge w:val="continue"/>
                  <w:vAlign w:val="center"/>
                </w:tcPr>
                <w:p w14:paraId="5132B7D1">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Cs w:val="21"/>
                      <w14:textFill>
                        <w14:solidFill>
                          <w14:schemeClr w14:val="tx1"/>
                        </w14:solidFill>
                      </w14:textFill>
                    </w:rPr>
                  </w:pPr>
                </w:p>
              </w:tc>
              <w:tc>
                <w:tcPr>
                  <w:tcW w:w="263" w:type="pct"/>
                  <w:vMerge w:val="continue"/>
                  <w:vAlign w:val="center"/>
                </w:tcPr>
                <w:p w14:paraId="2CBDD920">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35" w:type="pct"/>
                  <w:vAlign w:val="center"/>
                </w:tcPr>
                <w:p w14:paraId="4F8B460D">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锅炉排水</w:t>
                  </w:r>
                </w:p>
              </w:tc>
              <w:tc>
                <w:tcPr>
                  <w:tcW w:w="1725" w:type="pct"/>
                  <w:vAlign w:val="center"/>
                </w:tcPr>
                <w:p w14:paraId="03D6C629">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燃煤</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锅炉排污水经收集后回用于</w:t>
                  </w:r>
                  <w:r>
                    <w:rPr>
                      <w:rFonts w:hint="eastAsia" w:cs="Times New Roman"/>
                      <w:color w:val="000000" w:themeColor="text1"/>
                      <w:kern w:val="2"/>
                      <w:sz w:val="21"/>
                      <w:szCs w:val="21"/>
                      <w:lang w:val="en-US" w:eastAsia="zh-CN" w:bidi="ar-SA"/>
                      <w14:textFill>
                        <w14:solidFill>
                          <w14:schemeClr w14:val="tx1"/>
                        </w14:solidFill>
                      </w14:textFill>
                    </w:rPr>
                    <w:t>双碱法脱硫除尘设施补水</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，不外排</w:t>
                  </w:r>
                  <w:r>
                    <w:rPr>
                      <w:rFonts w:hint="eastAsia" w:cs="Times New Roman"/>
                      <w:color w:val="000000" w:themeColor="text1"/>
                      <w:kern w:val="0"/>
                      <w:szCs w:val="21"/>
                      <w:lang w:eastAsia="zh-CN"/>
                      <w14:textFill>
                        <w14:solidFill>
                          <w14:schemeClr w14:val="tx1"/>
                        </w14:solidFill>
                      </w14:textFill>
                    </w:rPr>
                    <w:t>。</w:t>
                  </w:r>
                </w:p>
              </w:tc>
              <w:tc>
                <w:tcPr>
                  <w:tcW w:w="385" w:type="pct"/>
                  <w:vAlign w:val="center"/>
                </w:tcPr>
                <w:p w14:paraId="3A356DF2">
                  <w:pPr>
                    <w:pStyle w:val="29"/>
                    <w:keepNext w:val="0"/>
                    <w:keepLines w:val="0"/>
                    <w:pageBreakBefore w:val="0"/>
                    <w:widowControl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锅炉排水</w:t>
                  </w:r>
                </w:p>
              </w:tc>
              <w:tc>
                <w:tcPr>
                  <w:tcW w:w="1751" w:type="pct"/>
                  <w:vAlign w:val="center"/>
                </w:tcPr>
                <w:p w14:paraId="4A0CC37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锅炉排水</w:t>
                  </w:r>
                  <w:r>
                    <w:rPr>
                      <w:rFonts w:hint="eastAsia" w:cs="Times New Roman" w:eastAsiaTheme="minorEastAsia"/>
                      <w:color w:val="000000" w:themeColor="text1"/>
                      <w:sz w:val="21"/>
                      <w:szCs w:val="21"/>
                      <w:lang w:eastAsia="zh-CN"/>
                      <w14:textFill>
                        <w14:solidFill>
                          <w14:schemeClr w14:val="tx1"/>
                        </w14:solidFill>
                      </w14:textFill>
                    </w:rPr>
                    <w:t>经收集处理后回用于厂区洒水降尘</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不外排</w:t>
                  </w:r>
                  <w:r>
                    <w:rPr>
                      <w:rFonts w:hint="eastAsia" w:cs="Times New Roman" w:eastAsiaTheme="minorEastAsia"/>
                      <w:color w:val="000000" w:themeColor="text1"/>
                      <w:sz w:val="21"/>
                      <w:szCs w:val="21"/>
                      <w:lang w:eastAsia="zh-CN"/>
                      <w14:textFill>
                        <w14:solidFill>
                          <w14:schemeClr w14:val="tx1"/>
                        </w14:solidFill>
                      </w14:textFill>
                    </w:rPr>
                    <w:t>。本环评要求设置</w:t>
                  </w:r>
                  <w:r>
                    <w:rPr>
                      <w:rFonts w:hint="eastAsia" w:cs="Times New Roman" w:eastAsiaTheme="minorEastAsia"/>
                      <w:color w:val="000000" w:themeColor="text1"/>
                      <w:sz w:val="21"/>
                      <w:szCs w:val="21"/>
                      <w:lang w:val="en-US" w:eastAsia="zh-CN"/>
                      <w14:textFill>
                        <w14:solidFill>
                          <w14:schemeClr w14:val="tx1"/>
                        </w14:solidFill>
                      </w14:textFill>
                    </w:rPr>
                    <w:t>1个6m</w:t>
                  </w:r>
                  <w:r>
                    <w:rPr>
                      <w:rFonts w:hint="eastAsia" w:cs="Times New Roman" w:eastAsiaTheme="minorEastAsia"/>
                      <w:color w:val="000000" w:themeColor="text1"/>
                      <w:sz w:val="21"/>
                      <w:szCs w:val="21"/>
                      <w:vertAlign w:val="superscript"/>
                      <w:lang w:val="en-US" w:eastAsia="zh-CN"/>
                      <w14:textFill>
                        <w14:solidFill>
                          <w14:schemeClr w14:val="tx1"/>
                        </w14:solidFill>
                      </w14:textFill>
                    </w:rPr>
                    <w:t>3</w:t>
                  </w:r>
                  <w:r>
                    <w:rPr>
                      <w:rFonts w:hint="eastAsia" w:cs="Times New Roman" w:eastAsiaTheme="minorEastAsia"/>
                      <w:color w:val="000000" w:themeColor="text1"/>
                      <w:sz w:val="21"/>
                      <w:szCs w:val="21"/>
                      <w:lang w:val="en-US" w:eastAsia="zh-CN"/>
                      <w14:textFill>
                        <w14:solidFill>
                          <w14:schemeClr w14:val="tx1"/>
                        </w14:solidFill>
                      </w14:textFill>
                    </w:rPr>
                    <w:t>废水收集池收集软水废水及锅炉排水，废水经收集后用于厂区洒水降尘。</w:t>
                  </w:r>
                </w:p>
              </w:tc>
              <w:tc>
                <w:tcPr>
                  <w:tcW w:w="249" w:type="pct"/>
                  <w:vAlign w:val="center"/>
                </w:tcPr>
                <w:p w14:paraId="1B949572">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新建</w:t>
                  </w:r>
                </w:p>
              </w:tc>
            </w:tr>
            <w:tr w14:paraId="3EF27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continue"/>
                  <w:vAlign w:val="center"/>
                </w:tcPr>
                <w:p w14:paraId="35D1ADE4">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Cs w:val="21"/>
                      <w14:textFill>
                        <w14:solidFill>
                          <w14:schemeClr w14:val="tx1"/>
                        </w14:solidFill>
                      </w14:textFill>
                    </w:rPr>
                  </w:pPr>
                </w:p>
              </w:tc>
              <w:tc>
                <w:tcPr>
                  <w:tcW w:w="263" w:type="pct"/>
                  <w:vMerge w:val="continue"/>
                  <w:vAlign w:val="center"/>
                </w:tcPr>
                <w:p w14:paraId="5BFFC999">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35" w:type="pct"/>
                  <w:vAlign w:val="center"/>
                </w:tcPr>
                <w:p w14:paraId="1FC275D6">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生产冷凝水</w:t>
                  </w:r>
                </w:p>
              </w:tc>
              <w:tc>
                <w:tcPr>
                  <w:tcW w:w="1725" w:type="pct"/>
                  <w:vAlign w:val="center"/>
                </w:tcPr>
                <w:p w14:paraId="657E326C">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发泡工段蒸汽冷凝水用于</w:t>
                  </w:r>
                  <w:r>
                    <w:rPr>
                      <w:rFonts w:hint="eastAsia" w:cs="Times New Roman"/>
                      <w:color w:val="000000" w:themeColor="text1"/>
                      <w:kern w:val="2"/>
                      <w:sz w:val="21"/>
                      <w:szCs w:val="21"/>
                      <w:lang w:val="en-US" w:eastAsia="zh-CN" w:bidi="ar-SA"/>
                      <w14:textFill>
                        <w14:solidFill>
                          <w14:schemeClr w14:val="tx1"/>
                        </w14:solidFill>
                      </w14:textFill>
                    </w:rPr>
                    <w:t>燃煤</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锅炉损耗补充水，不外排。</w:t>
                  </w:r>
                </w:p>
                <w:p w14:paraId="2354B218">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现有1个约400m</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循环池，冷凝水经收集后用于锅炉补水。</w:t>
                  </w:r>
                </w:p>
              </w:tc>
              <w:tc>
                <w:tcPr>
                  <w:tcW w:w="385" w:type="pct"/>
                  <w:vAlign w:val="center"/>
                </w:tcPr>
                <w:p w14:paraId="661C6785">
                  <w:pPr>
                    <w:pStyle w:val="29"/>
                    <w:keepNext w:val="0"/>
                    <w:keepLines w:val="0"/>
                    <w:pageBreakBefore w:val="0"/>
                    <w:widowControl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生产冷凝水</w:t>
                  </w:r>
                </w:p>
              </w:tc>
              <w:tc>
                <w:tcPr>
                  <w:tcW w:w="1751" w:type="pct"/>
                  <w:vAlign w:val="center"/>
                </w:tcPr>
                <w:p w14:paraId="2A65B30E">
                  <w:pPr>
                    <w:pStyle w:val="29"/>
                    <w:keepNext w:val="0"/>
                    <w:keepLines w:val="0"/>
                    <w:pageBreakBefore w:val="0"/>
                    <w:widowControl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不变</w:t>
                  </w:r>
                </w:p>
              </w:tc>
              <w:tc>
                <w:tcPr>
                  <w:tcW w:w="249" w:type="pct"/>
                  <w:vAlign w:val="center"/>
                </w:tcPr>
                <w:p w14:paraId="01DD0DB4">
                  <w:pPr>
                    <w:pStyle w:val="29"/>
                    <w:keepNext w:val="0"/>
                    <w:keepLines w:val="0"/>
                    <w:pageBreakBefore w:val="0"/>
                    <w:widowControl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依托</w:t>
                  </w:r>
                </w:p>
              </w:tc>
            </w:tr>
            <w:tr w14:paraId="5946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continue"/>
                  <w:vAlign w:val="center"/>
                </w:tcPr>
                <w:p w14:paraId="704967C7">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Cs w:val="21"/>
                      <w14:textFill>
                        <w14:solidFill>
                          <w14:schemeClr w14:val="tx1"/>
                        </w14:solidFill>
                      </w14:textFill>
                    </w:rPr>
                  </w:pPr>
                </w:p>
              </w:tc>
              <w:tc>
                <w:tcPr>
                  <w:tcW w:w="263" w:type="pct"/>
                  <w:vMerge w:val="continue"/>
                  <w:vAlign w:val="center"/>
                </w:tcPr>
                <w:p w14:paraId="6B0B5F95">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35" w:type="pct"/>
                  <w:vAlign w:val="center"/>
                </w:tcPr>
                <w:p w14:paraId="1404C808">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干燥、烘干、压模废水</w:t>
                  </w:r>
                </w:p>
              </w:tc>
              <w:tc>
                <w:tcPr>
                  <w:tcW w:w="1725" w:type="pct"/>
                  <w:vAlign w:val="center"/>
                </w:tcPr>
                <w:p w14:paraId="25BECF2A">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流化干燥、烘干环节蒸汽自然蒸发</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压模环节蒸汽加热成型后多余蒸汽排出，自然蒸发</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设置有1个1m</w:t>
                  </w:r>
                  <w:r>
                    <w:rPr>
                      <w:rFonts w:hint="eastAsia" w:cs="Times New Roman"/>
                      <w:color w:val="000000" w:themeColor="text1"/>
                      <w:kern w:val="2"/>
                      <w:sz w:val="21"/>
                      <w:szCs w:val="21"/>
                      <w:vertAlign w:val="superscript"/>
                      <w:lang w:val="en-US" w:eastAsia="zh-CN" w:bidi="ar-SA"/>
                      <w14:textFill>
                        <w14:solidFill>
                          <w14:schemeClr w14:val="tx1"/>
                        </w14:solidFill>
                      </w14:textFill>
                    </w:rPr>
                    <w:t>3</w:t>
                  </w:r>
                  <w:r>
                    <w:rPr>
                      <w:rFonts w:hint="eastAsia" w:cs="Times New Roman"/>
                      <w:color w:val="000000" w:themeColor="text1"/>
                      <w:kern w:val="2"/>
                      <w:sz w:val="21"/>
                      <w:szCs w:val="21"/>
                      <w:lang w:val="en-US" w:eastAsia="zh-CN" w:bidi="ar-SA"/>
                      <w14:textFill>
                        <w14:solidFill>
                          <w14:schemeClr w14:val="tx1"/>
                        </w14:solidFill>
                      </w14:textFill>
                    </w:rPr>
                    <w:t>压模废水收集池，少量未蒸发压模废水经收集后用于厂区洒水降尘</w:t>
                  </w:r>
                </w:p>
              </w:tc>
              <w:tc>
                <w:tcPr>
                  <w:tcW w:w="385" w:type="pct"/>
                  <w:vAlign w:val="center"/>
                </w:tcPr>
                <w:p w14:paraId="567E9841">
                  <w:pPr>
                    <w:pStyle w:val="29"/>
                    <w:keepNext w:val="0"/>
                    <w:keepLines w:val="0"/>
                    <w:pageBreakBefore w:val="0"/>
                    <w:widowControl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干燥、烘干、压模废水</w:t>
                  </w:r>
                </w:p>
              </w:tc>
              <w:tc>
                <w:tcPr>
                  <w:tcW w:w="1751" w:type="pct"/>
                  <w:vAlign w:val="center"/>
                </w:tcPr>
                <w:p w14:paraId="6214093B">
                  <w:pPr>
                    <w:pStyle w:val="29"/>
                    <w:keepNext w:val="0"/>
                    <w:keepLines w:val="0"/>
                    <w:pageBreakBefore w:val="0"/>
                    <w:widowControl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不变</w:t>
                  </w:r>
                </w:p>
              </w:tc>
              <w:tc>
                <w:tcPr>
                  <w:tcW w:w="249" w:type="pct"/>
                  <w:vAlign w:val="center"/>
                </w:tcPr>
                <w:p w14:paraId="3DD81A46">
                  <w:pPr>
                    <w:pStyle w:val="29"/>
                    <w:keepNext w:val="0"/>
                    <w:keepLines w:val="0"/>
                    <w:pageBreakBefore w:val="0"/>
                    <w:widowControl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依托</w:t>
                  </w:r>
                </w:p>
              </w:tc>
            </w:tr>
            <w:tr w14:paraId="648A9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continue"/>
                  <w:vAlign w:val="center"/>
                </w:tcPr>
                <w:p w14:paraId="36A2917E">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Cs w:val="21"/>
                      <w14:textFill>
                        <w14:solidFill>
                          <w14:schemeClr w14:val="tx1"/>
                        </w14:solidFill>
                      </w14:textFill>
                    </w:rPr>
                  </w:pPr>
                </w:p>
              </w:tc>
              <w:tc>
                <w:tcPr>
                  <w:tcW w:w="263" w:type="pct"/>
                  <w:vAlign w:val="center"/>
                </w:tcPr>
                <w:p w14:paraId="50477A50">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2060" w:type="pct"/>
                  <w:gridSpan w:val="2"/>
                  <w:vAlign w:val="center"/>
                </w:tcPr>
                <w:p w14:paraId="3AFDF9CA">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lang w:eastAsia="zh-CN"/>
                      <w14:textFill>
                        <w14:solidFill>
                          <w14:schemeClr w14:val="tx1"/>
                        </w14:solidFill>
                      </w14:textFill>
                    </w:rPr>
                    <w:t>现有设备</w:t>
                  </w:r>
                  <w:r>
                    <w:rPr>
                      <w:rFonts w:hint="default" w:ascii="Times New Roman" w:hAnsi="Times New Roman" w:cs="Times New Roman" w:eastAsiaTheme="minorEastAsia"/>
                      <w:color w:val="000000" w:themeColor="text1"/>
                      <w:sz w:val="21"/>
                      <w:szCs w:val="21"/>
                      <w14:textFill>
                        <w14:solidFill>
                          <w14:schemeClr w14:val="tx1"/>
                        </w14:solidFill>
                      </w14:textFill>
                    </w:rPr>
                    <w:t>选用低噪声设备、厂房隔声</w:t>
                  </w:r>
                  <w:r>
                    <w:rPr>
                      <w:rStyle w:val="43"/>
                      <w:rFonts w:hint="default" w:ascii="Times New Roman" w:hAnsi="Times New Roman" w:cs="Times New Roman" w:eastAsiaTheme="minorEastAsia"/>
                      <w:color w:val="000000" w:themeColor="text1"/>
                      <w:sz w:val="21"/>
                      <w:szCs w:val="21"/>
                      <w14:textFill>
                        <w14:solidFill>
                          <w14:schemeClr w14:val="tx1"/>
                        </w14:solidFill>
                      </w14:textFill>
                    </w:rPr>
                    <w:t>，风机安装消声器</w:t>
                  </w:r>
                </w:p>
              </w:tc>
              <w:tc>
                <w:tcPr>
                  <w:tcW w:w="2136" w:type="pct"/>
                  <w:gridSpan w:val="2"/>
                  <w:vAlign w:val="center"/>
                </w:tcPr>
                <w:p w14:paraId="2A9FAB85">
                  <w:pPr>
                    <w:keepNext w:val="0"/>
                    <w:keepLines w:val="0"/>
                    <w:pageBreakBefore w:val="0"/>
                    <w:kinsoku/>
                    <w:wordWrap/>
                    <w:overflowPunct/>
                    <w:topLinePunct w:val="0"/>
                    <w:autoSpaceDE/>
                    <w:autoSpaceDN/>
                    <w:bidi w:val="0"/>
                    <w:spacing w:line="240" w:lineRule="auto"/>
                    <w:ind w:left="0" w:leftChars="0" w:right="0"/>
                    <w:jc w:val="center"/>
                    <w:textAlignment w:val="auto"/>
                    <w:rPr>
                      <w:rStyle w:val="43"/>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项目所有生产设备均置于厂房内</w:t>
                  </w:r>
                  <w:r>
                    <w:rPr>
                      <w:rFonts w:hint="eastAsia" w:cs="Times New Roman"/>
                      <w:color w:val="000000" w:themeColor="text1"/>
                      <w:szCs w:val="21"/>
                      <w:lang w:eastAsia="zh-CN"/>
                      <w14:textFill>
                        <w14:solidFill>
                          <w14:schemeClr w14:val="tx1"/>
                        </w14:solidFill>
                      </w14:textFill>
                    </w:rPr>
                    <w:t>、锅炉设置于锅炉房内通过</w:t>
                  </w:r>
                  <w:r>
                    <w:rPr>
                      <w:rFonts w:hint="default" w:ascii="Times New Roman" w:hAnsi="Times New Roman" w:cs="Times New Roman"/>
                      <w:color w:val="000000" w:themeColor="text1"/>
                      <w:sz w:val="21"/>
                      <w:szCs w:val="21"/>
                      <w14:textFill>
                        <w14:solidFill>
                          <w14:schemeClr w14:val="tx1"/>
                        </w14:solidFill>
                      </w14:textFill>
                    </w:rPr>
                    <w:t>厂房隔音</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Cs w:val="21"/>
                      <w:lang w:eastAsia="zh-CN"/>
                      <w14:textFill>
                        <w14:solidFill>
                          <w14:schemeClr w14:val="tx1"/>
                        </w14:solidFill>
                      </w14:textFill>
                    </w:rPr>
                    <w:t>本项目</w:t>
                  </w:r>
                  <w:r>
                    <w:rPr>
                      <w:rFonts w:hint="default" w:ascii="Times New Roman" w:hAnsi="Times New Roman" w:cs="Times New Roman"/>
                      <w:color w:val="000000" w:themeColor="text1"/>
                      <w:sz w:val="21"/>
                      <w:szCs w:val="21"/>
                      <w14:textFill>
                        <w14:solidFill>
                          <w14:schemeClr w14:val="tx1"/>
                        </w14:solidFill>
                      </w14:textFill>
                    </w:rPr>
                    <w:t>选用低噪设备</w:t>
                  </w:r>
                  <w:r>
                    <w:rPr>
                      <w:rFonts w:hint="eastAsia" w:cs="Times New Roman"/>
                      <w:color w:val="000000" w:themeColor="text1"/>
                      <w:sz w:val="21"/>
                      <w:szCs w:val="21"/>
                      <w:lang w:eastAsia="zh-CN"/>
                      <w14:textFill>
                        <w14:solidFill>
                          <w14:schemeClr w14:val="tx1"/>
                        </w14:solidFill>
                      </w14:textFill>
                    </w:rPr>
                    <w:t>；风机、水泵等设备</w:t>
                  </w:r>
                  <w:r>
                    <w:rPr>
                      <w:rFonts w:hint="default" w:ascii="Times New Roman" w:hAnsi="Times New Roman" w:cs="Times New Roman"/>
                      <w:color w:val="000000" w:themeColor="text1"/>
                      <w:sz w:val="21"/>
                      <w:szCs w:val="21"/>
                      <w14:textFill>
                        <w14:solidFill>
                          <w14:schemeClr w14:val="tx1"/>
                        </w14:solidFill>
                      </w14:textFill>
                    </w:rPr>
                    <w:t>安装减震垫</w:t>
                  </w:r>
                  <w:r>
                    <w:rPr>
                      <w:rFonts w:hint="eastAsia" w:cs="Times New Roman"/>
                      <w:color w:val="000000" w:themeColor="text1"/>
                      <w:sz w:val="21"/>
                      <w:szCs w:val="21"/>
                      <w:lang w:eastAsia="zh-CN"/>
                      <w14:textFill>
                        <w14:solidFill>
                          <w14:schemeClr w14:val="tx1"/>
                        </w14:solidFill>
                      </w14:textFill>
                    </w:rPr>
                    <w:t>、消声器等。</w:t>
                  </w:r>
                </w:p>
              </w:tc>
              <w:tc>
                <w:tcPr>
                  <w:tcW w:w="249" w:type="pct"/>
                  <w:vAlign w:val="center"/>
                </w:tcPr>
                <w:p w14:paraId="21A9261F">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依托、改建</w:t>
                  </w:r>
                </w:p>
              </w:tc>
            </w:tr>
            <w:tr w14:paraId="5D55E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continue"/>
                  <w:vAlign w:val="center"/>
                </w:tcPr>
                <w:p w14:paraId="7DEEB481">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Cs w:val="21"/>
                      <w14:textFill>
                        <w14:solidFill>
                          <w14:schemeClr w14:val="tx1"/>
                        </w14:solidFill>
                      </w14:textFill>
                    </w:rPr>
                  </w:pPr>
                </w:p>
              </w:tc>
              <w:tc>
                <w:tcPr>
                  <w:tcW w:w="263" w:type="pct"/>
                  <w:vMerge w:val="restart"/>
                  <w:vAlign w:val="center"/>
                </w:tcPr>
                <w:p w14:paraId="3F069375">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固废</w:t>
                  </w:r>
                </w:p>
              </w:tc>
              <w:tc>
                <w:tcPr>
                  <w:tcW w:w="335" w:type="pct"/>
                  <w:vAlign w:val="center"/>
                </w:tcPr>
                <w:p w14:paraId="4FB4B72F">
                  <w:pPr>
                    <w:keepNext w:val="0"/>
                    <w:keepLines w:val="0"/>
                    <w:pageBreakBefore w:val="0"/>
                    <w:widowControl/>
                    <w:kinsoku/>
                    <w:wordWrap/>
                    <w:overflowPunct/>
                    <w:topLinePunct w:val="0"/>
                    <w:autoSpaceDE/>
                    <w:autoSpaceDN/>
                    <w:bidi w:val="0"/>
                    <w:spacing w:line="240" w:lineRule="auto"/>
                    <w:ind w:left="0" w:leftChars="0" w:right="0" w:rightChars="0"/>
                    <w:jc w:val="center"/>
                    <w:textAlignment w:val="auto"/>
                    <w:rPr>
                      <w:rFonts w:hint="default"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生活垃圾收集桶</w:t>
                  </w:r>
                </w:p>
              </w:tc>
              <w:tc>
                <w:tcPr>
                  <w:tcW w:w="1725" w:type="pct"/>
                  <w:vAlign w:val="center"/>
                </w:tcPr>
                <w:p w14:paraId="490F06A5">
                  <w:pPr>
                    <w:pStyle w:val="14"/>
                    <w:keepNext w:val="0"/>
                    <w:keepLines w:val="0"/>
                    <w:pageBreakBefore w:val="0"/>
                    <w:kinsoku/>
                    <w:wordWrap/>
                    <w:overflowPunct/>
                    <w:topLinePunct w:val="0"/>
                    <w:autoSpaceDE/>
                    <w:autoSpaceDN/>
                    <w:bidi w:val="0"/>
                    <w:spacing w:after="0" w:line="240" w:lineRule="auto"/>
                    <w:textAlignment w:val="auto"/>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厂区现有</w:t>
                  </w:r>
                  <w:r>
                    <w:rPr>
                      <w:rFonts w:hint="eastAsia"/>
                      <w:color w:val="000000" w:themeColor="text1"/>
                      <w:lang w:val="en-US" w:eastAsia="zh-CN"/>
                      <w14:textFill>
                        <w14:solidFill>
                          <w14:schemeClr w14:val="tx1"/>
                        </w14:solidFill>
                      </w14:textFill>
                    </w:rPr>
                    <w:t>1个生活垃圾收集桶，生活垃圾集中收集</w:t>
                  </w:r>
                </w:p>
              </w:tc>
              <w:tc>
                <w:tcPr>
                  <w:tcW w:w="385" w:type="pct"/>
                  <w:vAlign w:val="center"/>
                </w:tcPr>
                <w:p w14:paraId="08720CEA">
                  <w:pPr>
                    <w:keepNext w:val="0"/>
                    <w:keepLines w:val="0"/>
                    <w:pageBreakBefore w:val="0"/>
                    <w:widowControl/>
                    <w:kinsoku/>
                    <w:wordWrap/>
                    <w:overflowPunct/>
                    <w:topLinePunct w:val="0"/>
                    <w:autoSpaceDE/>
                    <w:autoSpaceDN/>
                    <w:bidi w:val="0"/>
                    <w:spacing w:line="240" w:lineRule="auto"/>
                    <w:ind w:left="0" w:leftChars="0" w:right="0"/>
                    <w:jc w:val="center"/>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生活垃圾收集桶</w:t>
                  </w:r>
                </w:p>
              </w:tc>
              <w:tc>
                <w:tcPr>
                  <w:tcW w:w="1751" w:type="pct"/>
                  <w:vAlign w:val="center"/>
                </w:tcPr>
                <w:p w14:paraId="43CAC713">
                  <w:pPr>
                    <w:pStyle w:val="12"/>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不变</w:t>
                  </w:r>
                </w:p>
              </w:tc>
              <w:tc>
                <w:tcPr>
                  <w:tcW w:w="249" w:type="pct"/>
                  <w:vAlign w:val="center"/>
                </w:tcPr>
                <w:p w14:paraId="3F848366">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依托</w:t>
                  </w:r>
                </w:p>
              </w:tc>
            </w:tr>
            <w:tr w14:paraId="78850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continue"/>
                  <w:vAlign w:val="center"/>
                </w:tcPr>
                <w:p w14:paraId="36A50193">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Cs w:val="21"/>
                      <w14:textFill>
                        <w14:solidFill>
                          <w14:schemeClr w14:val="tx1"/>
                        </w14:solidFill>
                      </w14:textFill>
                    </w:rPr>
                  </w:pPr>
                </w:p>
              </w:tc>
              <w:tc>
                <w:tcPr>
                  <w:tcW w:w="263" w:type="pct"/>
                  <w:vMerge w:val="continue"/>
                  <w:vAlign w:val="center"/>
                </w:tcPr>
                <w:p w14:paraId="4940A063">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35" w:type="pct"/>
                  <w:vAlign w:val="center"/>
                </w:tcPr>
                <w:p w14:paraId="29AF1D47">
                  <w:pPr>
                    <w:keepNext w:val="0"/>
                    <w:keepLines w:val="0"/>
                    <w:pageBreakBefore w:val="0"/>
                    <w:widowControl/>
                    <w:kinsoku/>
                    <w:wordWrap/>
                    <w:overflowPunct/>
                    <w:topLinePunct w:val="0"/>
                    <w:autoSpaceDE/>
                    <w:autoSpaceDN/>
                    <w:bidi w:val="0"/>
                    <w:spacing w:line="240" w:lineRule="auto"/>
                    <w:ind w:left="0" w:leftChars="0" w:right="0" w:rightChars="0"/>
                    <w:jc w:val="center"/>
                    <w:textAlignment w:val="auto"/>
                    <w:rPr>
                      <w:rFonts w:hint="eastAsia"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堆渣棚</w:t>
                  </w:r>
                </w:p>
              </w:tc>
              <w:tc>
                <w:tcPr>
                  <w:tcW w:w="1725" w:type="pct"/>
                  <w:vAlign w:val="center"/>
                </w:tcPr>
                <w:p w14:paraId="20EB2588">
                  <w:pPr>
                    <w:keepNext w:val="0"/>
                    <w:keepLines w:val="0"/>
                    <w:pageBreakBefore w:val="0"/>
                    <w:widowControl/>
                    <w:kinsoku/>
                    <w:wordWrap/>
                    <w:overflowPunct/>
                    <w:topLinePunct w:val="0"/>
                    <w:autoSpaceDE/>
                    <w:autoSpaceDN/>
                    <w:bidi w:val="0"/>
                    <w:spacing w:line="240" w:lineRule="auto"/>
                    <w:ind w:left="0" w:leftChars="0" w:right="0" w:rightChars="0"/>
                    <w:jc w:val="center"/>
                    <w:textAlignment w:val="auto"/>
                    <w:rPr>
                      <w:rFonts w:hint="eastAsia"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厂区现有</w:t>
                  </w:r>
                  <w:r>
                    <w:rPr>
                      <w:rFonts w:hint="eastAsia" w:cs="Times New Roman"/>
                      <w:color w:val="000000" w:themeColor="text1"/>
                      <w:szCs w:val="21"/>
                      <w:lang w:val="en-US" w:eastAsia="zh-CN"/>
                      <w14:textFill>
                        <w14:solidFill>
                          <w14:schemeClr w14:val="tx1"/>
                        </w14:solidFill>
                      </w14:textFill>
                    </w:rPr>
                    <w:t>1个约10m</w:t>
                  </w:r>
                  <w:r>
                    <w:rPr>
                      <w:rFonts w:hint="eastAsia" w:cs="Times New Roman"/>
                      <w:color w:val="000000" w:themeColor="text1"/>
                      <w:szCs w:val="21"/>
                      <w:vertAlign w:val="superscript"/>
                      <w:lang w:val="en-US" w:eastAsia="zh-CN"/>
                      <w14:textFill>
                        <w14:solidFill>
                          <w14:schemeClr w14:val="tx1"/>
                        </w14:solidFill>
                      </w14:textFill>
                    </w:rPr>
                    <w:t>2</w:t>
                  </w:r>
                  <w:r>
                    <w:rPr>
                      <w:rFonts w:hint="eastAsia" w:cs="Times New Roman"/>
                      <w:color w:val="000000" w:themeColor="text1"/>
                      <w:szCs w:val="21"/>
                      <w:lang w:val="en-US" w:eastAsia="zh-CN"/>
                      <w14:textFill>
                        <w14:solidFill>
                          <w14:schemeClr w14:val="tx1"/>
                        </w14:solidFill>
                      </w14:textFill>
                    </w:rPr>
                    <w:t>的堆渣棚，根据调查堆渣棚设置有</w:t>
                  </w:r>
                  <w:r>
                    <w:rPr>
                      <w:rFonts w:hint="eastAsia" w:cs="Times New Roman"/>
                      <w:color w:val="000000" w:themeColor="text1"/>
                      <w:szCs w:val="21"/>
                      <w:lang w:eastAsia="zh-CN"/>
                      <w14:textFill>
                        <w14:solidFill>
                          <w14:schemeClr w14:val="tx1"/>
                        </w14:solidFill>
                      </w14:textFill>
                    </w:rPr>
                    <w:t>顶棚及三面围挡，地面硬化防渗处理等。</w:t>
                  </w:r>
                </w:p>
                <w:p w14:paraId="50839EB5">
                  <w:pPr>
                    <w:pStyle w:val="14"/>
                    <w:keepNext w:val="0"/>
                    <w:keepLines w:val="0"/>
                    <w:pageBreakBefore w:val="0"/>
                    <w:kinsoku/>
                    <w:wordWrap/>
                    <w:overflowPunct/>
                    <w:topLinePunct w:val="0"/>
                    <w:autoSpaceDE/>
                    <w:autoSpaceDN/>
                    <w:bidi w:val="0"/>
                    <w:spacing w:after="0" w:line="240" w:lineRule="auto"/>
                    <w:textAlignment w:val="auto"/>
                    <w:rPr>
                      <w:rFonts w:hint="eastAsia"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燃煤</w:t>
                  </w:r>
                  <w:r>
                    <w:rPr>
                      <w:rFonts w:hint="eastAsia" w:cs="Times New Roman"/>
                      <w:color w:val="000000" w:themeColor="text1"/>
                      <w:szCs w:val="21"/>
                      <w:lang w:val="en-US" w:eastAsia="zh-CN"/>
                      <w14:textFill>
                        <w14:solidFill>
                          <w14:schemeClr w14:val="tx1"/>
                        </w14:solidFill>
                      </w14:textFill>
                    </w:rPr>
                    <w:t>锅炉灰渣经收集后暂存于堆渣棚内，定期外售。</w:t>
                  </w:r>
                </w:p>
              </w:tc>
              <w:tc>
                <w:tcPr>
                  <w:tcW w:w="385" w:type="pct"/>
                  <w:vAlign w:val="center"/>
                </w:tcPr>
                <w:p w14:paraId="1ECB6384">
                  <w:pPr>
                    <w:keepNext w:val="0"/>
                    <w:keepLines w:val="0"/>
                    <w:pageBreakBefore w:val="0"/>
                    <w:widowControl/>
                    <w:kinsoku/>
                    <w:wordWrap/>
                    <w:overflowPunct/>
                    <w:topLinePunct w:val="0"/>
                    <w:autoSpaceDE/>
                    <w:autoSpaceDN/>
                    <w:bidi w:val="0"/>
                    <w:spacing w:line="240" w:lineRule="auto"/>
                    <w:ind w:left="0" w:leftChars="0" w:right="0" w:rightChars="0"/>
                    <w:jc w:val="center"/>
                    <w:textAlignment w:val="auto"/>
                    <w:rPr>
                      <w:rFonts w:hint="eastAsia"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堆渣棚</w:t>
                  </w:r>
                </w:p>
              </w:tc>
              <w:tc>
                <w:tcPr>
                  <w:tcW w:w="1751" w:type="pct"/>
                  <w:vAlign w:val="center"/>
                </w:tcPr>
                <w:p w14:paraId="79261C35">
                  <w:pPr>
                    <w:pStyle w:val="12"/>
                    <w:keepNext w:val="0"/>
                    <w:keepLines w:val="0"/>
                    <w:pageBreakBefore w:val="0"/>
                    <w:kinsoku/>
                    <w:wordWrap/>
                    <w:overflowPunct/>
                    <w:topLinePunct w:val="0"/>
                    <w:autoSpaceDE/>
                    <w:autoSpaceDN/>
                    <w:bidi w:val="0"/>
                    <w:spacing w:line="240" w:lineRule="auto"/>
                    <w:jc w:val="center"/>
                    <w:textAlignment w:val="auto"/>
                    <w:rPr>
                      <w:rFonts w:hint="eastAsia"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不变。</w:t>
                  </w:r>
                </w:p>
                <w:p w14:paraId="17556683">
                  <w:pPr>
                    <w:pStyle w:val="12"/>
                    <w:keepNext w:val="0"/>
                    <w:keepLines w:val="0"/>
                    <w:pageBreakBefore w:val="0"/>
                    <w:kinsoku/>
                    <w:wordWrap/>
                    <w:overflowPunct/>
                    <w:topLinePunct w:val="0"/>
                    <w:autoSpaceDE/>
                    <w:autoSpaceDN/>
                    <w:bidi w:val="0"/>
                    <w:spacing w:line="240" w:lineRule="auto"/>
                    <w:textAlignment w:val="auto"/>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生物质锅炉灰渣经收集后暂存于堆渣棚内，定期外售。</w:t>
                  </w:r>
                </w:p>
              </w:tc>
              <w:tc>
                <w:tcPr>
                  <w:tcW w:w="249" w:type="pct"/>
                  <w:vAlign w:val="center"/>
                </w:tcPr>
                <w:p w14:paraId="733022FA">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依托现有</w:t>
                  </w:r>
                </w:p>
              </w:tc>
            </w:tr>
            <w:tr w14:paraId="4509E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continue"/>
                  <w:vAlign w:val="center"/>
                </w:tcPr>
                <w:p w14:paraId="6CEEEB3D">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Cs w:val="21"/>
                      <w14:textFill>
                        <w14:solidFill>
                          <w14:schemeClr w14:val="tx1"/>
                        </w14:solidFill>
                      </w14:textFill>
                    </w:rPr>
                  </w:pPr>
                </w:p>
              </w:tc>
              <w:tc>
                <w:tcPr>
                  <w:tcW w:w="263" w:type="pct"/>
                  <w:vMerge w:val="continue"/>
                  <w:vAlign w:val="center"/>
                </w:tcPr>
                <w:p w14:paraId="667DBF9E">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35" w:type="pct"/>
                  <w:vAlign w:val="center"/>
                </w:tcPr>
                <w:p w14:paraId="459A71B6">
                  <w:pPr>
                    <w:keepNext w:val="0"/>
                    <w:keepLines w:val="0"/>
                    <w:pageBreakBefore w:val="0"/>
                    <w:widowControl/>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一般固废暂存区</w:t>
                  </w:r>
                </w:p>
              </w:tc>
              <w:tc>
                <w:tcPr>
                  <w:tcW w:w="1725" w:type="pct"/>
                  <w:vAlign w:val="center"/>
                </w:tcPr>
                <w:p w14:paraId="761A1A30">
                  <w:pPr>
                    <w:keepNext w:val="0"/>
                    <w:keepLines w:val="0"/>
                    <w:pageBreakBefore w:val="0"/>
                    <w:widowControl/>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废包装物，不合格品等废物堆放于生产车间内，未统一收集。</w:t>
                  </w:r>
                </w:p>
              </w:tc>
              <w:tc>
                <w:tcPr>
                  <w:tcW w:w="385" w:type="pct"/>
                  <w:vAlign w:val="center"/>
                </w:tcPr>
                <w:p w14:paraId="44149709">
                  <w:pPr>
                    <w:keepNext w:val="0"/>
                    <w:keepLines w:val="0"/>
                    <w:pageBreakBefore w:val="0"/>
                    <w:widowControl/>
                    <w:kinsoku/>
                    <w:wordWrap/>
                    <w:overflowPunct/>
                    <w:topLinePunct w:val="0"/>
                    <w:autoSpaceDE/>
                    <w:autoSpaceDN/>
                    <w:bidi w:val="0"/>
                    <w:spacing w:line="240" w:lineRule="auto"/>
                    <w:ind w:left="0" w:leftChars="0" w:right="0"/>
                    <w:jc w:val="center"/>
                    <w:textAlignment w:val="auto"/>
                    <w:rPr>
                      <w:rFonts w:hint="eastAsia"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一般固废暂存区</w:t>
                  </w:r>
                </w:p>
              </w:tc>
              <w:tc>
                <w:tcPr>
                  <w:tcW w:w="1751" w:type="pct"/>
                  <w:vAlign w:val="center"/>
                </w:tcPr>
                <w:p w14:paraId="3CD0EC27">
                  <w:pPr>
                    <w:pStyle w:val="12"/>
                    <w:keepNext w:val="0"/>
                    <w:keepLines w:val="0"/>
                    <w:pageBreakBefore w:val="0"/>
                    <w:kinsoku/>
                    <w:wordWrap/>
                    <w:overflowPunct/>
                    <w:topLinePunct w:val="0"/>
                    <w:autoSpaceDE/>
                    <w:autoSpaceDN/>
                    <w:bidi w:val="0"/>
                    <w:spacing w:line="240" w:lineRule="auto"/>
                    <w:textAlignment w:val="auto"/>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生产车间内新增设置</w:t>
                  </w:r>
                  <w:r>
                    <w:rPr>
                      <w:rFonts w:hint="eastAsia" w:cs="Times New Roman"/>
                      <w:color w:val="000000" w:themeColor="text1"/>
                      <w:szCs w:val="21"/>
                      <w:lang w:val="en-US" w:eastAsia="zh-CN"/>
                      <w14:textFill>
                        <w14:solidFill>
                          <w14:schemeClr w14:val="tx1"/>
                        </w14:solidFill>
                      </w14:textFill>
                    </w:rPr>
                    <w:t>1个约5m</w:t>
                  </w:r>
                  <w:r>
                    <w:rPr>
                      <w:rFonts w:hint="eastAsia" w:cs="Times New Roman"/>
                      <w:color w:val="000000" w:themeColor="text1"/>
                      <w:szCs w:val="21"/>
                      <w:vertAlign w:val="superscript"/>
                      <w:lang w:val="en-US" w:eastAsia="zh-CN"/>
                      <w14:textFill>
                        <w14:solidFill>
                          <w14:schemeClr w14:val="tx1"/>
                        </w14:solidFill>
                      </w14:textFill>
                    </w:rPr>
                    <w:t>2</w:t>
                  </w:r>
                  <w:r>
                    <w:rPr>
                      <w:rFonts w:hint="eastAsia" w:cs="Times New Roman"/>
                      <w:color w:val="000000" w:themeColor="text1"/>
                      <w:szCs w:val="21"/>
                      <w:lang w:val="en-US" w:eastAsia="zh-CN"/>
                      <w14:textFill>
                        <w14:solidFill>
                          <w14:schemeClr w14:val="tx1"/>
                        </w14:solidFill>
                      </w14:textFill>
                    </w:rPr>
                    <w:t>一般固废暂存区，废包装物，不合格品等一般固废收集存放于一般固废暂存区，定期外售。</w:t>
                  </w:r>
                </w:p>
              </w:tc>
              <w:tc>
                <w:tcPr>
                  <w:tcW w:w="249" w:type="pct"/>
                  <w:vAlign w:val="center"/>
                </w:tcPr>
                <w:p w14:paraId="34042DE0">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ascii="Times New Roman" w:hAnsi="Times New Roman"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新增</w:t>
                  </w:r>
                </w:p>
              </w:tc>
            </w:tr>
            <w:tr w14:paraId="344E1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continue"/>
                  <w:vAlign w:val="center"/>
                </w:tcPr>
                <w:p w14:paraId="72F4C4D2">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Cs w:val="21"/>
                      <w14:textFill>
                        <w14:solidFill>
                          <w14:schemeClr w14:val="tx1"/>
                        </w14:solidFill>
                      </w14:textFill>
                    </w:rPr>
                  </w:pPr>
                </w:p>
              </w:tc>
              <w:tc>
                <w:tcPr>
                  <w:tcW w:w="263" w:type="pct"/>
                  <w:vMerge w:val="continue"/>
                  <w:vAlign w:val="center"/>
                </w:tcPr>
                <w:p w14:paraId="6D5917FA">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35" w:type="pct"/>
                  <w:vAlign w:val="center"/>
                </w:tcPr>
                <w:p w14:paraId="693B64AE">
                  <w:pPr>
                    <w:keepNext w:val="0"/>
                    <w:keepLines w:val="0"/>
                    <w:pageBreakBefore w:val="0"/>
                    <w:widowControl/>
                    <w:kinsoku/>
                    <w:wordWrap/>
                    <w:overflowPunct/>
                    <w:topLinePunct w:val="0"/>
                    <w:autoSpaceDE/>
                    <w:autoSpaceDN/>
                    <w:bidi w:val="0"/>
                    <w:spacing w:line="240" w:lineRule="auto"/>
                    <w:ind w:left="0" w:leftChars="0" w:right="0" w:rightChars="0"/>
                    <w:jc w:val="center"/>
                    <w:textAlignment w:val="auto"/>
                    <w:rPr>
                      <w:rFonts w:hint="eastAsia"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废水处理物料暂存区</w:t>
                  </w:r>
                </w:p>
              </w:tc>
              <w:tc>
                <w:tcPr>
                  <w:tcW w:w="1725" w:type="pct"/>
                  <w:vAlign w:val="center"/>
                </w:tcPr>
                <w:p w14:paraId="701B860F">
                  <w:pPr>
                    <w:keepNext w:val="0"/>
                    <w:keepLines w:val="0"/>
                    <w:pageBreakBefore w:val="0"/>
                    <w:widowControl/>
                    <w:kinsoku/>
                    <w:wordWrap/>
                    <w:overflowPunct/>
                    <w:topLinePunct w:val="0"/>
                    <w:autoSpaceDE/>
                    <w:autoSpaceDN/>
                    <w:bidi w:val="0"/>
                    <w:spacing w:line="240" w:lineRule="auto"/>
                    <w:ind w:left="0" w:leftChars="0" w:right="0" w:rightChars="0"/>
                    <w:jc w:val="center"/>
                    <w:textAlignment w:val="auto"/>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385" w:type="pct"/>
                  <w:vAlign w:val="center"/>
                </w:tcPr>
                <w:p w14:paraId="49926964">
                  <w:pPr>
                    <w:keepNext w:val="0"/>
                    <w:keepLines w:val="0"/>
                    <w:pageBreakBefore w:val="0"/>
                    <w:widowControl/>
                    <w:kinsoku/>
                    <w:wordWrap/>
                    <w:overflowPunct/>
                    <w:topLinePunct w:val="0"/>
                    <w:autoSpaceDE/>
                    <w:autoSpaceDN/>
                    <w:bidi w:val="0"/>
                    <w:spacing w:line="240" w:lineRule="auto"/>
                    <w:ind w:left="0" w:leftChars="0" w:right="0"/>
                    <w:jc w:val="center"/>
                    <w:textAlignment w:val="auto"/>
                    <w:rPr>
                      <w:rFonts w:hint="eastAsia"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废水处理物料暂存区</w:t>
                  </w:r>
                </w:p>
              </w:tc>
              <w:tc>
                <w:tcPr>
                  <w:tcW w:w="1751" w:type="pct"/>
                  <w:vAlign w:val="center"/>
                </w:tcPr>
                <w:p w14:paraId="26B5BC3A">
                  <w:pPr>
                    <w:pStyle w:val="12"/>
                    <w:keepNext w:val="0"/>
                    <w:keepLines w:val="0"/>
                    <w:pageBreakBefore w:val="0"/>
                    <w:kinsoku/>
                    <w:wordWrap/>
                    <w:overflowPunct/>
                    <w:topLinePunct w:val="0"/>
                    <w:autoSpaceDE/>
                    <w:autoSpaceDN/>
                    <w:bidi w:val="0"/>
                    <w:spacing w:line="240" w:lineRule="auto"/>
                    <w:textAlignment w:val="auto"/>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生产车间内新增设置</w:t>
                  </w:r>
                  <w:r>
                    <w:rPr>
                      <w:rFonts w:hint="eastAsia" w:cs="Times New Roman"/>
                      <w:color w:val="000000" w:themeColor="text1"/>
                      <w:szCs w:val="21"/>
                      <w:lang w:val="en-US" w:eastAsia="zh-CN"/>
                      <w14:textFill>
                        <w14:solidFill>
                          <w14:schemeClr w14:val="tx1"/>
                        </w14:solidFill>
                      </w14:textFill>
                    </w:rPr>
                    <w:t>1个约3m</w:t>
                  </w:r>
                  <w:r>
                    <w:rPr>
                      <w:rFonts w:hint="eastAsia" w:cs="Times New Roman"/>
                      <w:color w:val="000000" w:themeColor="text1"/>
                      <w:szCs w:val="21"/>
                      <w:vertAlign w:val="superscript"/>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废水</w:t>
                  </w:r>
                  <w:r>
                    <w:rPr>
                      <w:rFonts w:hint="eastAsia" w:cs="Times New Roman"/>
                      <w:color w:val="000000" w:themeColor="text1"/>
                      <w:szCs w:val="21"/>
                      <w:lang w:eastAsia="zh-CN"/>
                      <w14:textFill>
                        <w14:solidFill>
                          <w14:schemeClr w14:val="tx1"/>
                        </w14:solidFill>
                      </w14:textFill>
                    </w:rPr>
                    <w:t>处理物料暂存区</w:t>
                  </w:r>
                  <w:r>
                    <w:rPr>
                      <w:rFonts w:hint="eastAsia" w:cs="Times New Roman"/>
                      <w:color w:val="000000" w:themeColor="text1"/>
                      <w:szCs w:val="21"/>
                      <w:lang w:val="en-US" w:eastAsia="zh-CN"/>
                      <w14:textFill>
                        <w14:solidFill>
                          <w14:schemeClr w14:val="tx1"/>
                        </w14:solidFill>
                      </w14:textFill>
                    </w:rPr>
                    <w:t>，用于存放生活污水处理所需次氯酸钠、生产废水处理所需PAC。</w:t>
                  </w:r>
                </w:p>
              </w:tc>
              <w:tc>
                <w:tcPr>
                  <w:tcW w:w="249" w:type="pct"/>
                  <w:vAlign w:val="center"/>
                </w:tcPr>
                <w:p w14:paraId="1F255C07">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eastAsia"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新增</w:t>
                  </w:r>
                </w:p>
              </w:tc>
            </w:tr>
            <w:tr w14:paraId="7E7FE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continue"/>
                  <w:vAlign w:val="center"/>
                </w:tcPr>
                <w:p w14:paraId="4EBC3955">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Cs w:val="21"/>
                      <w14:textFill>
                        <w14:solidFill>
                          <w14:schemeClr w14:val="tx1"/>
                        </w14:solidFill>
                      </w14:textFill>
                    </w:rPr>
                  </w:pPr>
                </w:p>
              </w:tc>
              <w:tc>
                <w:tcPr>
                  <w:tcW w:w="263" w:type="pct"/>
                  <w:vMerge w:val="continue"/>
                  <w:vAlign w:val="center"/>
                </w:tcPr>
                <w:p w14:paraId="572DEAB7">
                  <w:pPr>
                    <w:pStyle w:val="20"/>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35" w:type="pct"/>
                  <w:shd w:val="clear" w:color="auto" w:fill="auto"/>
                  <w:vAlign w:val="center"/>
                </w:tcPr>
                <w:p w14:paraId="048AEBBF">
                  <w:pPr>
                    <w:keepNext w:val="0"/>
                    <w:keepLines w:val="0"/>
                    <w:pageBreakBefore w:val="0"/>
                    <w:widowControl/>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危废贮存库</w:t>
                  </w:r>
                </w:p>
              </w:tc>
              <w:tc>
                <w:tcPr>
                  <w:tcW w:w="1725" w:type="pct"/>
                  <w:shd w:val="clear" w:color="auto" w:fill="auto"/>
                  <w:vAlign w:val="center"/>
                </w:tcPr>
                <w:p w14:paraId="1B3F8369">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eastAsiaTheme="minorEastAsia"/>
                      <w:bCs/>
                      <w:color w:val="000000" w:themeColor="text1"/>
                      <w:sz w:val="21"/>
                      <w:szCs w:val="21"/>
                      <w:lang w:val="en-US" w:eastAsia="zh-CN"/>
                      <w14:textFill>
                        <w14:solidFill>
                          <w14:schemeClr w14:val="tx1"/>
                        </w14:solidFill>
                      </w14:textFill>
                    </w:rPr>
                    <w:t>现有</w:t>
                  </w: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1间</w:t>
                  </w:r>
                  <w:r>
                    <w:rPr>
                      <w:rFonts w:hint="default" w:ascii="Times New Roman" w:hAnsi="Times New Roman" w:cs="Times New Roman" w:eastAsiaTheme="minorEastAsia"/>
                      <w:color w:val="000000" w:themeColor="text1"/>
                      <w:sz w:val="21"/>
                      <w:szCs w:val="21"/>
                      <w14:textFill>
                        <w14:solidFill>
                          <w14:schemeClr w14:val="tx1"/>
                        </w14:solidFill>
                      </w14:textFill>
                    </w:rPr>
                    <w:t>5m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eastAsia" w:cs="Times New Roman" w:eastAsiaTheme="minorEastAsia"/>
                      <w:color w:val="000000" w:themeColor="text1"/>
                      <w:sz w:val="21"/>
                      <w:szCs w:val="21"/>
                      <w:lang w:eastAsia="zh-CN"/>
                      <w14:textFill>
                        <w14:solidFill>
                          <w14:schemeClr w14:val="tx1"/>
                        </w14:solidFill>
                      </w14:textFill>
                    </w:rPr>
                    <w:t>危险废物贮存库</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eastAsia="zh-CN"/>
                      <w14:textFill>
                        <w14:solidFill>
                          <w14:schemeClr w14:val="tx1"/>
                        </w14:solidFill>
                      </w14:textFill>
                    </w:rPr>
                    <w:t>危废贮存库已按</w:t>
                  </w:r>
                  <w:r>
                    <w:rPr>
                      <w:rFonts w:hint="default" w:ascii="Times New Roman" w:hAnsi="Times New Roman" w:cs="Times New Roman" w:eastAsiaTheme="minorEastAsia"/>
                      <w:bCs/>
                      <w:color w:val="000000" w:themeColor="text1"/>
                      <w:sz w:val="21"/>
                      <w:szCs w:val="21"/>
                      <w14:textFill>
                        <w14:solidFill>
                          <w14:schemeClr w14:val="tx1"/>
                        </w14:solidFill>
                      </w14:textFill>
                    </w:rPr>
                    <w:t>《危险废物贮存污染控制标准》（GB18597-2023）</w:t>
                  </w:r>
                  <w:r>
                    <w:rPr>
                      <w:rFonts w:hint="eastAsia" w:cs="Times New Roman" w:eastAsiaTheme="minorEastAsia"/>
                      <w:color w:val="000000" w:themeColor="text1"/>
                      <w:sz w:val="21"/>
                      <w:szCs w:val="21"/>
                      <w:lang w:eastAsia="zh-CN"/>
                      <w14:textFill>
                        <w14:solidFill>
                          <w14:schemeClr w14:val="tx1"/>
                        </w14:solidFill>
                      </w14:textFill>
                    </w:rPr>
                    <w:t>相关要求建设，根据现场踏勘，危废贮存库设置有四面彩钢瓦围挡及顶棚，地面采用混凝土硬化，设置有混凝土围堰，加挂门锁，安排专人管理，设置有标识标牌。</w:t>
                  </w:r>
                </w:p>
              </w:tc>
              <w:tc>
                <w:tcPr>
                  <w:tcW w:w="385" w:type="pct"/>
                  <w:shd w:val="clear" w:color="auto" w:fill="auto"/>
                  <w:vAlign w:val="center"/>
                </w:tcPr>
                <w:p w14:paraId="4FA5A222">
                  <w:pPr>
                    <w:keepNext w:val="0"/>
                    <w:keepLines w:val="0"/>
                    <w:pageBreakBefore w:val="0"/>
                    <w:widowControl/>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危废贮存库</w:t>
                  </w:r>
                </w:p>
              </w:tc>
              <w:tc>
                <w:tcPr>
                  <w:tcW w:w="1751" w:type="pct"/>
                  <w:shd w:val="clear" w:color="auto" w:fill="auto"/>
                  <w:vAlign w:val="center"/>
                </w:tcPr>
                <w:p w14:paraId="14FEDF66">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cs="Times New Roman" w:eastAsiaTheme="minorEastAsia"/>
                      <w:bCs/>
                      <w:color w:val="000000" w:themeColor="text1"/>
                      <w:sz w:val="21"/>
                      <w:szCs w:val="21"/>
                      <w:lang w:val="en-US" w:eastAsia="zh-CN"/>
                      <w14:textFill>
                        <w14:solidFill>
                          <w14:schemeClr w14:val="tx1"/>
                        </w14:solidFill>
                      </w14:textFill>
                    </w:rPr>
                    <w:t>依托现有1间5m</w:t>
                  </w:r>
                  <w:r>
                    <w:rPr>
                      <w:rFonts w:hint="eastAsia" w:cs="Times New Roman" w:eastAsiaTheme="minorEastAsia"/>
                      <w:bCs/>
                      <w:color w:val="000000" w:themeColor="text1"/>
                      <w:sz w:val="21"/>
                      <w:szCs w:val="21"/>
                      <w:vertAlign w:val="superscript"/>
                      <w:lang w:val="en-US" w:eastAsia="zh-CN"/>
                      <w14:textFill>
                        <w14:solidFill>
                          <w14:schemeClr w14:val="tx1"/>
                        </w14:solidFill>
                      </w14:textFill>
                    </w:rPr>
                    <w:t>2</w:t>
                  </w:r>
                  <w:r>
                    <w:rPr>
                      <w:rFonts w:hint="eastAsia" w:cs="Times New Roman" w:eastAsiaTheme="minorEastAsia"/>
                      <w:bCs/>
                      <w:color w:val="000000" w:themeColor="text1"/>
                      <w:sz w:val="21"/>
                      <w:szCs w:val="21"/>
                      <w:lang w:val="en-US" w:eastAsia="zh-CN"/>
                      <w14:textFill>
                        <w14:solidFill>
                          <w14:schemeClr w14:val="tx1"/>
                        </w14:solidFill>
                      </w14:textFill>
                    </w:rPr>
                    <w:t>危废贮存库。</w:t>
                  </w:r>
                </w:p>
                <w:p w14:paraId="01C44A11">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eastAsia="zh-CN"/>
                      <w14:textFill>
                        <w14:solidFill>
                          <w14:schemeClr w14:val="tx1"/>
                        </w14:solidFill>
                      </w14:textFill>
                    </w:rPr>
                    <w:t>根据现场调查情况，本环评要求危废贮存库进行修缮后使用，危废贮存库重新修缮涂刷地面及裙角环氧树脂防渗材料；危废贮存库大门处需设置约</w:t>
                  </w:r>
                  <w:r>
                    <w:rPr>
                      <w:rFonts w:hint="eastAsia" w:cs="Times New Roman" w:eastAsiaTheme="minorEastAsia"/>
                      <w:color w:val="000000" w:themeColor="text1"/>
                      <w:sz w:val="21"/>
                      <w:szCs w:val="21"/>
                      <w:lang w:val="en-US" w:eastAsia="zh-CN"/>
                      <w14:textFill>
                        <w14:solidFill>
                          <w14:schemeClr w14:val="tx1"/>
                        </w14:solidFill>
                      </w14:textFill>
                    </w:rPr>
                    <w:t>20cm围挡</w:t>
                  </w:r>
                  <w:r>
                    <w:rPr>
                      <w:rFonts w:hint="eastAsia" w:cs="Times New Roman" w:eastAsiaTheme="minorEastAsia"/>
                      <w:color w:val="000000" w:themeColor="text1"/>
                      <w:sz w:val="21"/>
                      <w:szCs w:val="21"/>
                      <w:lang w:eastAsia="zh-CN"/>
                      <w14:textFill>
                        <w14:solidFill>
                          <w14:schemeClr w14:val="tx1"/>
                        </w14:solidFill>
                      </w14:textFill>
                    </w:rPr>
                    <w:t>。</w:t>
                  </w:r>
                  <w:r>
                    <w:rPr>
                      <w:rFonts w:hint="eastAsia" w:cs="Times New Roman"/>
                      <w:b w:val="0"/>
                      <w:bCs w:val="0"/>
                      <w:color w:val="000000" w:themeColor="text1"/>
                      <w:sz w:val="21"/>
                      <w:szCs w:val="21"/>
                      <w:lang w:eastAsia="zh-CN"/>
                      <w14:textFill>
                        <w14:solidFill>
                          <w14:schemeClr w14:val="tx1"/>
                        </w14:solidFill>
                      </w14:textFill>
                    </w:rPr>
                    <w:t>危废贮存库</w:t>
                  </w:r>
                  <w:r>
                    <w:rPr>
                      <w:rFonts w:hint="default" w:ascii="Times New Roman" w:hAnsi="Times New Roman" w:cs="Times New Roman"/>
                      <w:color w:val="000000" w:themeColor="text1"/>
                      <w:sz w:val="21"/>
                      <w:szCs w:val="21"/>
                      <w:lang w:eastAsia="zh-CN"/>
                      <w14:textFill>
                        <w14:solidFill>
                          <w14:schemeClr w14:val="tx1"/>
                        </w14:solidFill>
                      </w14:textFill>
                    </w:rPr>
                    <w:t>区域</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参照执行《危险废物贮存污染控制标准》（GB18597-20</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23</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）相关要求，防渗层为至少1 m厚黏土层（渗透系数不大于10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cm/s），或至少2 mm厚高密度聚乙烯膜等人工防渗材料（渗透系数不大于10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cm/s）。</w:t>
                  </w:r>
                </w:p>
              </w:tc>
              <w:tc>
                <w:tcPr>
                  <w:tcW w:w="249" w:type="pct"/>
                  <w:shd w:val="clear" w:color="auto" w:fill="auto"/>
                  <w:vAlign w:val="center"/>
                </w:tcPr>
                <w:p w14:paraId="1BA57092">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依托现有</w:t>
                  </w:r>
                  <w:r>
                    <w:rPr>
                      <w:rFonts w:hint="eastAsia" w:cs="Times New Roman"/>
                      <w:color w:val="000000" w:themeColor="text1"/>
                      <w:szCs w:val="21"/>
                      <w:lang w:eastAsia="zh-CN"/>
                      <w14:textFill>
                        <w14:solidFill>
                          <w14:schemeClr w14:val="tx1"/>
                        </w14:solidFill>
                      </w14:textFill>
                    </w:rPr>
                    <w:t>、修缮</w:t>
                  </w:r>
                </w:p>
              </w:tc>
            </w:tr>
            <w:tr w14:paraId="537A5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continue"/>
                  <w:vAlign w:val="center"/>
                </w:tcPr>
                <w:p w14:paraId="665F2BD1">
                  <w:pPr>
                    <w:keepNext w:val="0"/>
                    <w:keepLines w:val="0"/>
                    <w:pageBreakBefore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cs="Times New Roman"/>
                      <w:color w:val="000000" w:themeColor="text1"/>
                      <w:szCs w:val="21"/>
                      <w14:textFill>
                        <w14:solidFill>
                          <w14:schemeClr w14:val="tx1"/>
                        </w14:solidFill>
                      </w14:textFill>
                    </w:rPr>
                  </w:pPr>
                </w:p>
              </w:tc>
              <w:tc>
                <w:tcPr>
                  <w:tcW w:w="263" w:type="pct"/>
                  <w:vAlign w:val="center"/>
                </w:tcPr>
                <w:p w14:paraId="3130E00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绿化</w:t>
                  </w:r>
                </w:p>
              </w:tc>
              <w:tc>
                <w:tcPr>
                  <w:tcW w:w="2060" w:type="pct"/>
                  <w:gridSpan w:val="2"/>
                  <w:shd w:val="clear" w:color="auto" w:fill="auto"/>
                  <w:vAlign w:val="center"/>
                </w:tcPr>
                <w:p w14:paraId="6B59B34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项目区现有约500m</w:t>
                  </w:r>
                  <w:r>
                    <w:rPr>
                      <w:rFonts w:hint="eastAsia" w:cs="Times New Roman"/>
                      <w:color w:val="000000" w:themeColor="text1"/>
                      <w:sz w:val="21"/>
                      <w:szCs w:val="21"/>
                      <w:vertAlign w:val="superscript"/>
                      <w:lang w:val="en-US" w:eastAsia="zh-CN"/>
                      <w14:textFill>
                        <w14:solidFill>
                          <w14:schemeClr w14:val="tx1"/>
                        </w14:solidFill>
                      </w14:textFill>
                    </w:rPr>
                    <w:t>2</w:t>
                  </w:r>
                  <w:r>
                    <w:rPr>
                      <w:rFonts w:hint="eastAsia" w:cs="Times New Roman"/>
                      <w:color w:val="000000" w:themeColor="text1"/>
                      <w:sz w:val="21"/>
                      <w:szCs w:val="21"/>
                      <w:lang w:eastAsia="zh-CN"/>
                      <w14:textFill>
                        <w14:solidFill>
                          <w14:schemeClr w14:val="tx1"/>
                        </w14:solidFill>
                      </w14:textFill>
                    </w:rPr>
                    <w:t>绿化</w:t>
                  </w:r>
                </w:p>
              </w:tc>
              <w:tc>
                <w:tcPr>
                  <w:tcW w:w="385" w:type="pct"/>
                  <w:shd w:val="clear" w:color="auto" w:fill="auto"/>
                  <w:vAlign w:val="center"/>
                </w:tcPr>
                <w:p w14:paraId="05895FFE">
                  <w:pPr>
                    <w:pStyle w:val="20"/>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000000" w:themeColor="text1"/>
                      <w:szCs w:val="21"/>
                      <w:lang w:eastAsia="zh-CN"/>
                      <w14:textFill>
                        <w14:solidFill>
                          <w14:schemeClr w14:val="tx1"/>
                        </w14:solidFill>
                      </w14:textFill>
                    </w:rPr>
                  </w:pPr>
                </w:p>
              </w:tc>
              <w:tc>
                <w:tcPr>
                  <w:tcW w:w="1751" w:type="pct"/>
                  <w:shd w:val="clear" w:color="auto" w:fill="auto"/>
                  <w:vAlign w:val="center"/>
                </w:tcPr>
                <w:p w14:paraId="6B5DB925">
                  <w:pPr>
                    <w:pStyle w:val="20"/>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eastAsiaTheme="minorEastAsia"/>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不变</w:t>
                  </w:r>
                </w:p>
              </w:tc>
              <w:tc>
                <w:tcPr>
                  <w:tcW w:w="249" w:type="pct"/>
                  <w:shd w:val="clear" w:color="auto" w:fill="auto"/>
                  <w:vAlign w:val="center"/>
                </w:tcPr>
                <w:p w14:paraId="67823683">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依托</w:t>
                  </w:r>
                </w:p>
              </w:tc>
            </w:tr>
          </w:tbl>
          <w:p w14:paraId="34EB5C8F">
            <w:pPr>
              <w:pStyle w:val="29"/>
              <w:pageBreakBefore w:val="0"/>
              <w:kinsoku/>
              <w:overflowPunct/>
              <w:topLinePunct w:val="0"/>
              <w:bidi w:val="0"/>
              <w:adjustRightInd w:val="0"/>
              <w:snapToGrid w:val="0"/>
              <w:spacing w:before="0" w:beforeAutospacing="0" w:after="0" w:afterAutospacing="0"/>
              <w:ind w:right="0"/>
              <w:jc w:val="center"/>
              <w:outlineLvl w:val="0"/>
              <w:rPr>
                <w:rFonts w:hint="eastAsia" w:ascii="Times New Roman" w:hAnsi="Times New Roman"/>
                <w:b/>
                <w:bCs/>
                <w:snapToGrid w:val="0"/>
                <w:color w:val="000000" w:themeColor="text1"/>
                <w:sz w:val="30"/>
                <w:szCs w:val="30"/>
                <w:vertAlign w:val="baseline"/>
                <w:lang w:eastAsia="zh-CN"/>
                <w14:textFill>
                  <w14:solidFill>
                    <w14:schemeClr w14:val="tx1"/>
                  </w14:solidFill>
                </w14:textFill>
              </w:rPr>
            </w:pPr>
          </w:p>
          <w:p w14:paraId="364CACEE">
            <w:pPr>
              <w:pStyle w:val="29"/>
              <w:pageBreakBefore w:val="0"/>
              <w:kinsoku/>
              <w:overflowPunct/>
              <w:topLinePunct w:val="0"/>
              <w:bidi w:val="0"/>
              <w:adjustRightInd w:val="0"/>
              <w:snapToGrid w:val="0"/>
              <w:spacing w:before="0" w:beforeAutospacing="0" w:after="0" w:afterAutospacing="0"/>
              <w:ind w:right="0"/>
              <w:jc w:val="center"/>
              <w:outlineLvl w:val="0"/>
              <w:rPr>
                <w:rFonts w:hint="eastAsia" w:ascii="Times New Roman" w:hAnsi="Times New Roman" w:eastAsia="宋体"/>
                <w:b/>
                <w:bCs/>
                <w:snapToGrid w:val="0"/>
                <w:color w:val="000000" w:themeColor="text1"/>
                <w:sz w:val="30"/>
                <w:szCs w:val="30"/>
                <w:vertAlign w:val="baseline"/>
                <w:lang w:eastAsia="zh-CN"/>
                <w14:textFill>
                  <w14:solidFill>
                    <w14:schemeClr w14:val="tx1"/>
                  </w14:solidFill>
                </w14:textFill>
              </w:rPr>
            </w:pPr>
            <w:r>
              <w:rPr>
                <w:rFonts w:hint="eastAsia" w:ascii="Times New Roman" w:hAnsi="Times New Roman"/>
                <w:b/>
                <w:bCs/>
                <w:snapToGrid w:val="0"/>
                <w:color w:val="000000" w:themeColor="text1"/>
                <w:sz w:val="30"/>
                <w:szCs w:val="30"/>
                <w:vertAlign w:val="baseline"/>
                <w:lang w:eastAsia="zh-CN"/>
                <w14:textFill>
                  <w14:solidFill>
                    <w14:schemeClr w14:val="tx1"/>
                  </w14:solidFill>
                </w14:textFill>
              </w:rPr>
              <w:br w:type="textWrapping"/>
            </w:r>
            <w:r>
              <w:rPr>
                <w:rFonts w:hint="eastAsia" w:ascii="Times New Roman" w:hAnsi="Times New Roman"/>
                <w:b/>
                <w:bCs/>
                <w:snapToGrid w:val="0"/>
                <w:color w:val="000000" w:themeColor="text1"/>
                <w:sz w:val="30"/>
                <w:szCs w:val="30"/>
                <w:vertAlign w:val="baseline"/>
                <w:lang w:eastAsia="zh-CN"/>
                <w14:textFill>
                  <w14:solidFill>
                    <w14:schemeClr w14:val="tx1"/>
                  </w14:solidFill>
                </w14:textFill>
              </w:rPr>
              <w:br w:type="textWrapping"/>
            </w:r>
            <w:r>
              <w:rPr>
                <w:rFonts w:hint="eastAsia" w:ascii="Times New Roman" w:hAnsi="Times New Roman"/>
                <w:b/>
                <w:bCs/>
                <w:snapToGrid w:val="0"/>
                <w:color w:val="000000" w:themeColor="text1"/>
                <w:sz w:val="30"/>
                <w:szCs w:val="30"/>
                <w:vertAlign w:val="baseline"/>
                <w:lang w:eastAsia="zh-CN"/>
                <w14:textFill>
                  <w14:solidFill>
                    <w14:schemeClr w14:val="tx1"/>
                  </w14:solidFill>
                </w14:textFill>
              </w:rPr>
              <w:br w:type="textWrapping"/>
            </w:r>
            <w:r>
              <w:rPr>
                <w:rFonts w:hint="eastAsia" w:ascii="Times New Roman" w:hAnsi="Times New Roman"/>
                <w:b/>
                <w:bCs/>
                <w:snapToGrid w:val="0"/>
                <w:color w:val="000000" w:themeColor="text1"/>
                <w:sz w:val="30"/>
                <w:szCs w:val="30"/>
                <w:vertAlign w:val="baseline"/>
                <w:lang w:eastAsia="zh-CN"/>
                <w14:textFill>
                  <w14:solidFill>
                    <w14:schemeClr w14:val="tx1"/>
                  </w14:solidFill>
                </w14:textFill>
              </w:rPr>
              <w:br w:type="textWrapping"/>
            </w:r>
            <w:r>
              <w:rPr>
                <w:rFonts w:hint="eastAsia" w:ascii="Times New Roman" w:hAnsi="Times New Roman"/>
                <w:b/>
                <w:bCs/>
                <w:snapToGrid w:val="0"/>
                <w:color w:val="000000" w:themeColor="text1"/>
                <w:sz w:val="30"/>
                <w:szCs w:val="30"/>
                <w:vertAlign w:val="baseline"/>
                <w:lang w:eastAsia="zh-CN"/>
                <w14:textFill>
                  <w14:solidFill>
                    <w14:schemeClr w14:val="tx1"/>
                  </w14:solidFill>
                </w14:textFill>
              </w:rPr>
              <w:br w:type="textWrapping"/>
            </w:r>
            <w:r>
              <w:rPr>
                <w:rFonts w:hint="eastAsia" w:ascii="Times New Roman" w:hAnsi="Times New Roman"/>
                <w:b/>
                <w:bCs/>
                <w:snapToGrid w:val="0"/>
                <w:color w:val="000000" w:themeColor="text1"/>
                <w:sz w:val="30"/>
                <w:szCs w:val="30"/>
                <w:vertAlign w:val="baseline"/>
                <w:lang w:eastAsia="zh-CN"/>
                <w14:textFill>
                  <w14:solidFill>
                    <w14:schemeClr w14:val="tx1"/>
                  </w14:solidFill>
                </w14:textFill>
              </w:rPr>
              <w:br w:type="textWrapping"/>
            </w:r>
            <w:r>
              <w:rPr>
                <w:rFonts w:hint="eastAsia" w:ascii="Times New Roman" w:hAnsi="Times New Roman"/>
                <w:b/>
                <w:bCs/>
                <w:snapToGrid w:val="0"/>
                <w:color w:val="000000" w:themeColor="text1"/>
                <w:sz w:val="30"/>
                <w:szCs w:val="30"/>
                <w:vertAlign w:val="baseline"/>
                <w:lang w:eastAsia="zh-CN"/>
                <w14:textFill>
                  <w14:solidFill>
                    <w14:schemeClr w14:val="tx1"/>
                  </w14:solidFill>
                </w14:textFill>
              </w:rPr>
              <w:br w:type="textWrapping"/>
            </w:r>
            <w:r>
              <w:rPr>
                <w:rFonts w:hint="eastAsia" w:ascii="Times New Roman" w:hAnsi="Times New Roman"/>
                <w:b/>
                <w:bCs/>
                <w:snapToGrid w:val="0"/>
                <w:color w:val="000000" w:themeColor="text1"/>
                <w:sz w:val="30"/>
                <w:szCs w:val="30"/>
                <w:vertAlign w:val="baseline"/>
                <w:lang w:eastAsia="zh-CN"/>
                <w14:textFill>
                  <w14:solidFill>
                    <w14:schemeClr w14:val="tx1"/>
                  </w14:solidFill>
                </w14:textFill>
              </w:rPr>
              <w:br w:type="textWrapping"/>
            </w:r>
            <w:r>
              <w:rPr>
                <w:rFonts w:hint="eastAsia" w:ascii="Times New Roman" w:hAnsi="Times New Roman"/>
                <w:b/>
                <w:bCs/>
                <w:snapToGrid w:val="0"/>
                <w:color w:val="000000" w:themeColor="text1"/>
                <w:sz w:val="30"/>
                <w:szCs w:val="30"/>
                <w:vertAlign w:val="baseline"/>
                <w:lang w:eastAsia="zh-CN"/>
                <w14:textFill>
                  <w14:solidFill>
                    <w14:schemeClr w14:val="tx1"/>
                  </w14:solidFill>
                </w14:textFill>
              </w:rPr>
              <w:br w:type="textWrapping"/>
            </w:r>
            <w:r>
              <w:rPr>
                <w:rFonts w:hint="eastAsia" w:ascii="Times New Roman" w:hAnsi="Times New Roman"/>
                <w:b/>
                <w:bCs/>
                <w:snapToGrid w:val="0"/>
                <w:color w:val="000000" w:themeColor="text1"/>
                <w:sz w:val="30"/>
                <w:szCs w:val="30"/>
                <w:vertAlign w:val="baseline"/>
                <w:lang w:eastAsia="zh-CN"/>
                <w14:textFill>
                  <w14:solidFill>
                    <w14:schemeClr w14:val="tx1"/>
                  </w14:solidFill>
                </w14:textFill>
              </w:rPr>
              <w:br w:type="textWrapping"/>
            </w:r>
            <w:r>
              <w:rPr>
                <w:rFonts w:hint="eastAsia" w:ascii="Times New Roman" w:hAnsi="Times New Roman"/>
                <w:b/>
                <w:bCs/>
                <w:snapToGrid w:val="0"/>
                <w:color w:val="000000" w:themeColor="text1"/>
                <w:sz w:val="30"/>
                <w:szCs w:val="30"/>
                <w:vertAlign w:val="baseline"/>
                <w:lang w:eastAsia="zh-CN"/>
                <w14:textFill>
                  <w14:solidFill>
                    <w14:schemeClr w14:val="tx1"/>
                  </w14:solidFill>
                </w14:textFill>
              </w:rPr>
              <w:br w:type="textWrapping"/>
            </w:r>
            <w:r>
              <w:rPr>
                <w:rFonts w:hint="eastAsia" w:ascii="Times New Roman" w:hAnsi="Times New Roman"/>
                <w:b/>
                <w:bCs/>
                <w:snapToGrid w:val="0"/>
                <w:color w:val="000000" w:themeColor="text1"/>
                <w:sz w:val="30"/>
                <w:szCs w:val="30"/>
                <w:vertAlign w:val="baseline"/>
                <w:lang w:eastAsia="zh-CN"/>
                <w14:textFill>
                  <w14:solidFill>
                    <w14:schemeClr w14:val="tx1"/>
                  </w14:solidFill>
                </w14:textFill>
              </w:rPr>
              <w:br w:type="textWrapping"/>
            </w:r>
            <w:r>
              <w:rPr>
                <w:rFonts w:hint="eastAsia" w:ascii="Times New Roman" w:hAnsi="Times New Roman"/>
                <w:b/>
                <w:bCs/>
                <w:snapToGrid w:val="0"/>
                <w:color w:val="000000" w:themeColor="text1"/>
                <w:sz w:val="30"/>
                <w:szCs w:val="30"/>
                <w:vertAlign w:val="baseline"/>
                <w:lang w:eastAsia="zh-CN"/>
                <w14:textFill>
                  <w14:solidFill>
                    <w14:schemeClr w14:val="tx1"/>
                  </w14:solidFill>
                </w14:textFill>
              </w:rPr>
              <w:br w:type="textWrapping"/>
            </w:r>
            <w:r>
              <w:rPr>
                <w:rFonts w:hint="eastAsia" w:ascii="Times New Roman" w:hAnsi="Times New Roman"/>
                <w:b/>
                <w:bCs/>
                <w:snapToGrid w:val="0"/>
                <w:color w:val="000000" w:themeColor="text1"/>
                <w:sz w:val="30"/>
                <w:szCs w:val="30"/>
                <w:vertAlign w:val="baseline"/>
                <w:lang w:eastAsia="zh-CN"/>
                <w14:textFill>
                  <w14:solidFill>
                    <w14:schemeClr w14:val="tx1"/>
                  </w14:solidFill>
                </w14:textFill>
              </w:rPr>
              <w:br w:type="textWrapping"/>
            </w:r>
            <w:r>
              <w:rPr>
                <w:rFonts w:hint="eastAsia" w:ascii="Times New Roman" w:hAnsi="Times New Roman"/>
                <w:b/>
                <w:bCs/>
                <w:snapToGrid w:val="0"/>
                <w:color w:val="000000" w:themeColor="text1"/>
                <w:sz w:val="30"/>
                <w:szCs w:val="30"/>
                <w:vertAlign w:val="baseline"/>
                <w:lang w:eastAsia="zh-CN"/>
                <w14:textFill>
                  <w14:solidFill>
                    <w14:schemeClr w14:val="tx1"/>
                  </w14:solidFill>
                </w14:textFill>
              </w:rPr>
              <w:br w:type="textWrapping"/>
            </w:r>
            <w:r>
              <w:rPr>
                <w:rFonts w:hint="eastAsia" w:ascii="Times New Roman" w:hAnsi="Times New Roman"/>
                <w:b/>
                <w:bCs/>
                <w:snapToGrid w:val="0"/>
                <w:color w:val="000000" w:themeColor="text1"/>
                <w:sz w:val="30"/>
                <w:szCs w:val="30"/>
                <w:vertAlign w:val="baseline"/>
                <w:lang w:eastAsia="zh-CN"/>
                <w14:textFill>
                  <w14:solidFill>
                    <w14:schemeClr w14:val="tx1"/>
                  </w14:solidFill>
                </w14:textFill>
              </w:rPr>
              <w:br w:type="textWrapping"/>
            </w:r>
          </w:p>
        </w:tc>
      </w:tr>
    </w:tbl>
    <w:p w14:paraId="7E308DA5">
      <w:pPr>
        <w:pStyle w:val="29"/>
        <w:pageBreakBefore w:val="0"/>
        <w:kinsoku/>
        <w:overflowPunct/>
        <w:topLinePunct w:val="0"/>
        <w:bidi w:val="0"/>
        <w:adjustRightInd w:val="0"/>
        <w:snapToGrid w:val="0"/>
        <w:spacing w:before="0" w:beforeAutospacing="0" w:after="0" w:afterAutospacing="0"/>
        <w:ind w:left="0" w:leftChars="0" w:right="0"/>
        <w:jc w:val="center"/>
        <w:outlineLvl w:val="0"/>
        <w:rPr>
          <w:rFonts w:ascii="Times New Roman" w:hAnsi="Times New Roman"/>
          <w:b/>
          <w:bCs/>
          <w:snapToGrid w:val="0"/>
          <w:color w:val="000000" w:themeColor="text1"/>
          <w:sz w:val="30"/>
          <w:szCs w:val="30"/>
          <w14:textFill>
            <w14:solidFill>
              <w14:schemeClr w14:val="tx1"/>
            </w14:solidFill>
          </w14:textFill>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docGrid w:linePitch="312" w:charSpace="0"/>
        </w:sectPr>
      </w:pPr>
    </w:p>
    <w:p w14:paraId="272A5EAA">
      <w:pPr>
        <w:pStyle w:val="29"/>
        <w:pageBreakBefore w:val="0"/>
        <w:kinsoku/>
        <w:overflowPunct/>
        <w:topLinePunct w:val="0"/>
        <w:bidi w:val="0"/>
        <w:adjustRightInd w:val="0"/>
        <w:snapToGrid w:val="0"/>
        <w:spacing w:before="0" w:beforeAutospacing="0" w:after="0" w:afterAutospacing="0"/>
        <w:ind w:left="0" w:leftChars="0" w:right="0"/>
        <w:jc w:val="both"/>
        <w:outlineLvl w:val="0"/>
        <w:rPr>
          <w:rFonts w:ascii="Times New Roman" w:hAnsi="Times New Roman"/>
          <w:b/>
          <w:bCs/>
          <w:snapToGrid w:val="0"/>
          <w:color w:val="000000" w:themeColor="text1"/>
          <w:sz w:val="30"/>
          <w:szCs w:val="30"/>
          <w14:textFill>
            <w14:solidFill>
              <w14:schemeClr w14:val="tx1"/>
            </w14:solidFill>
          </w14:textFill>
        </w:rPr>
      </w:pPr>
    </w:p>
    <w:tbl>
      <w:tblPr>
        <w:tblStyle w:val="33"/>
        <w:tblW w:w="935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8647"/>
      </w:tblGrid>
      <w:tr w14:paraId="283EDA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3" w:type="dxa"/>
            <w:vAlign w:val="center"/>
          </w:tcPr>
          <w:p w14:paraId="31CBA0EA">
            <w:pPr>
              <w:pStyle w:val="29"/>
              <w:pageBreakBefore w:val="0"/>
              <w:kinsoku/>
              <w:overflowPunct/>
              <w:topLinePunct w:val="0"/>
              <w:bidi w:val="0"/>
              <w:adjustRightInd w:val="0"/>
              <w:snapToGrid w:val="0"/>
              <w:spacing w:before="0" w:beforeAutospacing="0" w:after="0" w:afterAutospacing="0"/>
              <w:ind w:left="0" w:leftChars="0" w:right="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Cs w:val="24"/>
                <w14:textFill>
                  <w14:solidFill>
                    <w14:schemeClr w14:val="tx1"/>
                  </w14:solidFill>
                </w14:textFill>
              </w:rPr>
              <w:t>建设内容</w:t>
            </w:r>
          </w:p>
        </w:tc>
        <w:tc>
          <w:tcPr>
            <w:tcW w:w="8635" w:type="dxa"/>
          </w:tcPr>
          <w:p w14:paraId="7118DD01">
            <w:pPr>
              <w:pStyle w:val="17"/>
              <w:pageBreakBefore w:val="0"/>
              <w:kinsoku/>
              <w:overflowPunct/>
              <w:topLinePunct w:val="0"/>
              <w:bidi w:val="0"/>
              <w:adjustRightInd w:val="0"/>
              <w:snapToGrid w:val="0"/>
              <w:spacing w:line="360" w:lineRule="auto"/>
              <w:ind w:left="0" w:leftChars="0" w:right="0" w:firstLine="482" w:firstLineChars="200"/>
              <w:rPr>
                <w:rFonts w:ascii="Times New Roman" w:hAnsi="Times New Roman"/>
                <w:b/>
                <w:color w:val="000000" w:themeColor="text1"/>
                <w:sz w:val="24"/>
                <w14:textFill>
                  <w14:solidFill>
                    <w14:schemeClr w14:val="tx1"/>
                  </w14:solidFill>
                </w14:textFill>
              </w:rPr>
            </w:pPr>
            <w:r>
              <w:rPr>
                <w:rFonts w:ascii="Times New Roman" w:hAnsi="Times New Roman"/>
                <w:b/>
                <w:color w:val="000000" w:themeColor="text1"/>
                <w:sz w:val="24"/>
                <w14:textFill>
                  <w14:solidFill>
                    <w14:schemeClr w14:val="tx1"/>
                  </w14:solidFill>
                </w14:textFill>
              </w:rPr>
              <w:t>3、产品方案</w:t>
            </w:r>
          </w:p>
          <w:p w14:paraId="0E14E930">
            <w:pPr>
              <w:pageBreakBefore w:val="0"/>
              <w:kinsoku/>
              <w:overflowPunct/>
              <w:topLinePunct w:val="0"/>
              <w:bidi w:val="0"/>
              <w:adjustRightInd w:val="0"/>
              <w:snapToGrid w:val="0"/>
              <w:spacing w:line="360" w:lineRule="auto"/>
              <w:ind w:left="0" w:leftChars="0" w:right="0" w:firstLine="480" w:firstLineChars="200"/>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公司原有</w:t>
            </w:r>
            <w:r>
              <w:rPr>
                <w:rFonts w:hint="eastAsia"/>
                <w:color w:val="000000" w:themeColor="text1"/>
                <w:sz w:val="24"/>
                <w:lang w:val="en-US" w:eastAsia="zh-CN"/>
                <w14:textFill>
                  <w14:solidFill>
                    <w14:schemeClr w14:val="tx1"/>
                  </w14:solidFill>
                </w14:textFill>
              </w:rPr>
              <w:t>1台2t/h燃煤锅炉为生产线</w:t>
            </w:r>
            <w:r>
              <w:rPr>
                <w:rFonts w:hint="eastAsia" w:ascii="Times New Roman" w:hAnsi="Times New Roman" w:eastAsia="宋体" w:cs="Times New Roman"/>
                <w:color w:val="000000" w:themeColor="text1"/>
                <w:sz w:val="24"/>
                <w:lang w:val="en-US" w:eastAsia="zh-CN"/>
                <w14:textFill>
                  <w14:solidFill>
                    <w14:schemeClr w14:val="tx1"/>
                  </w14:solidFill>
                </w14:textFill>
              </w:rPr>
              <w:t>提供热源，本项目建设完成后原有燃煤锅炉拆除，本项目新增1台3t/h生物质锅炉</w:t>
            </w:r>
            <w:r>
              <w:rPr>
                <w:rFonts w:hint="eastAsia"/>
                <w:color w:val="000000" w:themeColor="text1"/>
                <w:sz w:val="24"/>
                <w:lang w:val="en-US" w:eastAsia="zh-CN"/>
                <w14:textFill>
                  <w14:solidFill>
                    <w14:schemeClr w14:val="tx1"/>
                  </w14:solidFill>
                </w14:textFill>
              </w:rPr>
              <w:t>为生产线</w:t>
            </w:r>
            <w:r>
              <w:rPr>
                <w:rFonts w:hint="eastAsia" w:ascii="Times New Roman" w:hAnsi="Times New Roman" w:eastAsia="宋体" w:cs="Times New Roman"/>
                <w:color w:val="000000" w:themeColor="text1"/>
                <w:sz w:val="24"/>
                <w:lang w:val="en-US" w:eastAsia="zh-CN"/>
                <w14:textFill>
                  <w14:solidFill>
                    <w14:schemeClr w14:val="tx1"/>
                  </w14:solidFill>
                </w14:textFill>
              </w:rPr>
              <w:t>提供热源。</w:t>
            </w:r>
          </w:p>
          <w:p w14:paraId="7B503CA4">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eastAsia="宋体" w:cs="Times New Roman"/>
                <w:color w:val="000000" w:themeColor="text1"/>
                <w:lang w:val="en-US"/>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本项目的建设不涉及现有生产线的生产工艺、产品方案、生产规模等变动，设备蒸汽使用量不变。本项目不涉及新增蒸汽供给量，改建后蒸汽供给量不变。</w:t>
            </w:r>
          </w:p>
          <w:p w14:paraId="6EA63D2F">
            <w:pPr>
              <w:pStyle w:val="52"/>
              <w:pageBreakBefore w:val="0"/>
              <w:kinsoku/>
              <w:overflowPunct/>
              <w:topLinePunct w:val="0"/>
              <w:bidi w:val="0"/>
              <w:spacing w:before="0"/>
              <w:ind w:left="0" w:leftChars="0" w:right="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表</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 xml:space="preserve">  </w:t>
            </w:r>
            <w:r>
              <w:rPr>
                <w:rFonts w:hint="eastAsia" w:ascii="Times New Roman" w:hAnsi="Times New Roman" w:eastAsia="宋体" w:cs="Times New Roman"/>
                <w:color w:val="000000" w:themeColor="text1"/>
                <w:lang w:eastAsia="zh-CN"/>
                <w14:textFill>
                  <w14:solidFill>
                    <w14:schemeClr w14:val="tx1"/>
                  </w14:solidFill>
                </w14:textFill>
              </w:rPr>
              <w:t>产品方案一览表</w:t>
            </w:r>
          </w:p>
          <w:tbl>
            <w:tblPr>
              <w:tblStyle w:val="34"/>
              <w:tblW w:w="84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1665"/>
              <w:gridCol w:w="1644"/>
              <w:gridCol w:w="1715"/>
              <w:gridCol w:w="1754"/>
              <w:gridCol w:w="891"/>
            </w:tblGrid>
            <w:tr w14:paraId="097A2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52" w:type="dxa"/>
                  <w:vMerge w:val="restart"/>
                  <w:noWrap w:val="0"/>
                  <w:vAlign w:val="center"/>
                </w:tcPr>
                <w:p w14:paraId="1DBD1E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产品名称</w:t>
                  </w:r>
                </w:p>
              </w:tc>
              <w:tc>
                <w:tcPr>
                  <w:tcW w:w="3309" w:type="dxa"/>
                  <w:gridSpan w:val="2"/>
                  <w:noWrap w:val="0"/>
                  <w:vAlign w:val="center"/>
                </w:tcPr>
                <w:p w14:paraId="6AB5E0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原有燃煤锅炉</w:t>
                  </w:r>
                </w:p>
              </w:tc>
              <w:tc>
                <w:tcPr>
                  <w:tcW w:w="3469" w:type="dxa"/>
                  <w:gridSpan w:val="2"/>
                  <w:noWrap w:val="0"/>
                  <w:vAlign w:val="center"/>
                </w:tcPr>
                <w:p w14:paraId="4EC34C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改建</w:t>
                  </w:r>
                  <w:r>
                    <w:rPr>
                      <w:rFonts w:hint="eastAsia" w:cs="Times New Roman"/>
                      <w:b/>
                      <w:bCs/>
                      <w:color w:val="000000" w:themeColor="text1"/>
                      <w:sz w:val="21"/>
                      <w:szCs w:val="21"/>
                      <w:vertAlign w:val="baseline"/>
                      <w:lang w:val="en-US" w:eastAsia="zh-CN"/>
                      <w14:textFill>
                        <w14:solidFill>
                          <w14:schemeClr w14:val="tx1"/>
                        </w14:solidFill>
                      </w14:textFill>
                    </w:rPr>
                    <w:t>生物质锅炉</w:t>
                  </w:r>
                </w:p>
              </w:tc>
              <w:tc>
                <w:tcPr>
                  <w:tcW w:w="891" w:type="dxa"/>
                  <w:vMerge w:val="restart"/>
                  <w:noWrap w:val="0"/>
                  <w:vAlign w:val="center"/>
                </w:tcPr>
                <w:p w14:paraId="2ACCC1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改建后</w:t>
                  </w:r>
                  <w:r>
                    <w:rPr>
                      <w:rFonts w:hint="eastAsia" w:cs="Times New Roman"/>
                      <w:b/>
                      <w:bCs/>
                      <w:color w:val="000000" w:themeColor="text1"/>
                      <w:sz w:val="21"/>
                      <w:szCs w:val="21"/>
                      <w:vertAlign w:val="baseline"/>
                      <w:lang w:val="en-US" w:eastAsia="zh-CN"/>
                      <w14:textFill>
                        <w14:solidFill>
                          <w14:schemeClr w14:val="tx1"/>
                        </w14:solidFill>
                      </w14:textFill>
                    </w:rPr>
                    <w:t>蒸汽供给量变化情况</w:t>
                  </w:r>
                </w:p>
              </w:tc>
            </w:tr>
            <w:tr w14:paraId="71D34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52" w:type="dxa"/>
                  <w:vMerge w:val="continue"/>
                  <w:noWrap w:val="0"/>
                  <w:vAlign w:val="center"/>
                </w:tcPr>
                <w:p w14:paraId="4603D5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1665" w:type="dxa"/>
                  <w:noWrap w:val="0"/>
                  <w:vAlign w:val="center"/>
                </w:tcPr>
                <w:p w14:paraId="1C3694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日蒸汽供给</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量</w:t>
                  </w:r>
                </w:p>
              </w:tc>
              <w:tc>
                <w:tcPr>
                  <w:tcW w:w="1644" w:type="dxa"/>
                  <w:noWrap w:val="0"/>
                  <w:vAlign w:val="center"/>
                </w:tcPr>
                <w:p w14:paraId="25BAE2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年蒸汽供给</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量</w:t>
                  </w:r>
                </w:p>
              </w:tc>
              <w:tc>
                <w:tcPr>
                  <w:tcW w:w="1715" w:type="dxa"/>
                  <w:noWrap w:val="0"/>
                  <w:vAlign w:val="center"/>
                </w:tcPr>
                <w:p w14:paraId="305C56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日蒸汽供给</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量</w:t>
                  </w:r>
                </w:p>
              </w:tc>
              <w:tc>
                <w:tcPr>
                  <w:tcW w:w="1754" w:type="dxa"/>
                  <w:noWrap w:val="0"/>
                  <w:vAlign w:val="center"/>
                </w:tcPr>
                <w:p w14:paraId="308E1E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年蒸汽供给</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量</w:t>
                  </w:r>
                </w:p>
              </w:tc>
              <w:tc>
                <w:tcPr>
                  <w:tcW w:w="891" w:type="dxa"/>
                  <w:vMerge w:val="continue"/>
                  <w:noWrap w:val="0"/>
                  <w:vAlign w:val="center"/>
                </w:tcPr>
                <w:p w14:paraId="443F12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r>
            <w:tr w14:paraId="3D10C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52" w:type="dxa"/>
                  <w:noWrap w:val="0"/>
                  <w:vAlign w:val="center"/>
                </w:tcPr>
                <w:p w14:paraId="367130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蒸汽</w:t>
                  </w:r>
                </w:p>
              </w:tc>
              <w:tc>
                <w:tcPr>
                  <w:tcW w:w="1665" w:type="dxa"/>
                  <w:noWrap w:val="0"/>
                  <w:vAlign w:val="center"/>
                </w:tcPr>
                <w:p w14:paraId="6E66FA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16t/d</w:t>
                  </w:r>
                </w:p>
              </w:tc>
              <w:tc>
                <w:tcPr>
                  <w:tcW w:w="1644" w:type="dxa"/>
                  <w:noWrap w:val="0"/>
                  <w:vAlign w:val="center"/>
                </w:tcPr>
                <w:p w14:paraId="5A8571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4800t/a</w:t>
                  </w:r>
                </w:p>
              </w:tc>
              <w:tc>
                <w:tcPr>
                  <w:tcW w:w="1715" w:type="dxa"/>
                  <w:noWrap w:val="0"/>
                  <w:vAlign w:val="center"/>
                </w:tcPr>
                <w:p w14:paraId="525227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16t/d</w:t>
                  </w:r>
                </w:p>
              </w:tc>
              <w:tc>
                <w:tcPr>
                  <w:tcW w:w="1754" w:type="dxa"/>
                  <w:noWrap w:val="0"/>
                  <w:vAlign w:val="center"/>
                </w:tcPr>
                <w:p w14:paraId="6DA888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4800t/a</w:t>
                  </w:r>
                </w:p>
              </w:tc>
              <w:tc>
                <w:tcPr>
                  <w:tcW w:w="891" w:type="dxa"/>
                  <w:noWrap w:val="0"/>
                  <w:vAlign w:val="center"/>
                </w:tcPr>
                <w:p w14:paraId="1496DB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w:t>
                  </w:r>
                </w:p>
              </w:tc>
            </w:tr>
          </w:tbl>
          <w:p w14:paraId="67D31E35">
            <w:pPr>
              <w:pStyle w:val="52"/>
              <w:pageBreakBefore w:val="0"/>
              <w:kinsoku/>
              <w:overflowPunct/>
              <w:topLinePunct w:val="0"/>
              <w:bidi w:val="0"/>
              <w:spacing w:before="0"/>
              <w:ind w:left="0" w:leftChars="0" w:right="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表</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 xml:space="preserve">  </w:t>
            </w:r>
            <w:r>
              <w:rPr>
                <w:rFonts w:hint="eastAsia" w:cs="Times New Roman"/>
                <w:color w:val="000000" w:themeColor="text1"/>
                <w:lang w:eastAsia="zh-CN"/>
                <w14:textFill>
                  <w14:solidFill>
                    <w14:schemeClr w14:val="tx1"/>
                  </w14:solidFill>
                </w14:textFill>
              </w:rPr>
              <w:t>锅炉运行制度</w:t>
            </w:r>
            <w:r>
              <w:rPr>
                <w:rFonts w:hint="eastAsia" w:ascii="Times New Roman" w:hAnsi="Times New Roman" w:eastAsia="宋体" w:cs="Times New Roman"/>
                <w:color w:val="000000" w:themeColor="text1"/>
                <w:lang w:eastAsia="zh-CN"/>
                <w14:textFill>
                  <w14:solidFill>
                    <w14:schemeClr w14:val="tx1"/>
                  </w14:solidFill>
                </w14:textFill>
              </w:rPr>
              <w:t>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1172"/>
              <w:gridCol w:w="2020"/>
              <w:gridCol w:w="1879"/>
              <w:gridCol w:w="1187"/>
              <w:gridCol w:w="1374"/>
            </w:tblGrid>
            <w:tr w14:paraId="0D67B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67" w:type="pct"/>
                  <w:noWrap w:val="0"/>
                  <w:vAlign w:val="center"/>
                </w:tcPr>
                <w:p w14:paraId="132BC5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w:t>
                  </w:r>
                </w:p>
              </w:tc>
              <w:tc>
                <w:tcPr>
                  <w:tcW w:w="696" w:type="pct"/>
                  <w:noWrap w:val="0"/>
                  <w:vAlign w:val="center"/>
                </w:tcPr>
                <w:p w14:paraId="777822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锅炉日运行时间</w:t>
                  </w:r>
                </w:p>
              </w:tc>
              <w:tc>
                <w:tcPr>
                  <w:tcW w:w="1200" w:type="pct"/>
                  <w:noWrap w:val="0"/>
                  <w:vAlign w:val="center"/>
                </w:tcPr>
                <w:p w14:paraId="1493F1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额定负荷运行</w:t>
                  </w:r>
                </w:p>
              </w:tc>
              <w:tc>
                <w:tcPr>
                  <w:tcW w:w="1116" w:type="pct"/>
                  <w:noWrap w:val="0"/>
                  <w:vAlign w:val="center"/>
                </w:tcPr>
                <w:p w14:paraId="6DE6E3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最低负荷运行①</w:t>
                  </w:r>
                </w:p>
              </w:tc>
              <w:tc>
                <w:tcPr>
                  <w:tcW w:w="705" w:type="pct"/>
                  <w:noWrap w:val="0"/>
                  <w:vAlign w:val="center"/>
                </w:tcPr>
                <w:p w14:paraId="0BEBDA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设备蒸汽用使用量</w:t>
                  </w:r>
                </w:p>
              </w:tc>
              <w:tc>
                <w:tcPr>
                  <w:tcW w:w="813" w:type="pct"/>
                  <w:noWrap w:val="0"/>
                  <w:vAlign w:val="center"/>
                </w:tcPr>
                <w:p w14:paraId="7D630F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设备蒸汽使用时间</w:t>
                  </w:r>
                </w:p>
              </w:tc>
            </w:tr>
            <w:tr w14:paraId="78897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467" w:type="pct"/>
                  <w:noWrap w:val="0"/>
                  <w:vAlign w:val="center"/>
                </w:tcPr>
                <w:p w14:paraId="42E984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原有燃煤锅炉</w:t>
                  </w:r>
                </w:p>
              </w:tc>
              <w:tc>
                <w:tcPr>
                  <w:tcW w:w="696" w:type="pct"/>
                  <w:noWrap w:val="0"/>
                  <w:vAlign w:val="center"/>
                </w:tcPr>
                <w:p w14:paraId="4CB5C8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8h/d</w:t>
                  </w:r>
                </w:p>
              </w:tc>
              <w:tc>
                <w:tcPr>
                  <w:tcW w:w="1200" w:type="pct"/>
                  <w:noWrap w:val="0"/>
                  <w:vAlign w:val="center"/>
                </w:tcPr>
                <w:p w14:paraId="6945E4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运行负荷2t/h；</w:t>
                  </w:r>
                </w:p>
                <w:p w14:paraId="672BE2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运行时间8h/d；</w:t>
                  </w:r>
                </w:p>
                <w:p w14:paraId="54D8C8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蒸汽产生量16t/d</w:t>
                  </w:r>
                </w:p>
              </w:tc>
              <w:tc>
                <w:tcPr>
                  <w:tcW w:w="1116" w:type="pct"/>
                  <w:noWrap w:val="0"/>
                  <w:vAlign w:val="center"/>
                </w:tcPr>
                <w:p w14:paraId="3F30EA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w:t>
                  </w:r>
                </w:p>
              </w:tc>
              <w:tc>
                <w:tcPr>
                  <w:tcW w:w="705" w:type="pct"/>
                  <w:noWrap w:val="0"/>
                  <w:vAlign w:val="center"/>
                </w:tcPr>
                <w:p w14:paraId="3A675F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2t/h</w:t>
                  </w:r>
                </w:p>
              </w:tc>
              <w:tc>
                <w:tcPr>
                  <w:tcW w:w="813" w:type="pct"/>
                  <w:noWrap w:val="0"/>
                  <w:vAlign w:val="center"/>
                </w:tcPr>
                <w:p w14:paraId="463B5F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8h/d</w:t>
                  </w:r>
                </w:p>
              </w:tc>
            </w:tr>
            <w:tr w14:paraId="4D971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467" w:type="pct"/>
                  <w:noWrap w:val="0"/>
                  <w:vAlign w:val="center"/>
                </w:tcPr>
                <w:p w14:paraId="486D43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改建</w:t>
                  </w:r>
                  <w:r>
                    <w:rPr>
                      <w:rFonts w:hint="eastAsia" w:cs="Times New Roman"/>
                      <w:b/>
                      <w:bCs/>
                      <w:color w:val="000000" w:themeColor="text1"/>
                      <w:sz w:val="21"/>
                      <w:szCs w:val="21"/>
                      <w:vertAlign w:val="baseline"/>
                      <w:lang w:val="en-US" w:eastAsia="zh-CN"/>
                      <w14:textFill>
                        <w14:solidFill>
                          <w14:schemeClr w14:val="tx1"/>
                        </w14:solidFill>
                      </w14:textFill>
                    </w:rPr>
                    <w:t>生物质锅炉</w:t>
                  </w:r>
                </w:p>
              </w:tc>
              <w:tc>
                <w:tcPr>
                  <w:tcW w:w="696" w:type="pct"/>
                  <w:noWrap w:val="0"/>
                  <w:vAlign w:val="center"/>
                </w:tcPr>
                <w:p w14:paraId="00CF9F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7.28h/d</w:t>
                  </w:r>
                </w:p>
              </w:tc>
              <w:tc>
                <w:tcPr>
                  <w:tcW w:w="1200" w:type="pct"/>
                  <w:noWrap w:val="0"/>
                  <w:vAlign w:val="center"/>
                </w:tcPr>
                <w:p w14:paraId="6FB213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运行负荷3t/h；</w:t>
                  </w:r>
                </w:p>
                <w:p w14:paraId="1DB54E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运行时间4.5h/d；</w:t>
                  </w:r>
                </w:p>
                <w:p w14:paraId="2E5EC8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蒸汽产生量13.5t/d</w:t>
                  </w:r>
                </w:p>
              </w:tc>
              <w:tc>
                <w:tcPr>
                  <w:tcW w:w="1116" w:type="pct"/>
                  <w:noWrap w:val="0"/>
                  <w:vAlign w:val="center"/>
                </w:tcPr>
                <w:p w14:paraId="244C30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运行负荷0.9t/h；</w:t>
                  </w:r>
                </w:p>
                <w:p w14:paraId="5270C9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运行时间2.78h/d；</w:t>
                  </w:r>
                </w:p>
                <w:p w14:paraId="5FCEC3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蒸汽产生量2.5t/d</w:t>
                  </w:r>
                </w:p>
              </w:tc>
              <w:tc>
                <w:tcPr>
                  <w:tcW w:w="705" w:type="pct"/>
                  <w:noWrap w:val="0"/>
                  <w:vAlign w:val="center"/>
                </w:tcPr>
                <w:p w14:paraId="114D6F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2t/h</w:t>
                  </w:r>
                </w:p>
              </w:tc>
              <w:tc>
                <w:tcPr>
                  <w:tcW w:w="813" w:type="pct"/>
                  <w:noWrap w:val="0"/>
                  <w:vAlign w:val="center"/>
                </w:tcPr>
                <w:p w14:paraId="0876EE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8h/d</w:t>
                  </w:r>
                  <w:r>
                    <w:rPr>
                      <w:rFonts w:hint="eastAsia" w:cs="Times New Roman"/>
                      <w:b/>
                      <w:bCs/>
                      <w:color w:val="000000" w:themeColor="text1"/>
                      <w:sz w:val="21"/>
                      <w:szCs w:val="21"/>
                      <w:vertAlign w:val="baseline"/>
                      <w:lang w:val="en-US" w:eastAsia="zh-CN"/>
                      <w14:textFill>
                        <w14:solidFill>
                          <w14:schemeClr w14:val="tx1"/>
                        </w14:solidFill>
                      </w14:textFill>
                    </w:rPr>
                    <w:t>②</w:t>
                  </w:r>
                </w:p>
              </w:tc>
            </w:tr>
            <w:tr w14:paraId="2DF31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000" w:type="pct"/>
                  <w:gridSpan w:val="6"/>
                  <w:noWrap w:val="0"/>
                  <w:vAlign w:val="center"/>
                </w:tcPr>
                <w:p w14:paraId="218E37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备注：①</w:t>
                  </w:r>
                  <w:r>
                    <w:rPr>
                      <w:rFonts w:hint="eastAsia" w:cs="Times New Roman"/>
                      <w:b w:val="0"/>
                      <w:bCs w:val="0"/>
                      <w:color w:val="000000" w:themeColor="text1"/>
                      <w:sz w:val="21"/>
                      <w:szCs w:val="21"/>
                      <w:vertAlign w:val="baseline"/>
                      <w:lang w:val="en-US" w:eastAsia="zh-CN"/>
                      <w14:textFill>
                        <w14:solidFill>
                          <w14:schemeClr w14:val="tx1"/>
                        </w14:solidFill>
                      </w14:textFill>
                    </w:rPr>
                    <w:t>生物质锅炉最低稳燃负荷参照</w:t>
                  </w:r>
                  <w:r>
                    <w:rPr>
                      <w:rFonts w:hint="default" w:cs="Times New Roman"/>
                      <w:b w:val="0"/>
                      <w:bCs w:val="0"/>
                      <w:color w:val="000000" w:themeColor="text1"/>
                      <w:sz w:val="21"/>
                      <w:szCs w:val="21"/>
                      <w:vertAlign w:val="baseline"/>
                      <w:lang w:val="en-US" w:eastAsia="zh-CN"/>
                      <w14:textFill>
                        <w14:solidFill>
                          <w14:schemeClr w14:val="tx1"/>
                        </w14:solidFill>
                      </w14:textFill>
                    </w:rPr>
                    <w:t>《生物质锅炉技术规范》</w:t>
                  </w:r>
                  <w:r>
                    <w:rPr>
                      <w:rFonts w:hint="eastAsia" w:cs="Times New Roman"/>
                      <w:b w:val="0"/>
                      <w:bCs w:val="0"/>
                      <w:color w:val="000000" w:themeColor="text1"/>
                      <w:sz w:val="21"/>
                      <w:szCs w:val="21"/>
                      <w:vertAlign w:val="baseline"/>
                      <w:lang w:val="en-US" w:eastAsia="zh-CN"/>
                      <w14:textFill>
                        <w14:solidFill>
                          <w14:schemeClr w14:val="tx1"/>
                        </w14:solidFill>
                      </w14:textFill>
                    </w:rPr>
                    <w:t>（</w:t>
                  </w:r>
                  <w:r>
                    <w:rPr>
                      <w:rFonts w:hint="default" w:cs="Times New Roman"/>
                      <w:b w:val="0"/>
                      <w:bCs w:val="0"/>
                      <w:color w:val="000000" w:themeColor="text1"/>
                      <w:sz w:val="21"/>
                      <w:szCs w:val="21"/>
                      <w:vertAlign w:val="baseline"/>
                      <w:lang w:val="en-US" w:eastAsia="zh-CN"/>
                      <w14:textFill>
                        <w14:solidFill>
                          <w14:schemeClr w14:val="tx1"/>
                        </w14:solidFill>
                      </w14:textFill>
                    </w:rPr>
                    <w:t>GB/T 44906-2024</w:t>
                  </w:r>
                  <w:r>
                    <w:rPr>
                      <w:rFonts w:hint="eastAsia" w:cs="Times New Roman"/>
                      <w:b w:val="0"/>
                      <w:bCs w:val="0"/>
                      <w:color w:val="000000" w:themeColor="text1"/>
                      <w:sz w:val="21"/>
                      <w:szCs w:val="21"/>
                      <w:vertAlign w:val="baseline"/>
                      <w:lang w:val="en-US" w:eastAsia="zh-CN"/>
                      <w14:textFill>
                        <w14:solidFill>
                          <w14:schemeClr w14:val="tx1"/>
                        </w14:solidFill>
                      </w14:textFill>
                    </w:rPr>
                    <w:t>）“7.1.8层燃与流化床锅炉应具有良好的负荷调节性能,</w:t>
                  </w:r>
                  <w:r>
                    <w:rPr>
                      <w:rFonts w:hint="default" w:cs="Times New Roman"/>
                      <w:b w:val="0"/>
                      <w:bCs w:val="0"/>
                      <w:color w:val="000000" w:themeColor="text1"/>
                      <w:sz w:val="21"/>
                      <w:szCs w:val="21"/>
                      <w:vertAlign w:val="baseline"/>
                      <w:lang w:val="en-US" w:eastAsia="zh-CN"/>
                      <w14:textFill>
                        <w14:solidFill>
                          <w14:schemeClr w14:val="tx1"/>
                        </w14:solidFill>
                      </w14:textFill>
                    </w:rPr>
                    <w:t>最低稳燃负荷不高于30%额定负荷(或额定热功率)</w:t>
                  </w:r>
                  <w:r>
                    <w:rPr>
                      <w:rFonts w:hint="eastAsia" w:cs="Times New Roman"/>
                      <w:color w:val="000000" w:themeColor="text1"/>
                      <w:sz w:val="21"/>
                      <w:szCs w:val="21"/>
                      <w:lang w:eastAsia="zh-CN"/>
                      <w14:textFill>
                        <w14:solidFill>
                          <w14:schemeClr w14:val="tx1"/>
                        </w14:solidFill>
                      </w14:textFill>
                    </w:rPr>
                    <w:t>”，即本项目最低稳燃负荷运行设备蒸汽产生量为</w:t>
                  </w:r>
                  <w:r>
                    <w:rPr>
                      <w:rFonts w:hint="eastAsia" w:cs="Times New Roman"/>
                      <w:color w:val="000000" w:themeColor="text1"/>
                      <w:sz w:val="21"/>
                      <w:szCs w:val="21"/>
                      <w:lang w:val="en-US" w:eastAsia="zh-CN"/>
                      <w14:textFill>
                        <w14:solidFill>
                          <w14:schemeClr w14:val="tx1"/>
                        </w14:solidFill>
                      </w14:textFill>
                    </w:rPr>
                    <w:t>0.9t/h。</w:t>
                  </w:r>
                </w:p>
                <w:p w14:paraId="48E765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eastAsia="zh-CN"/>
                      <w14:textFill>
                        <w14:solidFill>
                          <w14:schemeClr w14:val="tx1"/>
                        </w14:solidFill>
                      </w14:textFill>
                    </w:rPr>
                    <w:t>②</w:t>
                  </w:r>
                  <w:r>
                    <w:rPr>
                      <w:rFonts w:hint="eastAsia" w:cs="Times New Roman"/>
                      <w:color w:val="000000" w:themeColor="text1"/>
                      <w:sz w:val="21"/>
                      <w:szCs w:val="21"/>
                      <w:lang w:eastAsia="zh-CN"/>
                      <w14:textFill>
                        <w14:solidFill>
                          <w14:schemeClr w14:val="tx1"/>
                        </w14:solidFill>
                      </w14:textFill>
                    </w:rPr>
                    <w:t>本项目依托现有</w:t>
                  </w:r>
                  <w:r>
                    <w:rPr>
                      <w:rFonts w:hint="eastAsia" w:cs="Times New Roman"/>
                      <w:color w:val="000000" w:themeColor="text1"/>
                      <w:sz w:val="21"/>
                      <w:szCs w:val="21"/>
                      <w:lang w:val="en-US" w:eastAsia="zh-CN"/>
                      <w14:textFill>
                        <w14:solidFill>
                          <w14:schemeClr w14:val="tx1"/>
                        </w14:solidFill>
                      </w14:textFill>
                    </w:rPr>
                    <w:t>1个约3m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eastAsia="zh-CN"/>
                      <w14:textFill>
                        <w14:solidFill>
                          <w14:schemeClr w14:val="tx1"/>
                        </w14:solidFill>
                      </w14:textFill>
                    </w:rPr>
                    <w:t>蒸汽罐，设备未使用的蒸汽经蒸汽罐收集后逐步使用。</w:t>
                  </w:r>
                </w:p>
              </w:tc>
            </w:tr>
          </w:tbl>
          <w:p w14:paraId="23920C45">
            <w:pPr>
              <w:pStyle w:val="51"/>
              <w:pageBreakBefore w:val="0"/>
              <w:kinsoku/>
              <w:overflowPunct/>
              <w:topLinePunct w:val="0"/>
              <w:bidi w:val="0"/>
              <w:ind w:left="0" w:leftChars="0" w:right="0" w:firstLine="480"/>
              <w:rPr>
                <w:rFonts w:ascii="Times New Roman" w:hAnsi="Times New Roman"/>
                <w:b/>
                <w:color w:val="000000" w:themeColor="text1"/>
                <w:sz w:val="24"/>
                <w14:textFill>
                  <w14:solidFill>
                    <w14:schemeClr w14:val="tx1"/>
                  </w14:solidFill>
                </w14:textFill>
              </w:rPr>
            </w:pPr>
            <w:r>
              <w:rPr>
                <w:rFonts w:ascii="Times New Roman" w:hAnsi="Times New Roman"/>
                <w:b/>
                <w:color w:val="000000" w:themeColor="text1"/>
                <w:sz w:val="24"/>
                <w14:textFill>
                  <w14:solidFill>
                    <w14:schemeClr w14:val="tx1"/>
                  </w14:solidFill>
                </w14:textFill>
              </w:rPr>
              <w:t>4、主要原辅料及用量</w:t>
            </w:r>
          </w:p>
          <w:p w14:paraId="04688F49">
            <w:pPr>
              <w:pageBreakBefore w:val="0"/>
              <w:kinsoku/>
              <w:overflowPunct/>
              <w:topLinePunct w:val="0"/>
              <w:bidi w:val="0"/>
              <w:adjustRightInd w:val="0"/>
              <w:snapToGrid w:val="0"/>
              <w:spacing w:line="360" w:lineRule="auto"/>
              <w:ind w:left="0" w:leftChars="0" w:right="0"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（1）原辅料用量</w:t>
            </w:r>
          </w:p>
          <w:p w14:paraId="3FC25473">
            <w:pPr>
              <w:pStyle w:val="18"/>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outlineLvl w:val="9"/>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eastAsia="zh-CN"/>
                <w14:textFill>
                  <w14:solidFill>
                    <w14:schemeClr w14:val="tx1"/>
                  </w14:solidFill>
                </w14:textFill>
              </w:rPr>
              <w:t>本项目</w:t>
            </w:r>
            <w:r>
              <w:rPr>
                <w:rFonts w:hint="eastAsia" w:ascii="Times New Roman" w:hAnsi="Times New Roman" w:eastAsia="宋体" w:cs="Times New Roman"/>
                <w:b w:val="0"/>
                <w:bCs w:val="0"/>
                <w:color w:val="000000" w:themeColor="text1"/>
                <w:lang w:eastAsia="zh-CN"/>
                <w14:textFill>
                  <w14:solidFill>
                    <w14:schemeClr w14:val="tx1"/>
                  </w14:solidFill>
                </w14:textFill>
              </w:rPr>
              <w:t>主要为锅炉改建以及新增环保设施，</w:t>
            </w:r>
            <w:r>
              <w:rPr>
                <w:rFonts w:hint="eastAsia" w:ascii="Times New Roman" w:hAnsi="Times New Roman" w:eastAsia="宋体" w:cs="Times New Roman"/>
                <w:b w:val="0"/>
                <w:bCs w:val="0"/>
                <w:color w:val="000000" w:themeColor="text1"/>
                <w:lang w:val="en-US" w:eastAsia="zh-CN"/>
                <w14:textFill>
                  <w14:solidFill>
                    <w14:schemeClr w14:val="tx1"/>
                  </w14:solidFill>
                </w14:textFill>
              </w:rPr>
              <w:t>不涉及现有生产线的生产工艺、产品方案、生产规模等变动</w:t>
            </w:r>
            <w:r>
              <w:rPr>
                <w:rFonts w:hint="eastAsia" w:ascii="Times New Roman" w:hAnsi="Times New Roman" w:eastAsia="宋体" w:cs="Times New Roman"/>
                <w:b w:val="0"/>
                <w:bCs w:val="0"/>
                <w:color w:val="000000" w:themeColor="text1"/>
                <w:lang w:eastAsia="zh-CN"/>
                <w14:textFill>
                  <w14:solidFill>
                    <w14:schemeClr w14:val="tx1"/>
                  </w14:solidFill>
                </w14:textFill>
              </w:rPr>
              <w:t>。</w:t>
            </w:r>
            <w:r>
              <w:rPr>
                <w:rFonts w:hint="eastAsia" w:cs="Times New Roman"/>
                <w:b w:val="0"/>
                <w:bCs w:val="0"/>
                <w:color w:val="000000" w:themeColor="text1"/>
                <w:lang w:eastAsia="zh-CN"/>
                <w14:textFill>
                  <w14:solidFill>
                    <w14:schemeClr w14:val="tx1"/>
                  </w14:solidFill>
                </w14:textFill>
              </w:rPr>
              <w:t>不涉及现有项目原料</w:t>
            </w:r>
            <w:r>
              <w:rPr>
                <w:rFonts w:hint="eastAsia" w:cs="Times New Roman"/>
                <w:b w:val="0"/>
                <w:bCs w:val="0"/>
                <w:color w:val="000000" w:themeColor="text1"/>
                <w:lang w:val="en-US" w:eastAsia="zh-CN"/>
                <w14:textFill>
                  <w14:solidFill>
                    <w14:schemeClr w14:val="tx1"/>
                  </w14:solidFill>
                </w14:textFill>
              </w:rPr>
              <w:t>EPS用量变动。</w:t>
            </w:r>
          </w:p>
          <w:p w14:paraId="50BFDDF8">
            <w:pPr>
              <w:pStyle w:val="18"/>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outlineLvl w:val="9"/>
              <w:rPr>
                <w:bCs/>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项目主要原辅材料及能源消耗见</w:t>
            </w:r>
            <w:r>
              <w:rPr>
                <w:rFonts w:hint="default" w:ascii="Times New Roman" w:hAnsi="Times New Roman" w:eastAsia="宋体" w:cs="Times New Roman"/>
                <w:b w:val="0"/>
                <w:bCs w:val="0"/>
                <w:color w:val="000000" w:themeColor="text1"/>
                <w:lang w:eastAsia="zh-CN"/>
                <w14:textFill>
                  <w14:solidFill>
                    <w14:schemeClr w14:val="tx1"/>
                  </w14:solidFill>
                </w14:textFill>
              </w:rPr>
              <w:t>下</w:t>
            </w:r>
            <w:r>
              <w:rPr>
                <w:rFonts w:hint="default" w:ascii="Times New Roman" w:hAnsi="Times New Roman" w:eastAsia="宋体" w:cs="Times New Roman"/>
                <w:b w:val="0"/>
                <w:bCs w:val="0"/>
                <w:color w:val="000000" w:themeColor="text1"/>
                <w14:textFill>
                  <w14:solidFill>
                    <w14:schemeClr w14:val="tx1"/>
                  </w14:solidFill>
                </w14:textFill>
              </w:rPr>
              <w:t>表</w:t>
            </w:r>
            <w:r>
              <w:rPr>
                <w:bCs/>
                <w:color w:val="000000" w:themeColor="text1"/>
                <w:sz w:val="24"/>
                <w14:textFill>
                  <w14:solidFill>
                    <w14:schemeClr w14:val="tx1"/>
                  </w14:solidFill>
                </w14:textFill>
              </w:rPr>
              <w:t>。</w:t>
            </w:r>
          </w:p>
          <w:p w14:paraId="0B8ED37D">
            <w:pPr>
              <w:keepNext w:val="0"/>
              <w:keepLines w:val="0"/>
              <w:pageBreakBefore w:val="0"/>
              <w:widowControl w:val="0"/>
              <w:tabs>
                <w:tab w:val="left" w:pos="6489"/>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表2-</w:t>
            </w:r>
            <w:r>
              <w:rPr>
                <w:rFonts w:hint="eastAsia" w:cs="Times New Roman"/>
                <w:b/>
                <w:bCs/>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原辅材料消耗表</w:t>
            </w:r>
          </w:p>
          <w:tbl>
            <w:tblPr>
              <w:tblStyle w:val="33"/>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18"/>
              <w:gridCol w:w="2010"/>
              <w:gridCol w:w="2781"/>
              <w:gridCol w:w="3005"/>
            </w:tblGrid>
            <w:tr w14:paraId="47082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367" w:type="pct"/>
                  <w:tcBorders>
                    <w:tl2br w:val="nil"/>
                    <w:tr2bl w:val="nil"/>
                  </w:tcBorders>
                  <w:noWrap w:val="0"/>
                  <w:vAlign w:val="center"/>
                </w:tcPr>
                <w:p w14:paraId="3F24BB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序号</w:t>
                  </w:r>
                </w:p>
              </w:tc>
              <w:tc>
                <w:tcPr>
                  <w:tcW w:w="1194" w:type="pct"/>
                  <w:tcBorders>
                    <w:tl2br w:val="nil"/>
                    <w:tr2bl w:val="nil"/>
                  </w:tcBorders>
                  <w:noWrap w:val="0"/>
                  <w:vAlign w:val="center"/>
                </w:tcPr>
                <w:p w14:paraId="1934A5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原辅料</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名称</w:t>
                  </w:r>
                </w:p>
              </w:tc>
              <w:tc>
                <w:tcPr>
                  <w:tcW w:w="1652" w:type="pct"/>
                  <w:tcBorders>
                    <w:tl2br w:val="nil"/>
                    <w:tr2bl w:val="nil"/>
                  </w:tcBorders>
                  <w:noWrap w:val="0"/>
                  <w:vAlign w:val="center"/>
                </w:tcPr>
                <w:p w14:paraId="766BDE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本项目用量</w:t>
                  </w:r>
                </w:p>
              </w:tc>
              <w:tc>
                <w:tcPr>
                  <w:tcW w:w="1785" w:type="pct"/>
                  <w:tcBorders>
                    <w:tl2br w:val="nil"/>
                    <w:tr2bl w:val="nil"/>
                  </w:tcBorders>
                  <w:noWrap w:val="0"/>
                  <w:vAlign w:val="center"/>
                </w:tcPr>
                <w:p w14:paraId="348F5C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备注</w:t>
                  </w:r>
                </w:p>
              </w:tc>
            </w:tr>
            <w:tr w14:paraId="020E16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07" w:hRule="atLeast"/>
                <w:jc w:val="center"/>
              </w:trPr>
              <w:tc>
                <w:tcPr>
                  <w:tcW w:w="367" w:type="pct"/>
                  <w:tcBorders>
                    <w:tl2br w:val="nil"/>
                    <w:tr2bl w:val="nil"/>
                  </w:tcBorders>
                  <w:noWrap w:val="0"/>
                  <w:vAlign w:val="center"/>
                </w:tcPr>
                <w:p w14:paraId="01FE0C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194" w:type="pct"/>
                  <w:tcBorders>
                    <w:tl2br w:val="nil"/>
                    <w:tr2bl w:val="nil"/>
                  </w:tcBorders>
                  <w:noWrap w:val="0"/>
                  <w:vAlign w:val="center"/>
                </w:tcPr>
                <w:p w14:paraId="012D43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生物质燃料</w:t>
                  </w:r>
                </w:p>
              </w:tc>
              <w:tc>
                <w:tcPr>
                  <w:tcW w:w="1652" w:type="pct"/>
                  <w:tcBorders>
                    <w:tl2br w:val="nil"/>
                    <w:tr2bl w:val="nil"/>
                  </w:tcBorders>
                  <w:noWrap w:val="0"/>
                  <w:vAlign w:val="center"/>
                </w:tcPr>
                <w:p w14:paraId="7C9FCC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871.435</w:t>
                  </w:r>
                  <w:r>
                    <w:rPr>
                      <w:rFonts w:hint="eastAsia" w:cs="Times New Roman"/>
                      <w:b w:val="0"/>
                      <w:bCs w:val="0"/>
                      <w:color w:val="000000" w:themeColor="text1"/>
                      <w:sz w:val="21"/>
                      <w:szCs w:val="21"/>
                      <w:lang w:val="en-US" w:eastAsia="zh-CN"/>
                      <w14:textFill>
                        <w14:solidFill>
                          <w14:schemeClr w14:val="tx1"/>
                        </w14:solidFill>
                      </w14:textFill>
                    </w:rPr>
                    <w:t>t/a</w:t>
                  </w:r>
                </w:p>
              </w:tc>
              <w:tc>
                <w:tcPr>
                  <w:tcW w:w="1785" w:type="pct"/>
                  <w:tcBorders>
                    <w:tl2br w:val="nil"/>
                    <w:tr2bl w:val="nil"/>
                  </w:tcBorders>
                  <w:noWrap w:val="0"/>
                  <w:vAlign w:val="center"/>
                </w:tcPr>
                <w:p w14:paraId="00ACCB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外购；1t/袋；存放于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锅炉房</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14:paraId="2644CC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预计最大储存量为</w:t>
                  </w:r>
                  <w:r>
                    <w:rPr>
                      <w:rFonts w:hint="eastAsia" w:cs="Times New Roman"/>
                      <w:color w:val="000000" w:themeColor="text1"/>
                      <w:sz w:val="21"/>
                      <w:szCs w:val="21"/>
                      <w:lang w:val="en-US" w:eastAsia="zh-CN"/>
                      <w14:textFill>
                        <w14:solidFill>
                          <w14:schemeClr w14:val="tx1"/>
                        </w14:solidFill>
                      </w14:textFill>
                    </w:rPr>
                    <w:t>50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w:t>
                  </w:r>
                </w:p>
              </w:tc>
            </w:tr>
            <w:tr w14:paraId="3CA9CA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07" w:hRule="atLeast"/>
                <w:jc w:val="center"/>
              </w:trPr>
              <w:tc>
                <w:tcPr>
                  <w:tcW w:w="367" w:type="pct"/>
                  <w:tcBorders>
                    <w:tl2br w:val="nil"/>
                    <w:tr2bl w:val="nil"/>
                  </w:tcBorders>
                  <w:noWrap w:val="0"/>
                  <w:vAlign w:val="center"/>
                </w:tcPr>
                <w:p w14:paraId="625074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2</w:t>
                  </w:r>
                </w:p>
              </w:tc>
              <w:tc>
                <w:tcPr>
                  <w:tcW w:w="1194" w:type="pct"/>
                  <w:tcBorders>
                    <w:tl2br w:val="nil"/>
                    <w:tr2bl w:val="nil"/>
                  </w:tcBorders>
                  <w:noWrap w:val="0"/>
                  <w:vAlign w:val="center"/>
                </w:tcPr>
                <w:p w14:paraId="2D3A82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活性炭</w:t>
                  </w:r>
                </w:p>
              </w:tc>
              <w:tc>
                <w:tcPr>
                  <w:tcW w:w="1652" w:type="pct"/>
                  <w:tcBorders>
                    <w:tl2br w:val="nil"/>
                    <w:tr2bl w:val="nil"/>
                  </w:tcBorders>
                  <w:noWrap w:val="0"/>
                  <w:vAlign w:val="center"/>
                </w:tcPr>
                <w:p w14:paraId="679E89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1.32</w:t>
                  </w:r>
                  <w:r>
                    <w:rPr>
                      <w:rFonts w:hint="eastAsia" w:cs="Times New Roman"/>
                      <w:b w:val="0"/>
                      <w:bCs w:val="0"/>
                      <w:color w:val="000000" w:themeColor="text1"/>
                      <w:sz w:val="21"/>
                      <w:szCs w:val="21"/>
                      <w:lang w:val="en-US" w:eastAsia="zh-CN"/>
                      <w14:textFill>
                        <w14:solidFill>
                          <w14:schemeClr w14:val="tx1"/>
                        </w14:solidFill>
                      </w14:textFill>
                    </w:rPr>
                    <w:t>t/a</w:t>
                  </w:r>
                </w:p>
              </w:tc>
              <w:tc>
                <w:tcPr>
                  <w:tcW w:w="1785" w:type="pct"/>
                  <w:tcBorders>
                    <w:tl2br w:val="nil"/>
                    <w:tr2bl w:val="nil"/>
                  </w:tcBorders>
                  <w:noWrap w:val="0"/>
                  <w:vAlign w:val="center"/>
                </w:tcPr>
                <w:p w14:paraId="0DEA06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14:paraId="433D2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07" w:hRule="atLeast"/>
                <w:jc w:val="center"/>
              </w:trPr>
              <w:tc>
                <w:tcPr>
                  <w:tcW w:w="367" w:type="pct"/>
                  <w:tcBorders>
                    <w:tl2br w:val="nil"/>
                    <w:tr2bl w:val="nil"/>
                  </w:tcBorders>
                  <w:noWrap w:val="0"/>
                  <w:vAlign w:val="center"/>
                </w:tcPr>
                <w:p w14:paraId="31E4CB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1194" w:type="pct"/>
                  <w:tcBorders>
                    <w:tl2br w:val="nil"/>
                    <w:tr2bl w:val="nil"/>
                  </w:tcBorders>
                  <w:noWrap w:val="0"/>
                  <w:vAlign w:val="center"/>
                </w:tcPr>
                <w:p w14:paraId="4417B4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PAC（</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1"/>
                      <w:szCs w:val="21"/>
                      <w:lang w:val="en-US" w:eastAsia="zh-CN"/>
                      <w14:textFill>
                        <w14:solidFill>
                          <w14:schemeClr w14:val="tx1"/>
                        </w14:solidFill>
                      </w14:textFill>
                    </w:rPr>
                    <w:instrText xml:space="preserve"> HYPERLINK "http://www.baidu.com/link?url=Votrhpx6zP9pRpbMADNz63_uA4NKo_AXxTvy_dBVEhMj43InuQn9lK37wEO0xUWvR49zPoG4di50IpuLcYfjaM0uBAjME1bSvruqyTCGbYtis5ztz6hW_0Xvug3n5yVn1sRAM3_DN_Ay7K6OoxPgbHPEYwGXi3xZiDr68cZRe3Bitc7hbkxuuGYui9uegRzH" \t "https://www.baidu.com/_blank" </w:instrTex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聚合氯化铝净水剂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652" w:type="pct"/>
                  <w:tcBorders>
                    <w:tl2br w:val="nil"/>
                    <w:tr2bl w:val="nil"/>
                  </w:tcBorders>
                  <w:noWrap w:val="0"/>
                  <w:vAlign w:val="center"/>
                </w:tcPr>
                <w:p w14:paraId="2D6D4D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3t/a</w:t>
                  </w:r>
                </w:p>
              </w:tc>
              <w:tc>
                <w:tcPr>
                  <w:tcW w:w="1785" w:type="pct"/>
                  <w:tcBorders>
                    <w:tl2br w:val="nil"/>
                    <w:tr2bl w:val="nil"/>
                  </w:tcBorders>
                  <w:noWrap w:val="0"/>
                  <w:vAlign w:val="center"/>
                </w:tcPr>
                <w:p w14:paraId="78F9F8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通过添加混凝剂，使锅炉排污水、软水制备废水中的悬浮物、胶体物质及部分溶解性物质形成易于沉淀的絮体，通过沉淀去除。</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外购桶装PAC，放置于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收集池旁。</w:t>
                  </w:r>
                </w:p>
              </w:tc>
            </w:tr>
            <w:tr w14:paraId="465A5D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367" w:type="pct"/>
                  <w:tcBorders>
                    <w:tl2br w:val="nil"/>
                    <w:tr2bl w:val="nil"/>
                  </w:tcBorders>
                  <w:noWrap w:val="0"/>
                  <w:vAlign w:val="center"/>
                </w:tcPr>
                <w:p w14:paraId="4D620A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c>
                <w:tcPr>
                  <w:tcW w:w="1194" w:type="pct"/>
                  <w:tcBorders>
                    <w:tl2br w:val="nil"/>
                    <w:tr2bl w:val="nil"/>
                  </w:tcBorders>
                  <w:noWrap w:val="0"/>
                  <w:vAlign w:val="center"/>
                </w:tcPr>
                <w:p w14:paraId="3DD8D5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次氯酸钠</w:t>
                  </w:r>
                </w:p>
              </w:tc>
              <w:tc>
                <w:tcPr>
                  <w:tcW w:w="1652" w:type="pct"/>
                  <w:tcBorders>
                    <w:tl2br w:val="nil"/>
                    <w:tr2bl w:val="nil"/>
                  </w:tcBorders>
                  <w:noWrap w:val="0"/>
                  <w:vAlign w:val="center"/>
                </w:tcPr>
                <w:p w14:paraId="43C6FC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4kg/a</w:t>
                  </w:r>
                </w:p>
              </w:tc>
              <w:tc>
                <w:tcPr>
                  <w:tcW w:w="1785" w:type="pct"/>
                  <w:tcBorders>
                    <w:tl2br w:val="nil"/>
                    <w:tr2bl w:val="nil"/>
                  </w:tcBorders>
                  <w:noWrap w:val="0"/>
                  <w:vAlign w:val="center"/>
                </w:tcPr>
                <w:p w14:paraId="6C4591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生活污水经一体化生活污水处理设施处理后投加次氯酸钠进行消毒</w:t>
                  </w:r>
                </w:p>
              </w:tc>
            </w:tr>
            <w:tr w14:paraId="5FC25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367" w:type="pct"/>
                  <w:tcBorders>
                    <w:tl2br w:val="nil"/>
                    <w:tr2bl w:val="nil"/>
                  </w:tcBorders>
                  <w:noWrap w:val="0"/>
                  <w:vAlign w:val="center"/>
                </w:tcPr>
                <w:p w14:paraId="3ADBFA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1194" w:type="pct"/>
                  <w:tcBorders>
                    <w:tl2br w:val="nil"/>
                    <w:tr2bl w:val="nil"/>
                  </w:tcBorders>
                  <w:noWrap w:val="0"/>
                  <w:vAlign w:val="center"/>
                </w:tcPr>
                <w:p w14:paraId="12DC66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w:t>
                  </w:r>
                </w:p>
              </w:tc>
              <w:tc>
                <w:tcPr>
                  <w:tcW w:w="1652" w:type="pct"/>
                  <w:tcBorders>
                    <w:tl2br w:val="nil"/>
                    <w:tr2bl w:val="nil"/>
                  </w:tcBorders>
                  <w:noWrap w:val="0"/>
                  <w:vAlign w:val="center"/>
                </w:tcPr>
                <w:p w14:paraId="0954EE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1972.8m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/a</w:t>
                  </w:r>
                </w:p>
              </w:tc>
              <w:tc>
                <w:tcPr>
                  <w:tcW w:w="1785" w:type="pct"/>
                  <w:tcBorders>
                    <w:tl2br w:val="nil"/>
                    <w:tr2bl w:val="nil"/>
                  </w:tcBorders>
                  <w:noWrap w:val="0"/>
                  <w:vAlign w:val="center"/>
                </w:tcPr>
                <w:p w14:paraId="29A548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由周边市政管网供给</w:t>
                  </w:r>
                </w:p>
              </w:tc>
            </w:tr>
            <w:tr w14:paraId="2D9617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367" w:type="pct"/>
                  <w:tcBorders>
                    <w:tl2br w:val="nil"/>
                    <w:tr2bl w:val="nil"/>
                  </w:tcBorders>
                  <w:noWrap w:val="0"/>
                  <w:vAlign w:val="center"/>
                </w:tcPr>
                <w:p w14:paraId="00463E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p>
              </w:tc>
              <w:tc>
                <w:tcPr>
                  <w:tcW w:w="1194" w:type="pct"/>
                  <w:tcBorders>
                    <w:tl2br w:val="nil"/>
                    <w:tr2bl w:val="nil"/>
                  </w:tcBorders>
                  <w:noWrap w:val="0"/>
                  <w:vAlign w:val="center"/>
                </w:tcPr>
                <w:p w14:paraId="2BFBE4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电</w:t>
                  </w:r>
                </w:p>
              </w:tc>
              <w:tc>
                <w:tcPr>
                  <w:tcW w:w="1652" w:type="pct"/>
                  <w:tcBorders>
                    <w:tl2br w:val="nil"/>
                    <w:tr2bl w:val="nil"/>
                  </w:tcBorders>
                  <w:noWrap w:val="0"/>
                  <w:vAlign w:val="center"/>
                </w:tcPr>
                <w:p w14:paraId="183914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万Kwh/a</w:t>
                  </w:r>
                </w:p>
              </w:tc>
              <w:tc>
                <w:tcPr>
                  <w:tcW w:w="1785" w:type="pct"/>
                  <w:tcBorders>
                    <w:tl2br w:val="nil"/>
                    <w:tr2bl w:val="nil"/>
                  </w:tcBorders>
                  <w:noWrap w:val="0"/>
                  <w:vAlign w:val="center"/>
                </w:tcPr>
                <w:p w14:paraId="2593EB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由周边市政电网提供</w:t>
                  </w:r>
                </w:p>
              </w:tc>
            </w:tr>
            <w:tr w14:paraId="42D470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367" w:type="pct"/>
                  <w:tcBorders>
                    <w:tl2br w:val="nil"/>
                    <w:tr2bl w:val="nil"/>
                  </w:tcBorders>
                  <w:noWrap w:val="0"/>
                  <w:vAlign w:val="center"/>
                </w:tcPr>
                <w:p w14:paraId="203F97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w:t>
                  </w:r>
                </w:p>
              </w:tc>
              <w:tc>
                <w:tcPr>
                  <w:tcW w:w="1194" w:type="pct"/>
                  <w:tcBorders>
                    <w:tl2br w:val="nil"/>
                    <w:tr2bl w:val="nil"/>
                  </w:tcBorders>
                  <w:noWrap w:val="0"/>
                  <w:vAlign w:val="center"/>
                </w:tcPr>
                <w:p w14:paraId="2F41DC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软水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盐</w:t>
                  </w:r>
                </w:p>
              </w:tc>
              <w:tc>
                <w:tcPr>
                  <w:tcW w:w="1652" w:type="pct"/>
                  <w:tcBorders>
                    <w:tl2br w:val="nil"/>
                    <w:tr2bl w:val="nil"/>
                  </w:tcBorders>
                  <w:noWrap w:val="0"/>
                  <w:vAlign w:val="center"/>
                </w:tcPr>
                <w:p w14:paraId="2A5B0F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5.76</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t/a</w:t>
                  </w:r>
                </w:p>
              </w:tc>
              <w:tc>
                <w:tcPr>
                  <w:tcW w:w="1785" w:type="pct"/>
                  <w:tcBorders>
                    <w:tl2br w:val="nil"/>
                    <w:tr2bl w:val="nil"/>
                  </w:tcBorders>
                  <w:noWrap w:val="0"/>
                  <w:vAlign w:val="center"/>
                </w:tcPr>
                <w:p w14:paraId="46422E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外购；离子交换树脂反冲洗使用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袋</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装</w:t>
                  </w:r>
                  <w:r>
                    <w:rPr>
                      <w:rFonts w:hint="eastAsia" w:cs="Times New Roman"/>
                      <w:color w:val="000000" w:themeColor="text1"/>
                      <w:sz w:val="21"/>
                      <w:szCs w:val="21"/>
                      <w:lang w:val="en-US" w:eastAsia="zh-CN"/>
                      <w14:textFill>
                        <w14:solidFill>
                          <w14:schemeClr w14:val="tx1"/>
                        </w14:solidFill>
                      </w14:textFill>
                    </w:rPr>
                    <w:t>软水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盐</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堆放于</w:t>
                  </w:r>
                  <w:r>
                    <w:rPr>
                      <w:rFonts w:hint="eastAsia" w:cs="Times New Roman"/>
                      <w:color w:val="000000" w:themeColor="text1"/>
                      <w:kern w:val="2"/>
                      <w:sz w:val="21"/>
                      <w:szCs w:val="21"/>
                      <w:lang w:val="en-US" w:eastAsia="zh-CN" w:bidi="ar-SA"/>
                      <w14:textFill>
                        <w14:solidFill>
                          <w14:schemeClr w14:val="tx1"/>
                        </w14:solidFill>
                      </w14:textFill>
                    </w:rPr>
                    <w:t>生产车间废水处理物料暂存区内</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每袋约25kg。每次购买量约5袋，即最大存量约为0.125t。</w:t>
                  </w:r>
                </w:p>
              </w:tc>
            </w:tr>
          </w:tbl>
          <w:p w14:paraId="3E7C6852">
            <w:pPr>
              <w:pStyle w:val="18"/>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outlineLvl w:val="9"/>
              <w:rPr>
                <w:rFonts w:hint="eastAsia" w:eastAsia="宋体" w:cs="Times New Roman"/>
                <w:b w:val="0"/>
                <w:bCs/>
                <w:color w:val="000000" w:themeColor="text1"/>
                <w:sz w:val="24"/>
                <w:szCs w:val="24"/>
                <w:lang w:val="en-US" w:eastAsia="zh-CN"/>
                <w14:textFill>
                  <w14:solidFill>
                    <w14:schemeClr w14:val="tx1"/>
                  </w14:solidFill>
                </w14:textFill>
              </w:rPr>
            </w:pPr>
            <w:r>
              <w:rPr>
                <w:rFonts w:hint="eastAsia" w:eastAsia="宋体" w:cs="Times New Roman"/>
                <w:b/>
                <w:bCs w:val="0"/>
                <w:color w:val="000000" w:themeColor="text1"/>
                <w:sz w:val="24"/>
                <w:szCs w:val="24"/>
                <w:lang w:val="en-US" w:eastAsia="zh-CN"/>
                <w14:textFill>
                  <w14:solidFill>
                    <w14:schemeClr w14:val="tx1"/>
                  </w14:solidFill>
                </w14:textFill>
              </w:rPr>
              <w:t>燃料使用要求：</w:t>
            </w:r>
            <w:r>
              <w:rPr>
                <w:rFonts w:hint="eastAsia" w:eastAsia="宋体" w:cs="Times New Roman"/>
                <w:b w:val="0"/>
                <w:bCs/>
                <w:color w:val="000000" w:themeColor="text1"/>
                <w:sz w:val="24"/>
                <w:szCs w:val="24"/>
                <w:lang w:val="en-US" w:eastAsia="zh-CN"/>
                <w14:textFill>
                  <w14:solidFill>
                    <w14:schemeClr w14:val="tx1"/>
                  </w14:solidFill>
                </w14:textFill>
              </w:rPr>
              <w:t>①必须向正规厂商购进合格的生物质成型燃料（颗粒状、棒状、块状、片状等），禁止使用粉状及其他非生物质成型燃料；②生物质成型燃料不得沾染废机油、夹带塑料和生活垃圾，不得沾染其他有毒有害物质。</w:t>
            </w:r>
          </w:p>
          <w:p w14:paraId="17A88D2F">
            <w:pPr>
              <w:pStyle w:val="18"/>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outlineLvl w:val="9"/>
              <w:rPr>
                <w:rFonts w:hint="default" w:cs="Times New Roman"/>
                <w:b w:val="0"/>
                <w:bCs/>
                <w:color w:val="000000" w:themeColor="text1"/>
                <w:sz w:val="24"/>
                <w:szCs w:val="24"/>
                <w:lang w:val="en-US" w:eastAsia="zh-CN"/>
                <w14:textFill>
                  <w14:solidFill>
                    <w14:schemeClr w14:val="tx1"/>
                  </w14:solidFill>
                </w14:textFill>
              </w:rPr>
            </w:pPr>
            <w:r>
              <w:rPr>
                <w:rFonts w:hint="eastAsia" w:cs="Times New Roman"/>
                <w:b/>
                <w:bCs w:val="0"/>
                <w:color w:val="000000" w:themeColor="text1"/>
                <w:sz w:val="24"/>
                <w:szCs w:val="24"/>
                <w:lang w:eastAsia="zh-CN"/>
                <w14:textFill>
                  <w14:solidFill>
                    <w14:schemeClr w14:val="tx1"/>
                  </w14:solidFill>
                </w14:textFill>
              </w:rPr>
              <w:t>次氯酸钠用量：</w:t>
            </w:r>
            <w:r>
              <w:rPr>
                <w:rFonts w:hint="eastAsia" w:cs="Times New Roman"/>
                <w:b w:val="0"/>
                <w:bCs/>
                <w:color w:val="000000" w:themeColor="text1"/>
                <w:sz w:val="24"/>
                <w:szCs w:val="24"/>
                <w:lang w:eastAsia="zh-CN"/>
                <w14:textFill>
                  <w14:solidFill>
                    <w14:schemeClr w14:val="tx1"/>
                  </w14:solidFill>
                </w14:textFill>
              </w:rPr>
              <w:t>项目污水处理设施年处理生活污水</w:t>
            </w:r>
            <w:r>
              <w:rPr>
                <w:rFonts w:hint="eastAsia" w:cs="Times New Roman"/>
                <w:b w:val="0"/>
                <w:bCs/>
                <w:color w:val="000000" w:themeColor="text1"/>
                <w:sz w:val="24"/>
                <w:szCs w:val="24"/>
                <w:lang w:val="en-US" w:eastAsia="zh-CN"/>
                <w14:textFill>
                  <w14:solidFill>
                    <w14:schemeClr w14:val="tx1"/>
                  </w14:solidFill>
                </w14:textFill>
              </w:rPr>
              <w:t>187.2m</w:t>
            </w:r>
            <w:r>
              <w:rPr>
                <w:rFonts w:hint="eastAsia" w:cs="Times New Roman"/>
                <w:b w:val="0"/>
                <w:bCs/>
                <w:color w:val="000000" w:themeColor="text1"/>
                <w:sz w:val="24"/>
                <w:szCs w:val="24"/>
                <w:vertAlign w:val="superscript"/>
                <w:lang w:val="en-US" w:eastAsia="zh-CN"/>
                <w14:textFill>
                  <w14:solidFill>
                    <w14:schemeClr w14:val="tx1"/>
                  </w14:solidFill>
                </w14:textFill>
              </w:rPr>
              <w:t>3</w:t>
            </w:r>
            <w:r>
              <w:rPr>
                <w:rFonts w:hint="eastAsia" w:cs="Times New Roman"/>
                <w:b w:val="0"/>
                <w:bCs/>
                <w:color w:val="000000" w:themeColor="text1"/>
                <w:sz w:val="24"/>
                <w:szCs w:val="24"/>
                <w:lang w:val="en-US" w:eastAsia="zh-CN"/>
                <w14:textFill>
                  <w14:solidFill>
                    <w14:schemeClr w14:val="tx1"/>
                  </w14:solidFill>
                </w14:textFill>
              </w:rPr>
              <w:t>/a，处理后的污水需进行消毒，本次采用投加次氯酸钠进行消毒。根据</w:t>
            </w:r>
            <w:r>
              <w:rPr>
                <w:rFonts w:hint="default" w:ascii="Times New Roman" w:hAnsi="Times New Roman" w:eastAsia="宋体" w:cs="Times New Roman"/>
                <w:color w:val="000000" w:themeColor="text1"/>
                <w:sz w:val="24"/>
                <w:lang w:val="en-US" w:eastAsia="zh-CN"/>
                <w14:textFill>
                  <w14:solidFill>
                    <w14:schemeClr w14:val="tx1"/>
                  </w14:solidFill>
                </w14:textFill>
              </w:rPr>
              <w:t>《城市污水再生利用  城市杂用水水质》（GB/T 18920-2020）</w:t>
            </w:r>
            <w:r>
              <w:rPr>
                <w:rFonts w:hint="eastAsia" w:ascii="Times New Roman" w:hAnsi="Times New Roman" w:eastAsia="宋体" w:cs="Times New Roman"/>
                <w:color w:val="000000" w:themeColor="text1"/>
                <w:sz w:val="24"/>
                <w:lang w:val="en-US" w:eastAsia="zh-CN"/>
                <w14:textFill>
                  <w14:solidFill>
                    <w14:schemeClr w14:val="tx1"/>
                  </w14:solidFill>
                </w14:textFill>
              </w:rPr>
              <w:t>绿化标准中管网末端总氯要求为大于等于0.2mg/L，用于绿化时不应超过2.5mg/L，同时根据调查市场上外售桶装次氯酸钠溶液浓度约为10%，即（187.2*1000）*0.2/0.1=374400mg=0.3744kg；（187.2*1000）*2.5/0.1=468000mg=4.68kg；即年次氯酸钠用量应为0.3774kg~4.68kg之间，本项目年次氯酸钠用量以4kg计。</w:t>
            </w:r>
          </w:p>
          <w:p w14:paraId="4275D97A">
            <w:pPr>
              <w:pStyle w:val="18"/>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outlineLvl w:val="9"/>
              <w:rPr>
                <w:rFonts w:hint="default" w:ascii="Times New Roman" w:hAnsi="Times New Roman" w:eastAsia="宋体" w:cs="Times New Roman"/>
                <w:b w:val="0"/>
                <w:bCs/>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b/>
                <w:bCs w:val="0"/>
                <w:color w:val="000000" w:themeColor="text1"/>
                <w:sz w:val="24"/>
                <w:szCs w:val="24"/>
                <w:lang w:eastAsia="zh-CN"/>
                <w14:textFill>
                  <w14:solidFill>
                    <w14:schemeClr w14:val="tx1"/>
                  </w14:solidFill>
                </w14:textFill>
              </w:rPr>
              <w:t>生物质燃料：</w:t>
            </w:r>
            <w:r>
              <w:rPr>
                <w:rFonts w:hint="default" w:ascii="Times New Roman" w:hAnsi="Times New Roman" w:cs="Times New Roman"/>
                <w:b w:val="0"/>
                <w:bCs/>
                <w:color w:val="000000" w:themeColor="text1"/>
                <w:sz w:val="24"/>
                <w:szCs w:val="24"/>
                <w:lang w:eastAsia="zh-CN"/>
                <w14:textFill>
                  <w14:solidFill>
                    <w14:schemeClr w14:val="tx1"/>
                  </w14:solidFill>
                </w14:textFill>
              </w:rPr>
              <w:t>生物质燃料为</w:t>
            </w:r>
            <w:r>
              <w:rPr>
                <w:rFonts w:hint="default" w:ascii="Times New Roman" w:hAnsi="Times New Roman" w:cs="Times New Roman"/>
                <w:b w:val="0"/>
                <w:bCs/>
                <w:color w:val="000000" w:themeColor="text1"/>
                <w:spacing w:val="-5"/>
                <w:sz w:val="24"/>
                <w:szCs w:val="24"/>
                <w14:textFill>
                  <w14:solidFill>
                    <w14:schemeClr w14:val="tx1"/>
                  </w14:solidFill>
                </w14:textFill>
              </w:rPr>
              <w:t>由秸秆、稻草、稻壳、花生壳、玉米芯、油茶壳</w:t>
            </w:r>
            <w:r>
              <w:rPr>
                <w:rFonts w:hint="default" w:ascii="Times New Roman" w:hAnsi="Times New Roman" w:cs="Times New Roman"/>
                <w:b w:val="0"/>
                <w:bCs/>
                <w:color w:val="000000" w:themeColor="text1"/>
                <w:sz w:val="24"/>
                <w:szCs w:val="24"/>
                <w14:textFill>
                  <w14:solidFill>
                    <w14:schemeClr w14:val="tx1"/>
                  </w14:solidFill>
                </w14:textFill>
              </w:rPr>
              <w:t>、棉籽壳等以及</w:t>
            </w:r>
            <w:r>
              <w:rPr>
                <w:rFonts w:hint="eastAsia" w:cs="Times New Roman"/>
                <w:b w:val="0"/>
                <w:bCs/>
                <w:color w:val="000000" w:themeColor="text1"/>
                <w:sz w:val="24"/>
                <w:szCs w:val="24"/>
                <w:lang w:eastAsia="zh-CN"/>
                <w14:textFill>
                  <w14:solidFill>
                    <w14:schemeClr w14:val="tx1"/>
                  </w14:solidFill>
                </w14:textFill>
              </w:rPr>
              <w:t>“</w:t>
            </w:r>
            <w:r>
              <w:rPr>
                <w:rFonts w:hint="default" w:ascii="Times New Roman" w:hAnsi="Times New Roman" w:cs="Times New Roman"/>
                <w:b w:val="0"/>
                <w:bCs/>
                <w:color w:val="000000" w:themeColor="text1"/>
                <w:sz w:val="24"/>
                <w:szCs w:val="24"/>
                <w14:textFill>
                  <w14:solidFill>
                    <w14:schemeClr w14:val="tx1"/>
                  </w14:solidFill>
                </w14:textFill>
              </w:rPr>
              <w:t>三剩物</w:t>
            </w:r>
            <w:r>
              <w:rPr>
                <w:rFonts w:hint="eastAsia" w:cs="Times New Roman"/>
                <w:b w:val="0"/>
                <w:bCs/>
                <w:color w:val="000000" w:themeColor="text1"/>
                <w:sz w:val="24"/>
                <w:szCs w:val="24"/>
                <w:lang w:eastAsia="zh-CN"/>
                <w14:textFill>
                  <w14:solidFill>
                    <w14:schemeClr w14:val="tx1"/>
                  </w14:solidFill>
                </w14:textFill>
              </w:rPr>
              <w:t>”</w:t>
            </w:r>
            <w:r>
              <w:rPr>
                <w:rFonts w:hint="default" w:ascii="Times New Roman" w:hAnsi="Times New Roman" w:cs="Times New Roman"/>
                <w:b w:val="0"/>
                <w:bCs/>
                <w:color w:val="000000" w:themeColor="text1"/>
                <w:sz w:val="24"/>
                <w:szCs w:val="24"/>
                <w14:textFill>
                  <w14:solidFill>
                    <w14:schemeClr w14:val="tx1"/>
                  </w14:solidFill>
                </w14:textFill>
              </w:rPr>
              <w:t>经过加工产生的</w:t>
            </w:r>
            <w:r>
              <w:rPr>
                <w:rFonts w:hint="eastAsia" w:cs="Times New Roman"/>
                <w:b w:val="0"/>
                <w:bCs/>
                <w:color w:val="000000" w:themeColor="text1"/>
                <w:sz w:val="24"/>
                <w:szCs w:val="24"/>
                <w:lang w:eastAsia="zh-CN"/>
                <w14:textFill>
                  <w14:solidFill>
                    <w14:schemeClr w14:val="tx1"/>
                  </w14:solidFill>
                </w14:textFill>
              </w:rPr>
              <w:t>燃料</w:t>
            </w:r>
            <w:r>
              <w:rPr>
                <w:rFonts w:hint="default" w:ascii="Times New Roman" w:hAnsi="Times New Roman" w:cs="Times New Roman"/>
                <w:b w:val="0"/>
                <w:bCs/>
                <w:color w:val="000000" w:themeColor="text1"/>
                <w:sz w:val="24"/>
                <w:szCs w:val="24"/>
                <w14:textFill>
                  <w14:solidFill>
                    <w14:schemeClr w14:val="tx1"/>
                  </w14:solidFill>
                </w14:textFill>
              </w:rPr>
              <w:t>。</w:t>
            </w:r>
            <w:r>
              <w:rPr>
                <w:rFonts w:hint="default" w:ascii="Times New Roman" w:hAnsi="Times New Roman" w:cs="Times New Roman"/>
                <w:b w:val="0"/>
                <w:bCs/>
                <w:color w:val="000000" w:themeColor="text1"/>
                <w:sz w:val="24"/>
                <w:szCs w:val="24"/>
                <w:lang w:eastAsia="zh-CN"/>
                <w14:textFill>
                  <w14:solidFill>
                    <w14:schemeClr w14:val="tx1"/>
                  </w14:solidFill>
                </w14:textFill>
              </w:rPr>
              <w:t>生物质燃料</w:t>
            </w:r>
            <w:r>
              <w:rPr>
                <w:rFonts w:hint="default" w:ascii="Times New Roman" w:hAnsi="Times New Roman" w:cs="Times New Roman"/>
                <w:b w:val="0"/>
                <w:bCs/>
                <w:color w:val="000000" w:themeColor="text1"/>
                <w:sz w:val="24"/>
                <w:szCs w:val="24"/>
                <w14:textFill>
                  <w14:solidFill>
                    <w14:schemeClr w14:val="tx1"/>
                  </w14:solidFill>
                </w14:textFill>
              </w:rPr>
              <w:t>的直径一般为6~10毫</w:t>
            </w:r>
            <w:r>
              <w:rPr>
                <w:rFonts w:hint="default" w:ascii="Times New Roman" w:hAnsi="Times New Roman" w:cs="Times New Roman"/>
                <w:b w:val="0"/>
                <w:bCs/>
                <w:color w:val="000000" w:themeColor="text1"/>
                <w:spacing w:val="-3"/>
                <w:sz w:val="24"/>
                <w:szCs w:val="24"/>
                <w14:textFill>
                  <w14:solidFill>
                    <w14:schemeClr w14:val="tx1"/>
                  </w14:solidFill>
                </w14:textFill>
              </w:rPr>
              <w:t>米。</w:t>
            </w:r>
            <w:r>
              <w:rPr>
                <w:rFonts w:hint="default" w:ascii="Times New Roman" w:hAnsi="Times New Roman" w:eastAsia="宋体" w:cs="Times New Roman"/>
                <w:b w:val="0"/>
                <w:bCs/>
                <w:color w:val="000000" w:themeColor="text1"/>
                <w:kern w:val="0"/>
                <w:sz w:val="24"/>
                <w:szCs w:val="24"/>
                <w:lang w:val="en-US" w:eastAsia="zh-CN" w:bidi="ar"/>
                <w14:textFill>
                  <w14:solidFill>
                    <w14:schemeClr w14:val="tx1"/>
                  </w14:solidFill>
                </w14:textFill>
              </w:rPr>
              <w:t>其优点是充分利用生物质能源替代煤炭，减少CO</w:t>
            </w:r>
            <w:r>
              <w:rPr>
                <w:rFonts w:hint="default" w:ascii="Times New Roman" w:hAnsi="Times New Roman" w:eastAsia="宋体" w:cs="Times New Roman"/>
                <w:b w:val="0"/>
                <w:bCs/>
                <w:color w:val="000000" w:themeColor="text1"/>
                <w:kern w:val="0"/>
                <w:sz w:val="24"/>
                <w:szCs w:val="24"/>
                <w:vertAlign w:val="subscript"/>
                <w:lang w:val="en-US" w:eastAsia="zh-CN" w:bidi="ar"/>
                <w14:textFill>
                  <w14:solidFill>
                    <w14:schemeClr w14:val="tx1"/>
                  </w14:solidFill>
                </w14:textFill>
              </w:rPr>
              <w:t>2</w:t>
            </w:r>
            <w:r>
              <w:rPr>
                <w:rFonts w:hint="default" w:ascii="Times New Roman" w:hAnsi="Times New Roman" w:eastAsia="宋体" w:cs="Times New Roman"/>
                <w:b w:val="0"/>
                <w:bCs/>
                <w:color w:val="000000" w:themeColor="text1"/>
                <w:kern w:val="0"/>
                <w:sz w:val="24"/>
                <w:szCs w:val="24"/>
                <w:lang w:val="en-US" w:eastAsia="zh-CN" w:bidi="ar"/>
                <w14:textFill>
                  <w14:solidFill>
                    <w14:schemeClr w14:val="tx1"/>
                  </w14:solidFill>
                </w14:textFill>
              </w:rPr>
              <w:t>和SO</w:t>
            </w:r>
            <w:r>
              <w:rPr>
                <w:rFonts w:hint="default" w:ascii="Times New Roman" w:hAnsi="Times New Roman" w:eastAsia="宋体" w:cs="Times New Roman"/>
                <w:b w:val="0"/>
                <w:bCs/>
                <w:color w:val="000000" w:themeColor="text1"/>
                <w:kern w:val="0"/>
                <w:sz w:val="24"/>
                <w:szCs w:val="24"/>
                <w:vertAlign w:val="subscript"/>
                <w:lang w:val="en-US" w:eastAsia="zh-CN" w:bidi="ar"/>
                <w14:textFill>
                  <w14:solidFill>
                    <w14:schemeClr w14:val="tx1"/>
                  </w14:solidFill>
                </w14:textFill>
              </w:rPr>
              <w:t>2</w:t>
            </w:r>
            <w:r>
              <w:rPr>
                <w:rFonts w:hint="default" w:ascii="Times New Roman" w:hAnsi="Times New Roman" w:eastAsia="宋体" w:cs="Times New Roman"/>
                <w:b w:val="0"/>
                <w:bCs/>
                <w:color w:val="000000" w:themeColor="text1"/>
                <w:kern w:val="0"/>
                <w:sz w:val="24"/>
                <w:szCs w:val="24"/>
                <w:lang w:val="en-US" w:eastAsia="zh-CN" w:bidi="ar"/>
                <w14:textFill>
                  <w14:solidFill>
                    <w14:schemeClr w14:val="tx1"/>
                  </w14:solidFill>
                </w14:textFill>
              </w:rPr>
              <w:t>排放量，有利于环保和控制温室气体的排放，减缓气候变坏，减少自然灾害的发生。</w:t>
            </w:r>
          </w:p>
          <w:p w14:paraId="329F2F45">
            <w:pPr>
              <w:spacing w:line="348"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本项目</w:t>
            </w:r>
            <w:r>
              <w:rPr>
                <w:rFonts w:hint="eastAsia" w:eastAsia="宋体" w:cs="Times New Roman"/>
                <w:b w:val="0"/>
                <w:bCs/>
                <w:color w:val="000000" w:themeColor="text1"/>
                <w:sz w:val="24"/>
                <w:szCs w:val="24"/>
                <w:lang w:eastAsia="zh-CN"/>
                <w14:textFill>
                  <w14:solidFill>
                    <w14:schemeClr w14:val="tx1"/>
                  </w14:solidFill>
                </w14:textFill>
              </w:rPr>
              <w:t>生物质锅炉暂未建设</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，暂未外购生物质燃料，故本次参考</w:t>
            </w:r>
            <w:r>
              <w:rPr>
                <w:rFonts w:hint="eastAsia" w:eastAsia="宋体" w:cs="Times New Roman"/>
                <w:b w:val="0"/>
                <w:bCs/>
                <w:color w:val="000000" w:themeColor="text1"/>
                <w:sz w:val="24"/>
                <w:szCs w:val="24"/>
                <w:lang w:eastAsia="zh-CN"/>
                <w14:textFill>
                  <w14:solidFill>
                    <w14:schemeClr w14:val="tx1"/>
                  </w14:solidFill>
                </w14:textFill>
              </w:rPr>
              <w:t>玉溪万德能源技术有限公司</w:t>
            </w:r>
            <w:r>
              <w:rPr>
                <w:rFonts w:hint="default" w:ascii="Times New Roman" w:hAnsi="Times New Roman" w:cs="Times New Roman"/>
                <w:color w:val="000000" w:themeColor="text1"/>
                <w:sz w:val="24"/>
                <w14:textFill>
                  <w14:solidFill>
                    <w14:schemeClr w14:val="tx1"/>
                  </w14:solidFill>
                </w14:textFill>
              </w:rPr>
              <w:t>的固体生物质</w:t>
            </w:r>
            <w:r>
              <w:rPr>
                <w:rFonts w:hint="eastAsia" w:cs="Times New Roman"/>
                <w:color w:val="000000" w:themeColor="text1"/>
                <w:sz w:val="24"/>
                <w:lang w:eastAsia="zh-CN"/>
                <w14:textFill>
                  <w14:solidFill>
                    <w14:schemeClr w14:val="tx1"/>
                  </w14:solidFill>
                </w14:textFill>
              </w:rPr>
              <w:t>燃料</w:t>
            </w:r>
            <w:r>
              <w:rPr>
                <w:rFonts w:hint="default" w:ascii="Times New Roman" w:hAnsi="Times New Roman" w:cs="Times New Roman"/>
                <w:color w:val="000000" w:themeColor="text1"/>
                <w:sz w:val="24"/>
                <w:lang w:eastAsia="zh-CN"/>
                <w14:textFill>
                  <w14:solidFill>
                    <w14:schemeClr w14:val="tx1"/>
                  </w14:solidFill>
                </w14:textFill>
              </w:rPr>
              <w:t>成分指标</w:t>
            </w:r>
            <w:r>
              <w:rPr>
                <w:rFonts w:hint="default" w:ascii="Times New Roman" w:hAnsi="Times New Roman" w:cs="Times New Roman"/>
                <w:color w:val="000000" w:themeColor="text1"/>
                <w:sz w:val="24"/>
                <w14:textFill>
                  <w14:solidFill>
                    <w14:schemeClr w14:val="tx1"/>
                  </w14:solidFill>
                </w14:textFill>
              </w:rPr>
              <w:t>，主要的参数指标</w:t>
            </w:r>
            <w:r>
              <w:rPr>
                <w:rFonts w:hint="default" w:ascii="Times New Roman" w:hAnsi="Times New Roman" w:cs="Times New Roman"/>
                <w:color w:val="000000" w:themeColor="text1"/>
                <w:sz w:val="24"/>
                <w:lang w:eastAsia="zh-CN"/>
                <w14:textFill>
                  <w14:solidFill>
                    <w14:schemeClr w14:val="tx1"/>
                  </w14:solidFill>
                </w14:textFill>
              </w:rPr>
              <w:t>如下</w:t>
            </w:r>
            <w:r>
              <w:rPr>
                <w:rFonts w:hint="default" w:ascii="Times New Roman" w:hAnsi="Times New Roman" w:cs="Times New Roman"/>
                <w:color w:val="000000" w:themeColor="text1"/>
                <w:sz w:val="24"/>
                <w14:textFill>
                  <w14:solidFill>
                    <w14:schemeClr w14:val="tx1"/>
                  </w14:solidFill>
                </w14:textFill>
              </w:rPr>
              <w:t>表：</w:t>
            </w:r>
          </w:p>
          <w:p w14:paraId="0C23B4FB">
            <w:pPr>
              <w:pStyle w:val="5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eastAsia"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生物质燃料参数指标</w:t>
            </w:r>
          </w:p>
          <w:tbl>
            <w:tblPr>
              <w:tblStyle w:val="33"/>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046"/>
              <w:gridCol w:w="3383"/>
            </w:tblGrid>
            <w:tr w14:paraId="09236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C5AFB">
                  <w:pPr>
                    <w:keepNext w:val="0"/>
                    <w:keepLines w:val="0"/>
                    <w:pageBreakBefore w:val="0"/>
                    <w:widowControl w:val="0"/>
                    <w:suppressLineNumbers w:val="0"/>
                    <w:kinsoku w:val="0"/>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检测项目</w:t>
                  </w:r>
                </w:p>
              </w:tc>
              <w:tc>
                <w:tcPr>
                  <w:tcW w:w="20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64340">
                  <w:pPr>
                    <w:keepNext w:val="0"/>
                    <w:keepLines w:val="0"/>
                    <w:pageBreakBefore w:val="0"/>
                    <w:widowControl w:val="0"/>
                    <w:suppressLineNumbers w:val="0"/>
                    <w:kinsoku w:val="0"/>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检测结果</w:t>
                  </w:r>
                </w:p>
              </w:tc>
            </w:tr>
            <w:tr w14:paraId="62386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3B102">
                  <w:pPr>
                    <w:keepNext w:val="0"/>
                    <w:keepLines w:val="0"/>
                    <w:pageBreakBefore w:val="0"/>
                    <w:widowControl w:val="0"/>
                    <w:suppressLineNumbers w:val="0"/>
                    <w:kinsoku w:val="0"/>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全水(Mt%)</w:t>
                  </w:r>
                </w:p>
              </w:tc>
              <w:tc>
                <w:tcPr>
                  <w:tcW w:w="20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92132">
                  <w:pPr>
                    <w:keepNext w:val="0"/>
                    <w:keepLines w:val="0"/>
                    <w:pageBreakBefore w:val="0"/>
                    <w:widowControl w:val="0"/>
                    <w:suppressLineNumbers w:val="0"/>
                    <w:kinsoku w:val="0"/>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3.6</w:t>
                  </w:r>
                </w:p>
              </w:tc>
            </w:tr>
            <w:tr w14:paraId="09288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F3D67">
                  <w:pPr>
                    <w:keepNext w:val="0"/>
                    <w:keepLines w:val="0"/>
                    <w:pageBreakBefore w:val="0"/>
                    <w:widowControl w:val="0"/>
                    <w:suppressLineNumbers w:val="0"/>
                    <w:kinsoku w:val="0"/>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分析水分(Mad%)</w:t>
                  </w:r>
                </w:p>
              </w:tc>
              <w:tc>
                <w:tcPr>
                  <w:tcW w:w="20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8E620">
                  <w:pPr>
                    <w:keepNext w:val="0"/>
                    <w:keepLines w:val="0"/>
                    <w:pageBreakBefore w:val="0"/>
                    <w:widowControl w:val="0"/>
                    <w:suppressLineNumbers w:val="0"/>
                    <w:kinsoku w:val="0"/>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1.95</w:t>
                  </w:r>
                </w:p>
              </w:tc>
            </w:tr>
            <w:tr w14:paraId="4E6B3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EA37E">
                  <w:pPr>
                    <w:keepNext w:val="0"/>
                    <w:keepLines w:val="0"/>
                    <w:pageBreakBefore w:val="0"/>
                    <w:widowControl w:val="0"/>
                    <w:suppressLineNumbers w:val="0"/>
                    <w:kinsoku w:val="0"/>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空干基灰分(Aad%)</w:t>
                  </w:r>
                </w:p>
              </w:tc>
              <w:tc>
                <w:tcPr>
                  <w:tcW w:w="20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FD453">
                  <w:pPr>
                    <w:keepNext w:val="0"/>
                    <w:keepLines w:val="0"/>
                    <w:pageBreakBefore w:val="0"/>
                    <w:widowControl w:val="0"/>
                    <w:suppressLineNumbers w:val="0"/>
                    <w:kinsoku w:val="0"/>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1.02</w:t>
                  </w:r>
                </w:p>
              </w:tc>
            </w:tr>
            <w:tr w14:paraId="13FAA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2B7C9">
                  <w:pPr>
                    <w:keepNext w:val="0"/>
                    <w:keepLines w:val="0"/>
                    <w:pageBreakBefore w:val="0"/>
                    <w:widowControl w:val="0"/>
                    <w:suppressLineNumbers w:val="0"/>
                    <w:kinsoku w:val="0"/>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干基灰分(Ad%)</w:t>
                  </w:r>
                </w:p>
              </w:tc>
              <w:tc>
                <w:tcPr>
                  <w:tcW w:w="20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1F50D">
                  <w:pPr>
                    <w:keepNext w:val="0"/>
                    <w:keepLines w:val="0"/>
                    <w:pageBreakBefore w:val="0"/>
                    <w:widowControl w:val="0"/>
                    <w:suppressLineNumbers w:val="0"/>
                    <w:kinsoku w:val="0"/>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1.04</w:t>
                  </w:r>
                </w:p>
              </w:tc>
            </w:tr>
            <w:tr w14:paraId="4400D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A3D3C">
                  <w:pPr>
                    <w:keepNext w:val="0"/>
                    <w:keepLines w:val="0"/>
                    <w:pageBreakBefore w:val="0"/>
                    <w:widowControl w:val="0"/>
                    <w:suppressLineNumbers w:val="0"/>
                    <w:kinsoku w:val="0"/>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空干基挥发分(Vad%)</w:t>
                  </w:r>
                </w:p>
              </w:tc>
              <w:tc>
                <w:tcPr>
                  <w:tcW w:w="20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59EA3">
                  <w:pPr>
                    <w:keepNext w:val="0"/>
                    <w:keepLines w:val="0"/>
                    <w:pageBreakBefore w:val="0"/>
                    <w:widowControl w:val="0"/>
                    <w:suppressLineNumbers w:val="0"/>
                    <w:kinsoku w:val="0"/>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79.92</w:t>
                  </w:r>
                </w:p>
              </w:tc>
            </w:tr>
            <w:tr w14:paraId="5A1BB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CCDB4">
                  <w:pPr>
                    <w:keepNext w:val="0"/>
                    <w:keepLines w:val="0"/>
                    <w:pageBreakBefore w:val="0"/>
                    <w:widowControl w:val="0"/>
                    <w:suppressLineNumbers w:val="0"/>
                    <w:kinsoku w:val="0"/>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干基挥发分(Vd%)</w:t>
                  </w:r>
                </w:p>
              </w:tc>
              <w:tc>
                <w:tcPr>
                  <w:tcW w:w="20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C3586">
                  <w:pPr>
                    <w:keepNext w:val="0"/>
                    <w:keepLines w:val="0"/>
                    <w:pageBreakBefore w:val="0"/>
                    <w:widowControl w:val="0"/>
                    <w:suppressLineNumbers w:val="0"/>
                    <w:kinsoku w:val="0"/>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81.51</w:t>
                  </w:r>
                </w:p>
              </w:tc>
            </w:tr>
            <w:tr w14:paraId="6F1DD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881F9">
                  <w:pPr>
                    <w:keepNext w:val="0"/>
                    <w:keepLines w:val="0"/>
                    <w:pageBreakBefore w:val="0"/>
                    <w:widowControl w:val="0"/>
                    <w:suppressLineNumbers w:val="0"/>
                    <w:kinsoku w:val="0"/>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焦渣特征(1～8)</w:t>
                  </w:r>
                </w:p>
              </w:tc>
              <w:tc>
                <w:tcPr>
                  <w:tcW w:w="20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A3AEC">
                  <w:pPr>
                    <w:keepNext w:val="0"/>
                    <w:keepLines w:val="0"/>
                    <w:pageBreakBefore w:val="0"/>
                    <w:widowControl w:val="0"/>
                    <w:suppressLineNumbers w:val="0"/>
                    <w:kinsoku w:val="0"/>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3</w:t>
                  </w:r>
                </w:p>
              </w:tc>
            </w:tr>
            <w:tr w14:paraId="27A29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E0C84">
                  <w:pPr>
                    <w:keepNext w:val="0"/>
                    <w:keepLines w:val="0"/>
                    <w:pageBreakBefore w:val="0"/>
                    <w:widowControl w:val="0"/>
                    <w:suppressLineNumbers w:val="0"/>
                    <w:kinsoku w:val="0"/>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空干基固定碳(FCad%)</w:t>
                  </w:r>
                </w:p>
              </w:tc>
              <w:tc>
                <w:tcPr>
                  <w:tcW w:w="20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C328C">
                  <w:pPr>
                    <w:keepNext w:val="0"/>
                    <w:keepLines w:val="0"/>
                    <w:pageBreakBefore w:val="0"/>
                    <w:widowControl w:val="0"/>
                    <w:suppressLineNumbers w:val="0"/>
                    <w:kinsoku w:val="0"/>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17.11</w:t>
                  </w:r>
                </w:p>
              </w:tc>
            </w:tr>
            <w:tr w14:paraId="5C6D9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EBB1A">
                  <w:pPr>
                    <w:keepNext w:val="0"/>
                    <w:keepLines w:val="0"/>
                    <w:pageBreakBefore w:val="0"/>
                    <w:widowControl w:val="0"/>
                    <w:suppressLineNumbers w:val="0"/>
                    <w:kinsoku w:val="0"/>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干基全硫(St,d%)</w:t>
                  </w:r>
                </w:p>
              </w:tc>
              <w:tc>
                <w:tcPr>
                  <w:tcW w:w="20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4CC95">
                  <w:pPr>
                    <w:keepNext w:val="0"/>
                    <w:keepLines w:val="0"/>
                    <w:pageBreakBefore w:val="0"/>
                    <w:widowControl w:val="0"/>
                    <w:suppressLineNumbers w:val="0"/>
                    <w:kinsoku w:val="0"/>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0.0</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w:t>
                  </w:r>
                </w:p>
              </w:tc>
            </w:tr>
            <w:tr w14:paraId="7F38B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8BFC3">
                  <w:pPr>
                    <w:keepNext w:val="0"/>
                    <w:keepLines w:val="0"/>
                    <w:pageBreakBefore w:val="0"/>
                    <w:widowControl w:val="0"/>
                    <w:suppressLineNumbers w:val="0"/>
                    <w:kinsoku w:val="0"/>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空干基恒容高位发热量(Qgr,v,ad MJ/kg)</w:t>
                  </w:r>
                </w:p>
              </w:tc>
              <w:tc>
                <w:tcPr>
                  <w:tcW w:w="20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288C5">
                  <w:pPr>
                    <w:keepNext w:val="0"/>
                    <w:keepLines w:val="0"/>
                    <w:pageBreakBefore w:val="0"/>
                    <w:widowControl w:val="0"/>
                    <w:suppressLineNumbers w:val="0"/>
                    <w:kinsoku w:val="0"/>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19.61</w:t>
                  </w:r>
                </w:p>
              </w:tc>
            </w:tr>
            <w:tr w14:paraId="28605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067F0">
                  <w:pPr>
                    <w:keepNext w:val="0"/>
                    <w:keepLines w:val="0"/>
                    <w:pageBreakBefore w:val="0"/>
                    <w:widowControl w:val="0"/>
                    <w:suppressLineNumbers w:val="0"/>
                    <w:kinsoku w:val="0"/>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收到基恒容低位发热量(Qnet,v,ar MJ/kg)</w:t>
                  </w:r>
                </w:p>
              </w:tc>
              <w:tc>
                <w:tcPr>
                  <w:tcW w:w="20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1BAAB">
                  <w:pPr>
                    <w:keepNext w:val="0"/>
                    <w:keepLines w:val="0"/>
                    <w:pageBreakBefore w:val="0"/>
                    <w:widowControl w:val="0"/>
                    <w:suppressLineNumbers w:val="0"/>
                    <w:kinsoku w:val="0"/>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18.07</w:t>
                  </w:r>
                </w:p>
              </w:tc>
            </w:tr>
            <w:tr w14:paraId="3F182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B01EC">
                  <w:pPr>
                    <w:keepNext w:val="0"/>
                    <w:keepLines w:val="0"/>
                    <w:pageBreakBefore w:val="0"/>
                    <w:widowControl w:val="0"/>
                    <w:suppressLineNumbers w:val="0"/>
                    <w:kinsoku w:val="0"/>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空干基氢(Had %)</w:t>
                  </w:r>
                </w:p>
              </w:tc>
              <w:tc>
                <w:tcPr>
                  <w:tcW w:w="20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E9DA4">
                  <w:pPr>
                    <w:keepNext w:val="0"/>
                    <w:keepLines w:val="0"/>
                    <w:pageBreakBefore w:val="0"/>
                    <w:widowControl w:val="0"/>
                    <w:suppressLineNumbers w:val="0"/>
                    <w:kinsoku w:val="0"/>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5.54</w:t>
                  </w:r>
                </w:p>
              </w:tc>
            </w:tr>
          </w:tbl>
          <w:p w14:paraId="57453C69">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eastAsia="宋体" w:cs="Times New Roman"/>
                <w:b/>
                <w:bCs w:val="0"/>
                <w:color w:val="000000" w:themeColor="text1"/>
                <w:sz w:val="21"/>
                <w:szCs w:val="21"/>
                <w:lang w:val="en-US" w:eastAsia="zh-CN"/>
                <w14:textFill>
                  <w14:solidFill>
                    <w14:schemeClr w14:val="tx1"/>
                  </w14:solidFill>
                </w14:textFill>
              </w:rPr>
              <w:t>备注：</w:t>
            </w:r>
            <w:r>
              <w:rPr>
                <w:rFonts w:hint="eastAsia" w:eastAsia="宋体" w:cs="Times New Roman"/>
                <w:b w:val="0"/>
                <w:bCs/>
                <w:color w:val="000000" w:themeColor="text1"/>
                <w:sz w:val="21"/>
                <w:szCs w:val="21"/>
                <w:lang w:val="en-US" w:eastAsia="zh-CN"/>
                <w14:textFill>
                  <w14:solidFill>
                    <w14:schemeClr w14:val="tx1"/>
                  </w14:solidFill>
                </w14:textFill>
              </w:rPr>
              <w:t>根据检测报告可得，</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干燥无灰基挥发分</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Vdaf</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=Vd/（1-Ad）=81.51%/（1-1.04%）=82.367%；收到基水分</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Mar</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=Mt×(1−Mad)+Mad=3.6%（1-1.95%）+1.95%=5.48%；收到基灰分</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Aar</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=Ad（100-Mar）/100=1.02%（1-5.48%）/1=0.964%</w:t>
            </w:r>
            <w:r>
              <w:rPr>
                <w:rFonts w:hint="eastAsia" w:cs="Times New Roman"/>
                <w:b w:val="0"/>
                <w:bCs/>
                <w:color w:val="000000" w:themeColor="text1"/>
                <w:sz w:val="21"/>
                <w:szCs w:val="21"/>
                <w:lang w:val="en-US" w:eastAsia="zh-CN"/>
                <w14:textFill>
                  <w14:solidFill>
                    <w14:schemeClr w14:val="tx1"/>
                  </w14:solidFill>
                </w14:textFill>
              </w:rPr>
              <w:t>。收到基全硫</w:t>
            </w:r>
            <w:r>
              <w:rPr>
                <w:rFonts w:hint="eastAsia" w:cs="Times New Roman"/>
                <w:b/>
                <w:bCs w:val="0"/>
                <w:color w:val="000000" w:themeColor="text1"/>
                <w:sz w:val="21"/>
                <w:szCs w:val="21"/>
                <w:lang w:val="en-US" w:eastAsia="zh-CN"/>
                <w14:textFill>
                  <w14:solidFill>
                    <w14:schemeClr w14:val="tx1"/>
                  </w14:solidFill>
                </w14:textFill>
              </w:rPr>
              <w:t>Sar</w:t>
            </w:r>
            <w:r>
              <w:rPr>
                <w:rFonts w:hint="eastAsia" w:cs="Times New Roman"/>
                <w:b w:val="0"/>
                <w:bCs/>
                <w:color w:val="000000" w:themeColor="text1"/>
                <w:sz w:val="21"/>
                <w:szCs w:val="21"/>
                <w:lang w:val="en-US" w:eastAsia="zh-CN"/>
                <w14:textFill>
                  <w14:solidFill>
                    <w14:schemeClr w14:val="tx1"/>
                  </w14:solidFill>
                </w14:textFill>
              </w:rPr>
              <w:t>=Sd（100-Mar）/100=0.0284%。</w:t>
            </w:r>
          </w:p>
          <w:p w14:paraId="35229E5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b/>
                <w:bCs w:val="0"/>
                <w:color w:val="000000" w:themeColor="text1"/>
                <w:sz w:val="24"/>
                <w:szCs w:val="24"/>
                <w:lang w:eastAsia="zh-CN"/>
                <w14:textFill>
                  <w14:solidFill>
                    <w14:schemeClr w14:val="tx1"/>
                  </w14:solidFill>
                </w14:textFill>
              </w:rPr>
              <w:t>生物质用量计算：</w:t>
            </w:r>
            <w:r>
              <w:rPr>
                <w:rFonts w:hint="default" w:ascii="Times New Roman" w:hAnsi="Times New Roman" w:cs="Times New Roman"/>
                <w:color w:val="000000" w:themeColor="text1"/>
                <w:sz w:val="24"/>
                <w14:textFill>
                  <w14:solidFill>
                    <w14:schemeClr w14:val="tx1"/>
                  </w14:solidFill>
                </w14:textFill>
              </w:rPr>
              <w:t>生物质燃料用量根据《环境统计手册》进行计算，其计算方法如下：</w:t>
            </w:r>
          </w:p>
          <w:p w14:paraId="26EEFE2B">
            <w:pPr>
              <w:spacing w:line="360" w:lineRule="auto"/>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position w:val="-30"/>
                <w:sz w:val="24"/>
                <w14:textFill>
                  <w14:solidFill>
                    <w14:schemeClr w14:val="tx1"/>
                  </w14:solidFill>
                </w14:textFill>
              </w:rPr>
              <w:object>
                <v:shape id="_x0000_i1025" o:spt="75" type="#_x0000_t75" style="height:36pt;width:75pt;" o:ole="t" filled="f" o:preferrelative="t" stroked="f" coordsize="21600,21600">
                  <v:path/>
                  <v:fill on="f" focussize="0,0"/>
                  <v:stroke on="f" joinstyle="miter"/>
                  <v:imagedata r:id="rId7" o:title=""/>
                  <o:lock v:ext="edit" aspectratio="t"/>
                  <w10:wrap type="none"/>
                  <w10:anchorlock/>
                </v:shape>
                <o:OLEObject Type="Embed" ProgID="Equation.KSEE3" ShapeID="_x0000_i1025" DrawAspect="Content" ObjectID="_1468075725" r:id="rId6">
                  <o:LockedField>false</o:LockedField>
                </o:OLEObject>
              </w:object>
            </w:r>
            <w:r>
              <w:rPr>
                <w:rFonts w:hint="default" w:ascii="Times New Roman" w:hAnsi="Times New Roman" w:cs="Times New Roman"/>
                <w:color w:val="000000" w:themeColor="text1"/>
                <w:position w:val="-30"/>
                <w:sz w:val="24"/>
                <w14:textFill>
                  <w14:solidFill>
                    <w14:schemeClr w14:val="tx1"/>
                  </w14:solidFill>
                </w14:textFill>
              </w:rPr>
              <w:t>（1）</w:t>
            </w:r>
          </w:p>
          <w:p w14:paraId="4D9ACDD9">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式中：B——锅炉燃料耗量（单位</w:t>
            </w:r>
            <w:r>
              <w:rPr>
                <w:rFonts w:hint="default" w:ascii="Times New Roman" w:hAnsi="Times New Roman" w:cs="Times New Roman"/>
                <w:color w:val="000000" w:themeColor="text1"/>
                <w:sz w:val="24"/>
                <w:lang w:val="en-US" w:eastAsia="zh-CN"/>
                <w14:textFill>
                  <w14:solidFill>
                    <w14:schemeClr w14:val="tx1"/>
                  </w14:solidFill>
                </w14:textFill>
              </w:rPr>
              <w:t>t/a</w:t>
            </w:r>
            <w:r>
              <w:rPr>
                <w:rFonts w:hint="default" w:ascii="Times New Roman" w:hAnsi="Times New Roman" w:cs="Times New Roman"/>
                <w:color w:val="000000" w:themeColor="text1"/>
                <w:sz w:val="24"/>
                <w14:textFill>
                  <w14:solidFill>
                    <w14:schemeClr w14:val="tx1"/>
                  </w14:solidFill>
                </w14:textFill>
              </w:rPr>
              <w:t>）；</w:t>
            </w:r>
          </w:p>
          <w:p w14:paraId="031E64A9">
            <w:pPr>
              <w:spacing w:line="360" w:lineRule="auto"/>
              <w:ind w:firstLine="1200" w:firstLineChars="5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D——锅炉产气量（单位</w:t>
            </w:r>
            <w:r>
              <w:rPr>
                <w:rFonts w:hint="default" w:ascii="Times New Roman" w:hAnsi="Times New Roman" w:cs="Times New Roman"/>
                <w:color w:val="000000" w:themeColor="text1"/>
                <w:sz w:val="24"/>
                <w:lang w:val="en-US" w:eastAsia="zh-CN"/>
                <w14:textFill>
                  <w14:solidFill>
                    <w14:schemeClr w14:val="tx1"/>
                  </w14:solidFill>
                </w14:textFill>
              </w:rPr>
              <w:t>t/a</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w:t>
            </w:r>
          </w:p>
          <w:p w14:paraId="22524A44">
            <w:pPr>
              <w:spacing w:line="360" w:lineRule="auto"/>
              <w:ind w:firstLine="1200" w:firstLineChars="5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Q</w:t>
            </w:r>
            <w:r>
              <w:rPr>
                <w:rFonts w:hint="default" w:ascii="Times New Roman" w:hAnsi="Times New Roman" w:cs="Times New Roman"/>
                <w:color w:val="000000" w:themeColor="text1"/>
                <w:sz w:val="24"/>
                <w:vertAlign w:val="subscript"/>
                <w14:textFill>
                  <w14:solidFill>
                    <w14:schemeClr w14:val="tx1"/>
                  </w14:solidFill>
                </w14:textFill>
              </w:rPr>
              <w:t>L</w:t>
            </w:r>
            <w:r>
              <w:rPr>
                <w:rFonts w:hint="default" w:ascii="Times New Roman" w:hAnsi="Times New Roman" w:cs="Times New Roman"/>
                <w:color w:val="000000" w:themeColor="text1"/>
                <w:sz w:val="24"/>
                <w14:textFill>
                  <w14:solidFill>
                    <w14:schemeClr w14:val="tx1"/>
                  </w14:solidFill>
                </w14:textFill>
              </w:rPr>
              <w:t>——燃料的低位发热值（单位kJ/kg）。根据厂家提供的生物质检验报告可知，本项目使用的</w:t>
            </w:r>
            <w:r>
              <w:rPr>
                <w:rFonts w:hint="default" w:ascii="Times New Roman" w:hAnsi="Times New Roman" w:cs="Times New Roman"/>
                <w:color w:val="000000" w:themeColor="text1"/>
                <w:sz w:val="24"/>
                <w:lang w:eastAsia="zh-CN"/>
                <w14:textFill>
                  <w14:solidFill>
                    <w14:schemeClr w14:val="tx1"/>
                  </w14:solidFill>
                </w14:textFill>
              </w:rPr>
              <w:t>生物质燃料</w:t>
            </w:r>
            <w:r>
              <w:rPr>
                <w:rFonts w:hint="default" w:ascii="Times New Roman" w:hAnsi="Times New Roman" w:cs="Times New Roman"/>
                <w:color w:val="000000" w:themeColor="text1"/>
                <w:sz w:val="24"/>
                <w14:textFill>
                  <w14:solidFill>
                    <w14:schemeClr w14:val="tx1"/>
                  </w14:solidFill>
                </w14:textFill>
              </w:rPr>
              <w:t>燃料低位发热值为</w:t>
            </w:r>
            <w:r>
              <w:rPr>
                <w:rFonts w:hint="eastAsia" w:cs="Times New Roman"/>
                <w:color w:val="000000" w:themeColor="text1"/>
                <w:sz w:val="24"/>
                <w:lang w:val="en-US" w:eastAsia="zh-CN"/>
                <w14:textFill>
                  <w14:solidFill>
                    <w14:schemeClr w14:val="tx1"/>
                  </w14:solidFill>
                </w14:textFill>
              </w:rPr>
              <w:t>18070</w:t>
            </w:r>
            <w:r>
              <w:rPr>
                <w:rFonts w:hint="default" w:ascii="Times New Roman" w:hAnsi="Times New Roman" w:cs="Times New Roman"/>
                <w:color w:val="000000" w:themeColor="text1"/>
                <w:sz w:val="24"/>
                <w14:textFill>
                  <w14:solidFill>
                    <w14:schemeClr w14:val="tx1"/>
                  </w14:solidFill>
                </w14:textFill>
              </w:rPr>
              <w:t>kJ/kg；</w:t>
            </w:r>
          </w:p>
          <w:p w14:paraId="1C01663A">
            <w:pPr>
              <w:spacing w:line="360" w:lineRule="auto"/>
              <w:ind w:firstLine="1200" w:firstLineChars="5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n——锅炉的热效率，</w:t>
            </w:r>
            <w:r>
              <w:rPr>
                <w:rFonts w:hint="eastAsia" w:ascii="Times New Roman" w:hAnsi="Times New Roman" w:eastAsia="宋体" w:cs="Times New Roman"/>
                <w:color w:val="000000" w:themeColor="text1"/>
                <w:sz w:val="24"/>
                <w:lang w:eastAsia="zh-CN"/>
                <w14:textFill>
                  <w14:solidFill>
                    <w14:schemeClr w14:val="tx1"/>
                  </w14:solidFill>
                </w14:textFill>
              </w:rPr>
              <w:t>；</w:t>
            </w:r>
          </w:p>
          <w:p w14:paraId="67711CDD">
            <w:pPr>
              <w:spacing w:line="360" w:lineRule="auto"/>
              <w:ind w:firstLine="1200" w:firstLineChars="5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position w:val="-4"/>
                <w:sz w:val="24"/>
                <w14:textFill>
                  <w14:solidFill>
                    <w14:schemeClr w14:val="tx1"/>
                  </w14:solidFill>
                </w14:textFill>
              </w:rPr>
              <w:t>i"</w:t>
            </w:r>
            <w:r>
              <w:rPr>
                <w:rFonts w:hint="default" w:ascii="Times New Roman" w:hAnsi="Times New Roman" w:cs="Times New Roman"/>
                <w:color w:val="000000" w:themeColor="text1"/>
                <w:sz w:val="24"/>
                <w14:textFill>
                  <w14:solidFill>
                    <w14:schemeClr w14:val="tx1"/>
                  </w14:solidFill>
                </w14:textFill>
              </w:rPr>
              <w:t>——锅炉在绝对工作压力下的饱和蒸汽热焓值（单位kJ/kg），项目锅炉额定蒸汽压力为1.25MPa，经查询蒸汽热焓值为2785.14kJ/kg；</w:t>
            </w:r>
          </w:p>
          <w:p w14:paraId="2E72E1FC">
            <w:pPr>
              <w:spacing w:line="360" w:lineRule="auto"/>
              <w:ind w:firstLine="1200" w:firstLineChars="5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position w:val="-4"/>
                <w:sz w:val="24"/>
                <w14:textFill>
                  <w14:solidFill>
                    <w14:schemeClr w14:val="tx1"/>
                  </w14:solidFill>
                </w14:textFill>
              </w:rPr>
              <w:t>i’</w:t>
            </w:r>
            <w:r>
              <w:rPr>
                <w:rFonts w:hint="default" w:ascii="Times New Roman" w:hAnsi="Times New Roman" w:cs="Times New Roman"/>
                <w:color w:val="000000" w:themeColor="text1"/>
                <w:sz w:val="24"/>
                <w14:textFill>
                  <w14:solidFill>
                    <w14:schemeClr w14:val="tx1"/>
                  </w14:solidFill>
                </w14:textFill>
              </w:rPr>
              <w:t>——锅炉给水热焓值（单位kJ/kg），本项目锅炉给水温度为20℃，给水热焓值为83.71kJ/kg；</w:t>
            </w:r>
          </w:p>
          <w:p w14:paraId="0DE9EC0C">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考虑额定负荷运行时，锅炉产气量为3t/h，锅炉热效率</w:t>
            </w:r>
            <w:r>
              <w:rPr>
                <w:rFonts w:hint="eastAsia" w:ascii="Times New Roman" w:hAnsi="Times New Roman" w:eastAsia="宋体" w:cs="Times New Roman"/>
                <w:color w:val="000000" w:themeColor="text1"/>
                <w:sz w:val="24"/>
                <w:lang w:val="en-US" w:eastAsia="zh-CN"/>
                <w14:textFill>
                  <w14:solidFill>
                    <w14:schemeClr w14:val="tx1"/>
                  </w14:solidFill>
                </w14:textFill>
              </w:rPr>
              <w:t>按</w:t>
            </w:r>
            <w:r>
              <w:rPr>
                <w:rFonts w:hint="default" w:ascii="Times New Roman" w:hAnsi="Times New Roman" w:eastAsia="宋体" w:cs="Times New Roman"/>
                <w:color w:val="000000" w:themeColor="text1"/>
                <w:sz w:val="24"/>
                <w14:textFill>
                  <w14:solidFill>
                    <w14:schemeClr w14:val="tx1"/>
                  </w14:solidFill>
                </w14:textFill>
              </w:rPr>
              <w:t>8</w:t>
            </w:r>
            <w:r>
              <w:rPr>
                <w:rFonts w:hint="default" w:ascii="Times New Roman" w:hAnsi="Times New Roman" w:eastAsia="宋体"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eastAsia="zh-CN"/>
                <w14:textFill>
                  <w14:solidFill>
                    <w14:schemeClr w14:val="tx1"/>
                  </w14:solidFill>
                </w14:textFill>
              </w:rPr>
              <w:t>计，则经计算生物质用量约为</w:t>
            </w:r>
            <w:r>
              <w:rPr>
                <w:rFonts w:hint="eastAsia" w:ascii="Times New Roman" w:hAnsi="Times New Roman" w:eastAsia="宋体" w:cs="Times New Roman"/>
                <w:color w:val="000000" w:themeColor="text1"/>
                <w:sz w:val="24"/>
                <w:lang w:val="en-US" w:eastAsia="zh-CN"/>
                <w14:textFill>
                  <w14:solidFill>
                    <w14:schemeClr w14:val="tx1"/>
                  </w14:solidFill>
                </w14:textFill>
              </w:rPr>
              <w:t>0.5403t/h，锅炉额定负荷运行时间为4.5h/d（1350h/a）,则生物质用量为729.405t/a。</w:t>
            </w:r>
          </w:p>
          <w:p w14:paraId="45B660B7">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考虑低负荷运行时，</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锅炉</w:t>
            </w:r>
            <w:r>
              <w:rPr>
                <w:rFonts w:hint="eastAsia" w:cs="Times New Roman"/>
                <w:color w:val="000000" w:themeColor="text1"/>
                <w:sz w:val="24"/>
                <w:shd w:val="clear" w:color="auto" w:fill="FFFFFF"/>
                <w:lang w:val="en-US" w:eastAsia="zh-CN"/>
                <w14:textFill>
                  <w14:solidFill>
                    <w14:schemeClr w14:val="tx1"/>
                  </w14:solidFill>
                </w14:textFill>
              </w:rPr>
              <w:t>产气</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量为0.9t/h，锅炉热效率以79%计，</w:t>
            </w:r>
            <w:r>
              <w:rPr>
                <w:rFonts w:hint="eastAsia" w:ascii="Times New Roman" w:hAnsi="Times New Roman" w:eastAsia="宋体" w:cs="Times New Roman"/>
                <w:color w:val="000000" w:themeColor="text1"/>
                <w:sz w:val="24"/>
                <w:lang w:eastAsia="zh-CN"/>
                <w14:textFill>
                  <w14:solidFill>
                    <w14:schemeClr w14:val="tx1"/>
                  </w14:solidFill>
                </w14:textFill>
              </w:rPr>
              <w:t>则经计算生物质用量约为</w:t>
            </w:r>
            <w:r>
              <w:rPr>
                <w:rFonts w:hint="eastAsia" w:ascii="Times New Roman" w:hAnsi="Times New Roman" w:eastAsia="宋体" w:cs="Times New Roman"/>
                <w:color w:val="000000" w:themeColor="text1"/>
                <w:sz w:val="24"/>
                <w:lang w:val="en-US" w:eastAsia="zh-CN"/>
                <w14:textFill>
                  <w14:solidFill>
                    <w14:schemeClr w14:val="tx1"/>
                  </w14:solidFill>
                </w14:textFill>
              </w:rPr>
              <w:t>0.1703t/h。锅炉额定负荷运行时间为2.78h/d（834h/a），则生物质用量为142.03t/a。</w:t>
            </w:r>
          </w:p>
          <w:p w14:paraId="2553A1CF">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hd w:val="clear" w:color="auto" w:fill="FFFFFF"/>
                <w:lang w:val="en-US" w:eastAsia="zh-CN"/>
                <w14:textFill>
                  <w14:solidFill>
                    <w14:schemeClr w14:val="tx1"/>
                  </w14:solidFill>
                </w14:textFill>
              </w:rPr>
            </w:pPr>
            <w:r>
              <w:rPr>
                <w:rFonts w:hint="default" w:ascii="Times New Roman" w:hAnsi="Times New Roman" w:eastAsia="宋体" w:cs="Times New Roman"/>
                <w:color w:val="000000" w:themeColor="text1"/>
                <w:sz w:val="24"/>
                <w:shd w:val="clear" w:color="auto" w:fill="FFFFFF"/>
                <w:lang w:val="en-US" w:eastAsia="zh-CN"/>
                <w14:textFill>
                  <w14:solidFill>
                    <w14:schemeClr w14:val="tx1"/>
                  </w14:solidFill>
                </w14:textFill>
              </w:rPr>
              <w:t>经计算，本项目生物质燃料用量为</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871.435</w:t>
            </w:r>
            <w:r>
              <w:rPr>
                <w:rFonts w:hint="default" w:ascii="Times New Roman" w:hAnsi="Times New Roman" w:eastAsia="宋体" w:cs="Times New Roman"/>
                <w:color w:val="000000" w:themeColor="text1"/>
                <w:sz w:val="24"/>
                <w:shd w:val="clear" w:color="auto" w:fill="FFFFFF"/>
                <w:lang w:val="en-US" w:eastAsia="zh-CN"/>
                <w14:textFill>
                  <w14:solidFill>
                    <w14:schemeClr w14:val="tx1"/>
                  </w14:solidFill>
                </w14:textFill>
              </w:rPr>
              <w:t>t/a。</w:t>
            </w:r>
          </w:p>
          <w:p w14:paraId="4F37737C">
            <w:pPr>
              <w:pStyle w:val="17"/>
              <w:pageBreakBefore w:val="0"/>
              <w:kinsoku/>
              <w:overflowPunct/>
              <w:topLinePunct w:val="0"/>
              <w:bidi w:val="0"/>
              <w:adjustRightInd w:val="0"/>
              <w:snapToGrid w:val="0"/>
              <w:spacing w:line="360" w:lineRule="auto"/>
              <w:ind w:left="0" w:leftChars="0" w:right="0" w:firstLine="482" w:firstLineChars="200"/>
              <w:rPr>
                <w:rFonts w:ascii="Times New Roman" w:hAnsi="Times New Roman"/>
                <w:b/>
                <w:color w:val="000000" w:themeColor="text1"/>
                <w:sz w:val="24"/>
                <w14:textFill>
                  <w14:solidFill>
                    <w14:schemeClr w14:val="tx1"/>
                  </w14:solidFill>
                </w14:textFill>
              </w:rPr>
            </w:pPr>
            <w:r>
              <w:rPr>
                <w:rFonts w:hint="eastAsia" w:ascii="Times New Roman" w:hAnsi="Times New Roman"/>
                <w:b/>
                <w:color w:val="000000" w:themeColor="text1"/>
                <w:sz w:val="24"/>
                <w14:textFill>
                  <w14:solidFill>
                    <w14:schemeClr w14:val="tx1"/>
                  </w14:solidFill>
                </w14:textFill>
              </w:rPr>
              <w:t>6</w:t>
            </w:r>
            <w:r>
              <w:rPr>
                <w:rFonts w:ascii="Times New Roman" w:hAnsi="Times New Roman"/>
                <w:b/>
                <w:color w:val="000000" w:themeColor="text1"/>
                <w:sz w:val="24"/>
                <w14:textFill>
                  <w14:solidFill>
                    <w14:schemeClr w14:val="tx1"/>
                  </w14:solidFill>
                </w14:textFill>
              </w:rPr>
              <w:t>、主要设备</w:t>
            </w:r>
          </w:p>
          <w:p w14:paraId="13524E03">
            <w:pPr>
              <w:pageBreakBefore w:val="0"/>
              <w:kinsoku/>
              <w:overflowPunct/>
              <w:topLinePunct w:val="0"/>
              <w:bidi w:val="0"/>
              <w:spacing w:line="360" w:lineRule="auto"/>
              <w:ind w:left="0" w:leftChars="0" w:right="0" w:firstLine="480" w:firstLineChars="200"/>
              <w:rPr>
                <w:rFonts w:hint="eastAsia" w:eastAsia="宋体"/>
                <w:color w:val="000000" w:themeColor="text1"/>
                <w:sz w:val="24"/>
                <w:shd w:val="clear" w:color="auto" w:fill="FFFFFF"/>
                <w:lang w:eastAsia="zh-CN"/>
                <w14:textFill>
                  <w14:solidFill>
                    <w14:schemeClr w14:val="tx1"/>
                  </w14:solidFill>
                </w14:textFill>
              </w:rPr>
            </w:pPr>
            <w:r>
              <w:rPr>
                <w:rFonts w:hint="eastAsia"/>
                <w:color w:val="000000" w:themeColor="text1"/>
                <w:sz w:val="24"/>
                <w:shd w:val="clear" w:color="auto" w:fill="FFFFFF"/>
                <w:lang w:eastAsia="zh-CN"/>
                <w14:textFill>
                  <w14:solidFill>
                    <w14:schemeClr w14:val="tx1"/>
                  </w14:solidFill>
                </w14:textFill>
              </w:rPr>
              <w:t>本项目主要为锅炉改建以及新增环保设施，不涉及现有项目生产线及生产设备变动。</w:t>
            </w:r>
          </w:p>
          <w:p w14:paraId="3C8E8875">
            <w:pPr>
              <w:pageBreakBefore w:val="0"/>
              <w:kinsoku/>
              <w:overflowPunct/>
              <w:topLinePunct w:val="0"/>
              <w:bidi w:val="0"/>
              <w:spacing w:line="360" w:lineRule="auto"/>
              <w:ind w:left="0" w:leftChars="0" w:right="0" w:firstLine="480" w:firstLineChars="200"/>
              <w:rPr>
                <w:color w:val="000000" w:themeColor="text1"/>
                <w:sz w:val="24"/>
                <w14:textFill>
                  <w14:solidFill>
                    <w14:schemeClr w14:val="tx1"/>
                  </w14:solidFill>
                </w14:textFill>
              </w:rPr>
            </w:pPr>
            <w:r>
              <w:rPr>
                <w:rFonts w:eastAsia="宋体"/>
                <w:color w:val="000000" w:themeColor="text1"/>
                <w:sz w:val="24"/>
                <w:shd w:val="clear" w:color="auto" w:fill="FFFFFF"/>
                <w14:textFill>
                  <w14:solidFill>
                    <w14:schemeClr w14:val="tx1"/>
                  </w14:solidFill>
                </w14:textFill>
              </w:rPr>
              <w:t>主要生产</w:t>
            </w:r>
            <w:r>
              <w:rPr>
                <w:color w:val="000000" w:themeColor="text1"/>
                <w:sz w:val="24"/>
                <w:shd w:val="clear" w:color="auto" w:fill="FFFFFF"/>
                <w14:textFill>
                  <w14:solidFill>
                    <w14:schemeClr w14:val="tx1"/>
                  </w14:solidFill>
                </w14:textFill>
              </w:rPr>
              <w:t>设备及设施详见表。</w:t>
            </w:r>
          </w:p>
          <w:p w14:paraId="21D588B5">
            <w:pPr>
              <w:pStyle w:val="17"/>
              <w:pageBreakBefore w:val="0"/>
              <w:kinsoku/>
              <w:overflowPunct/>
              <w:topLinePunct w:val="0"/>
              <w:bidi w:val="0"/>
              <w:snapToGrid w:val="0"/>
              <w:ind w:left="0" w:leftChars="0" w:right="0"/>
              <w:jc w:val="center"/>
              <w:rPr>
                <w:rFonts w:hint="eastAsia"/>
                <w:color w:val="000000" w:themeColor="text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表2-</w:t>
            </w:r>
            <w:r>
              <w:rPr>
                <w:rFonts w:hint="eastAsia" w:ascii="Times New Roman" w:hAnsi="Times New Roman"/>
                <w:b/>
                <w:bCs/>
                <w:color w:val="000000" w:themeColor="text1"/>
                <w:szCs w:val="21"/>
                <w:lang w:val="en-US" w:eastAsia="zh-CN"/>
                <w14:textFill>
                  <w14:solidFill>
                    <w14:schemeClr w14:val="tx1"/>
                  </w14:solidFill>
                </w14:textFill>
              </w:rPr>
              <w:t>7</w:t>
            </w:r>
            <w:r>
              <w:rPr>
                <w:rFonts w:ascii="Times New Roman" w:hAnsi="Times New Roman"/>
                <w:b/>
                <w:bCs/>
                <w:color w:val="000000" w:themeColor="text1"/>
                <w:szCs w:val="21"/>
                <w14:textFill>
                  <w14:solidFill>
                    <w14:schemeClr w14:val="tx1"/>
                  </w14:solidFill>
                </w14:textFill>
              </w:rPr>
              <w:t xml:space="preserve">  项目主要生产设备及设施一览表</w:t>
            </w:r>
          </w:p>
          <w:tbl>
            <w:tblPr>
              <w:tblStyle w:val="33"/>
              <w:tblW w:w="4995" w:type="pct"/>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2093"/>
              <w:gridCol w:w="2605"/>
              <w:gridCol w:w="1352"/>
              <w:gridCol w:w="1721"/>
            </w:tblGrid>
            <w:tr w14:paraId="5275417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4" w:type="pct"/>
                  <w:tcBorders>
                    <w:tl2br w:val="nil"/>
                    <w:tr2bl w:val="nil"/>
                  </w:tcBorders>
                  <w:noWrap w:val="0"/>
                  <w:vAlign w:val="center"/>
                </w:tcPr>
                <w:p w14:paraId="0B3D4EB8">
                  <w:pPr>
                    <w:pStyle w:val="129"/>
                    <w:keepNext w:val="0"/>
                    <w:keepLines w:val="0"/>
                    <w:pageBreakBefore w:val="0"/>
                    <w:kinsoku/>
                    <w:wordWrap/>
                    <w:overflowPunct/>
                    <w:topLinePunct w:val="0"/>
                    <w:autoSpaceDE/>
                    <w:autoSpaceDN/>
                    <w:bidi w:val="0"/>
                    <w:adjustRightInd/>
                    <w:snapToGrid/>
                    <w:ind w:left="0" w:leftChars="0" w:right="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序号</w:t>
                  </w:r>
                </w:p>
              </w:tc>
              <w:tc>
                <w:tcPr>
                  <w:tcW w:w="1243" w:type="pct"/>
                  <w:tcBorders>
                    <w:tl2br w:val="nil"/>
                    <w:tr2bl w:val="nil"/>
                  </w:tcBorders>
                  <w:noWrap w:val="0"/>
                  <w:vAlign w:val="center"/>
                </w:tcPr>
                <w:p w14:paraId="206A7614">
                  <w:pPr>
                    <w:pStyle w:val="129"/>
                    <w:keepNext w:val="0"/>
                    <w:keepLines w:val="0"/>
                    <w:pageBreakBefore w:val="0"/>
                    <w:kinsoku/>
                    <w:wordWrap/>
                    <w:overflowPunct/>
                    <w:topLinePunct w:val="0"/>
                    <w:autoSpaceDE/>
                    <w:autoSpaceDN/>
                    <w:bidi w:val="0"/>
                    <w:adjustRightInd/>
                    <w:snapToGrid/>
                    <w:ind w:left="0" w:leftChars="0" w:right="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设备名称</w:t>
                  </w:r>
                </w:p>
              </w:tc>
              <w:tc>
                <w:tcPr>
                  <w:tcW w:w="1547" w:type="pct"/>
                  <w:tcBorders>
                    <w:tl2br w:val="nil"/>
                    <w:tr2bl w:val="nil"/>
                  </w:tcBorders>
                  <w:noWrap w:val="0"/>
                  <w:vAlign w:val="center"/>
                </w:tcPr>
                <w:p w14:paraId="23FF73CB">
                  <w:pPr>
                    <w:pStyle w:val="129"/>
                    <w:keepNext w:val="0"/>
                    <w:keepLines w:val="0"/>
                    <w:pageBreakBefore w:val="0"/>
                    <w:kinsoku/>
                    <w:wordWrap/>
                    <w:overflowPunct/>
                    <w:topLinePunct w:val="0"/>
                    <w:autoSpaceDE/>
                    <w:autoSpaceDN/>
                    <w:bidi w:val="0"/>
                    <w:adjustRightInd/>
                    <w:snapToGrid/>
                    <w:ind w:left="0" w:leftChars="0" w:right="0"/>
                    <w:textAlignment w:val="auto"/>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型号</w:t>
                  </w:r>
                </w:p>
              </w:tc>
              <w:tc>
                <w:tcPr>
                  <w:tcW w:w="803" w:type="pct"/>
                  <w:tcBorders>
                    <w:tl2br w:val="nil"/>
                    <w:tr2bl w:val="nil"/>
                  </w:tcBorders>
                  <w:noWrap w:val="0"/>
                  <w:vAlign w:val="center"/>
                </w:tcPr>
                <w:p w14:paraId="54510733">
                  <w:pPr>
                    <w:pStyle w:val="129"/>
                    <w:keepNext w:val="0"/>
                    <w:keepLines w:val="0"/>
                    <w:pageBreakBefore w:val="0"/>
                    <w:kinsoku/>
                    <w:wordWrap/>
                    <w:overflowPunct/>
                    <w:topLinePunct w:val="0"/>
                    <w:autoSpaceDE/>
                    <w:autoSpaceDN/>
                    <w:bidi w:val="0"/>
                    <w:adjustRightInd/>
                    <w:snapToGrid/>
                    <w:ind w:left="0" w:leftChars="0" w:right="0"/>
                    <w:textAlignment w:val="auto"/>
                    <w:rPr>
                      <w:rFonts w:hint="eastAsia" w:eastAsia="宋体"/>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本次改建后数量</w:t>
                  </w:r>
                </w:p>
              </w:tc>
              <w:tc>
                <w:tcPr>
                  <w:tcW w:w="1022" w:type="pct"/>
                  <w:tcBorders>
                    <w:tl2br w:val="nil"/>
                    <w:tr2bl w:val="nil"/>
                  </w:tcBorders>
                  <w:noWrap w:val="0"/>
                  <w:vAlign w:val="center"/>
                </w:tcPr>
                <w:p w14:paraId="65AD3254">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备注</w:t>
                  </w:r>
                </w:p>
              </w:tc>
            </w:tr>
            <w:tr w14:paraId="6172E0C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4" w:type="pct"/>
                  <w:tcBorders>
                    <w:tl2br w:val="nil"/>
                    <w:tr2bl w:val="nil"/>
                  </w:tcBorders>
                  <w:noWrap w:val="0"/>
                  <w:vAlign w:val="center"/>
                </w:tcPr>
                <w:p w14:paraId="4D9AB2CD">
                  <w:pPr>
                    <w:pStyle w:val="129"/>
                    <w:keepNext w:val="0"/>
                    <w:keepLines w:val="0"/>
                    <w:pageBreakBefore w:val="0"/>
                    <w:kinsoku/>
                    <w:wordWrap/>
                    <w:overflowPunct/>
                    <w:topLinePunct w:val="0"/>
                    <w:autoSpaceDE/>
                    <w:autoSpaceDN/>
                    <w:bidi w:val="0"/>
                    <w:adjustRightInd/>
                    <w:snapToGrid/>
                    <w:ind w:left="0" w:leftChars="0" w:right="0"/>
                    <w:textAlignment w:val="auto"/>
                    <w:rPr>
                      <w:rFonts w:hint="eastAsia" w:eastAsia="宋体"/>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1</w:t>
                  </w:r>
                </w:p>
              </w:tc>
              <w:tc>
                <w:tcPr>
                  <w:tcW w:w="1243" w:type="pct"/>
                  <w:tcBorders>
                    <w:tl2br w:val="nil"/>
                    <w:tr2bl w:val="nil"/>
                  </w:tcBorders>
                  <w:noWrap w:val="0"/>
                  <w:vAlign w:val="center"/>
                </w:tcPr>
                <w:p w14:paraId="296504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u w:val="none"/>
                      <w:lang w:eastAsia="zh-CN"/>
                      <w14:textFill>
                        <w14:solidFill>
                          <w14:schemeClr w14:val="tx1"/>
                        </w14:solidFill>
                      </w14:textFill>
                    </w:rPr>
                    <w:t>生物质</w:t>
                  </w:r>
                  <w:r>
                    <w:rPr>
                      <w:rFonts w:hint="default" w:ascii="Times New Roman" w:hAnsi="Times New Roman" w:cs="Times New Roman"/>
                      <w:b w:val="0"/>
                      <w:bCs/>
                      <w:color w:val="000000" w:themeColor="text1"/>
                      <w:sz w:val="21"/>
                      <w:szCs w:val="21"/>
                      <w:u w:val="none"/>
                      <w14:textFill>
                        <w14:solidFill>
                          <w14:schemeClr w14:val="tx1"/>
                        </w14:solidFill>
                      </w14:textFill>
                    </w:rPr>
                    <w:t>锅炉</w:t>
                  </w:r>
                </w:p>
              </w:tc>
              <w:tc>
                <w:tcPr>
                  <w:tcW w:w="1547" w:type="pct"/>
                  <w:tcBorders>
                    <w:tl2br w:val="nil"/>
                    <w:tr2bl w:val="nil"/>
                  </w:tcBorders>
                  <w:noWrap w:val="0"/>
                  <w:vAlign w:val="center"/>
                </w:tcPr>
                <w:p w14:paraId="425A78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s="Times New Roman"/>
                      <w:b w:val="0"/>
                      <w:bCs/>
                      <w:color w:val="000000" w:themeColor="text1"/>
                      <w:szCs w:val="21"/>
                      <w:u w:val="none"/>
                      <w:lang w:val="en-US" w:eastAsia="zh-CN"/>
                      <w14:textFill>
                        <w14:solidFill>
                          <w14:schemeClr w14:val="tx1"/>
                        </w14:solidFill>
                      </w14:textFill>
                    </w:rPr>
                    <w:t>DZL3</w:t>
                  </w:r>
                  <w:r>
                    <w:rPr>
                      <w:rFonts w:hint="default" w:ascii="Times New Roman" w:hAnsi="Times New Roman" w:cs="Times New Roman"/>
                      <w:b w:val="0"/>
                      <w:bCs/>
                      <w:color w:val="000000" w:themeColor="text1"/>
                      <w:szCs w:val="21"/>
                      <w:u w:val="none"/>
                      <w:lang w:val="en-US" w:eastAsia="zh-CN"/>
                      <w14:textFill>
                        <w14:solidFill>
                          <w14:schemeClr w14:val="tx1"/>
                        </w14:solidFill>
                      </w14:textFill>
                    </w:rPr>
                    <w:t>-1.25-SCIII</w:t>
                  </w:r>
                  <w:r>
                    <w:rPr>
                      <w:rFonts w:hint="eastAsia" w:cs="Times New Roman"/>
                      <w:b w:val="0"/>
                      <w:bCs/>
                      <w:color w:val="000000" w:themeColor="text1"/>
                      <w:szCs w:val="21"/>
                      <w:u w:val="none"/>
                      <w:lang w:val="en-US" w:eastAsia="zh-CN"/>
                      <w14:textFill>
                        <w14:solidFill>
                          <w14:schemeClr w14:val="tx1"/>
                        </w14:solidFill>
                      </w14:textFill>
                    </w:rPr>
                    <w:t>；即</w:t>
                  </w:r>
                  <w:r>
                    <w:rPr>
                      <w:rFonts w:hint="eastAsia"/>
                      <w:color w:val="000000" w:themeColor="text1"/>
                      <w:sz w:val="21"/>
                      <w:szCs w:val="21"/>
                      <w:lang w:val="en-US" w:eastAsia="zh-CN"/>
                      <w14:textFill>
                        <w14:solidFill>
                          <w14:schemeClr w14:val="tx1"/>
                        </w14:solidFill>
                      </w14:textFill>
                    </w:rPr>
                    <w:t>额定蒸发量3t/h；额定蒸汽压力1.25MPa</w:t>
                  </w:r>
                </w:p>
              </w:tc>
              <w:tc>
                <w:tcPr>
                  <w:tcW w:w="803" w:type="pct"/>
                  <w:tcBorders>
                    <w:tl2br w:val="nil"/>
                    <w:tr2bl w:val="nil"/>
                  </w:tcBorders>
                  <w:noWrap w:val="0"/>
                  <w:vAlign w:val="center"/>
                </w:tcPr>
                <w:p w14:paraId="76F4985F">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eastAsia"/>
                      <w:b/>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szCs w:val="21"/>
                      <w:u w:val="none"/>
                      <w:lang w:val="en-US" w:eastAsia="zh-CN"/>
                      <w14:textFill>
                        <w14:solidFill>
                          <w14:schemeClr w14:val="tx1"/>
                        </w14:solidFill>
                      </w14:textFill>
                    </w:rPr>
                    <w:t>1</w:t>
                  </w:r>
                  <w:r>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t>台</w:t>
                  </w:r>
                </w:p>
              </w:tc>
              <w:tc>
                <w:tcPr>
                  <w:tcW w:w="1022" w:type="pct"/>
                  <w:tcBorders>
                    <w:tl2br w:val="nil"/>
                    <w:tr2bl w:val="nil"/>
                  </w:tcBorders>
                  <w:noWrap w:val="0"/>
                  <w:vAlign w:val="center"/>
                </w:tcPr>
                <w:p w14:paraId="5F161F28">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t>新增</w:t>
                  </w:r>
                </w:p>
              </w:tc>
            </w:tr>
            <w:tr w14:paraId="58B52AA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4" w:type="pct"/>
                  <w:tcBorders>
                    <w:tl2br w:val="nil"/>
                    <w:tr2bl w:val="nil"/>
                  </w:tcBorders>
                  <w:noWrap w:val="0"/>
                  <w:vAlign w:val="center"/>
                </w:tcPr>
                <w:p w14:paraId="4D05B59F">
                  <w:pPr>
                    <w:pStyle w:val="129"/>
                    <w:keepNext w:val="0"/>
                    <w:keepLines w:val="0"/>
                    <w:pageBreakBefore w:val="0"/>
                    <w:kinsoku/>
                    <w:wordWrap/>
                    <w:overflowPunct/>
                    <w:topLinePunct w:val="0"/>
                    <w:autoSpaceDE/>
                    <w:autoSpaceDN/>
                    <w:bidi w:val="0"/>
                    <w:adjustRightInd/>
                    <w:snapToGrid/>
                    <w:ind w:left="0" w:leftChars="0" w:right="0"/>
                    <w:textAlignment w:val="auto"/>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1.1</w:t>
                  </w:r>
                </w:p>
              </w:tc>
              <w:tc>
                <w:tcPr>
                  <w:tcW w:w="1243" w:type="pct"/>
                  <w:tcBorders>
                    <w:tl2br w:val="nil"/>
                    <w:tr2bl w:val="nil"/>
                  </w:tcBorders>
                  <w:noWrap w:val="0"/>
                  <w:vAlign w:val="center"/>
                </w:tcPr>
                <w:p w14:paraId="40412CEE">
                  <w:pPr>
                    <w:pStyle w:val="129"/>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cs="Times New Roman"/>
                      <w:b w:val="0"/>
                      <w:bCs/>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锅炉</w:t>
                  </w:r>
                  <w:r>
                    <w:rPr>
                      <w:rFonts w:hint="eastAsia" w:cs="Times New Roman"/>
                      <w:color w:val="000000" w:themeColor="text1"/>
                      <w:sz w:val="21"/>
                      <w:szCs w:val="21"/>
                      <w:lang w:val="en-US" w:eastAsia="zh-CN"/>
                      <w14:textFill>
                        <w14:solidFill>
                          <w14:schemeClr w14:val="tx1"/>
                        </w14:solidFill>
                      </w14:textFill>
                    </w:rPr>
                    <w:t>鼓风机</w:t>
                  </w:r>
                </w:p>
              </w:tc>
              <w:tc>
                <w:tcPr>
                  <w:tcW w:w="1547" w:type="pct"/>
                  <w:tcBorders>
                    <w:tl2br w:val="nil"/>
                    <w:tr2bl w:val="nil"/>
                  </w:tcBorders>
                  <w:noWrap w:val="0"/>
                  <w:vAlign w:val="center"/>
                </w:tcPr>
                <w:p w14:paraId="04C29B44">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t>4-72 NO4.5A；5.5kW电机</w:t>
                  </w:r>
                </w:p>
              </w:tc>
              <w:tc>
                <w:tcPr>
                  <w:tcW w:w="803" w:type="pct"/>
                  <w:tcBorders>
                    <w:tl2br w:val="nil"/>
                    <w:tr2bl w:val="nil"/>
                  </w:tcBorders>
                  <w:noWrap w:val="0"/>
                  <w:vAlign w:val="center"/>
                </w:tcPr>
                <w:p w14:paraId="1A27A0B1">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cs="Times New Roman"/>
                      <w:b w:val="0"/>
                      <w:bCs/>
                      <w:color w:val="000000" w:themeColor="text1"/>
                      <w:sz w:val="21"/>
                      <w:szCs w:val="21"/>
                      <w:u w:val="none"/>
                      <w:lang w:val="en-US" w:eastAsia="zh-CN"/>
                      <w14:textFill>
                        <w14:solidFill>
                          <w14:schemeClr w14:val="tx1"/>
                        </w14:solidFill>
                      </w14:textFill>
                    </w:rPr>
                  </w:pPr>
                  <w:r>
                    <w:rPr>
                      <w:rFonts w:hint="eastAsia" w:cs="Times New Roman"/>
                      <w:b w:val="0"/>
                      <w:bCs/>
                      <w:color w:val="000000" w:themeColor="text1"/>
                      <w:sz w:val="21"/>
                      <w:szCs w:val="21"/>
                      <w:u w:val="none"/>
                      <w:lang w:val="en-US" w:eastAsia="zh-CN"/>
                      <w14:textFill>
                        <w14:solidFill>
                          <w14:schemeClr w14:val="tx1"/>
                        </w14:solidFill>
                      </w14:textFill>
                    </w:rPr>
                    <w:t>1台</w:t>
                  </w:r>
                </w:p>
              </w:tc>
              <w:tc>
                <w:tcPr>
                  <w:tcW w:w="1022" w:type="pct"/>
                  <w:tcBorders>
                    <w:tl2br w:val="nil"/>
                    <w:tr2bl w:val="nil"/>
                  </w:tcBorders>
                  <w:noWrap w:val="0"/>
                  <w:vAlign w:val="center"/>
                </w:tcPr>
                <w:p w14:paraId="225F4A26">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t>新增</w:t>
                  </w:r>
                </w:p>
              </w:tc>
            </w:tr>
            <w:tr w14:paraId="2D085FE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4" w:type="pct"/>
                  <w:tcBorders>
                    <w:tl2br w:val="nil"/>
                    <w:tr2bl w:val="nil"/>
                  </w:tcBorders>
                  <w:noWrap w:val="0"/>
                  <w:vAlign w:val="center"/>
                </w:tcPr>
                <w:p w14:paraId="23E8414D">
                  <w:pPr>
                    <w:pStyle w:val="129"/>
                    <w:keepNext w:val="0"/>
                    <w:keepLines w:val="0"/>
                    <w:pageBreakBefore w:val="0"/>
                    <w:kinsoku/>
                    <w:wordWrap/>
                    <w:overflowPunct/>
                    <w:topLinePunct w:val="0"/>
                    <w:autoSpaceDE/>
                    <w:autoSpaceDN/>
                    <w:bidi w:val="0"/>
                    <w:adjustRightInd/>
                    <w:snapToGrid/>
                    <w:ind w:left="0" w:leftChars="0" w:right="0"/>
                    <w:textAlignment w:val="auto"/>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1.2</w:t>
                  </w:r>
                </w:p>
              </w:tc>
              <w:tc>
                <w:tcPr>
                  <w:tcW w:w="1243" w:type="pct"/>
                  <w:tcBorders>
                    <w:tl2br w:val="nil"/>
                    <w:tr2bl w:val="nil"/>
                  </w:tcBorders>
                  <w:noWrap w:val="0"/>
                  <w:vAlign w:val="center"/>
                </w:tcPr>
                <w:p w14:paraId="129F1085">
                  <w:pPr>
                    <w:pStyle w:val="129"/>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cs="Times New Roman"/>
                      <w:b w:val="0"/>
                      <w:bCs/>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锅炉</w:t>
                  </w:r>
                  <w:r>
                    <w:rPr>
                      <w:rFonts w:hint="eastAsia" w:cs="Times New Roman"/>
                      <w:color w:val="000000" w:themeColor="text1"/>
                      <w:sz w:val="21"/>
                      <w:szCs w:val="21"/>
                      <w:lang w:val="en-US" w:eastAsia="zh-CN"/>
                      <w14:textFill>
                        <w14:solidFill>
                          <w14:schemeClr w14:val="tx1"/>
                        </w14:solidFill>
                      </w14:textFill>
                    </w:rPr>
                    <w:t>二次风机</w:t>
                  </w:r>
                </w:p>
              </w:tc>
              <w:tc>
                <w:tcPr>
                  <w:tcW w:w="1547" w:type="pct"/>
                  <w:tcBorders>
                    <w:tl2br w:val="nil"/>
                    <w:tr2bl w:val="nil"/>
                  </w:tcBorders>
                  <w:noWrap w:val="0"/>
                  <w:vAlign w:val="center"/>
                </w:tcPr>
                <w:p w14:paraId="364567B7">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t>9-19 NO4A ；2.2 kW电机</w:t>
                  </w:r>
                </w:p>
              </w:tc>
              <w:tc>
                <w:tcPr>
                  <w:tcW w:w="803" w:type="pct"/>
                  <w:tcBorders>
                    <w:tl2br w:val="nil"/>
                    <w:tr2bl w:val="nil"/>
                  </w:tcBorders>
                  <w:noWrap w:val="0"/>
                  <w:vAlign w:val="center"/>
                </w:tcPr>
                <w:p w14:paraId="3C0B1EA9">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cs="Times New Roman"/>
                      <w:b w:val="0"/>
                      <w:bCs/>
                      <w:color w:val="000000" w:themeColor="text1"/>
                      <w:sz w:val="21"/>
                      <w:szCs w:val="21"/>
                      <w:u w:val="none"/>
                      <w:lang w:val="en-US" w:eastAsia="zh-CN"/>
                      <w14:textFill>
                        <w14:solidFill>
                          <w14:schemeClr w14:val="tx1"/>
                        </w14:solidFill>
                      </w14:textFill>
                    </w:rPr>
                  </w:pPr>
                  <w:r>
                    <w:rPr>
                      <w:rFonts w:hint="eastAsia" w:cs="Times New Roman"/>
                      <w:b w:val="0"/>
                      <w:bCs/>
                      <w:color w:val="000000" w:themeColor="text1"/>
                      <w:sz w:val="21"/>
                      <w:szCs w:val="21"/>
                      <w:u w:val="none"/>
                      <w:lang w:val="en-US" w:eastAsia="zh-CN"/>
                      <w14:textFill>
                        <w14:solidFill>
                          <w14:schemeClr w14:val="tx1"/>
                        </w14:solidFill>
                      </w14:textFill>
                    </w:rPr>
                    <w:t>1台</w:t>
                  </w:r>
                </w:p>
              </w:tc>
              <w:tc>
                <w:tcPr>
                  <w:tcW w:w="1022" w:type="pct"/>
                  <w:tcBorders>
                    <w:tl2br w:val="nil"/>
                    <w:tr2bl w:val="nil"/>
                  </w:tcBorders>
                  <w:noWrap w:val="0"/>
                  <w:vAlign w:val="center"/>
                </w:tcPr>
                <w:p w14:paraId="22313EC6">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t>新增</w:t>
                  </w:r>
                </w:p>
              </w:tc>
            </w:tr>
            <w:tr w14:paraId="3C5759F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4" w:type="pct"/>
                  <w:tcBorders>
                    <w:tl2br w:val="nil"/>
                    <w:tr2bl w:val="nil"/>
                  </w:tcBorders>
                  <w:noWrap w:val="0"/>
                  <w:vAlign w:val="center"/>
                </w:tcPr>
                <w:p w14:paraId="742D809C">
                  <w:pPr>
                    <w:pStyle w:val="129"/>
                    <w:keepNext w:val="0"/>
                    <w:keepLines w:val="0"/>
                    <w:pageBreakBefore w:val="0"/>
                    <w:kinsoku/>
                    <w:wordWrap/>
                    <w:overflowPunct/>
                    <w:topLinePunct w:val="0"/>
                    <w:autoSpaceDE/>
                    <w:autoSpaceDN/>
                    <w:bidi w:val="0"/>
                    <w:adjustRightInd/>
                    <w:snapToGrid/>
                    <w:ind w:left="0" w:leftChars="0" w:right="0"/>
                    <w:textAlignment w:val="auto"/>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1.3</w:t>
                  </w:r>
                </w:p>
              </w:tc>
              <w:tc>
                <w:tcPr>
                  <w:tcW w:w="1243" w:type="pct"/>
                  <w:tcBorders>
                    <w:tl2br w:val="nil"/>
                    <w:tr2bl w:val="nil"/>
                  </w:tcBorders>
                  <w:noWrap w:val="0"/>
                  <w:vAlign w:val="center"/>
                </w:tcPr>
                <w:p w14:paraId="4F792401">
                  <w:pPr>
                    <w:pStyle w:val="129"/>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cs="Times New Roman"/>
                      <w:b w:val="0"/>
                      <w:bCs/>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锅炉</w:t>
                  </w:r>
                  <w:r>
                    <w:rPr>
                      <w:rFonts w:hint="eastAsia" w:cs="Times New Roman"/>
                      <w:color w:val="000000" w:themeColor="text1"/>
                      <w:sz w:val="21"/>
                      <w:szCs w:val="21"/>
                      <w:lang w:val="en-US" w:eastAsia="zh-CN"/>
                      <w14:textFill>
                        <w14:solidFill>
                          <w14:schemeClr w14:val="tx1"/>
                        </w14:solidFill>
                      </w14:textFill>
                    </w:rPr>
                    <w:t>引风机</w:t>
                  </w:r>
                </w:p>
              </w:tc>
              <w:tc>
                <w:tcPr>
                  <w:tcW w:w="1547" w:type="pct"/>
                  <w:tcBorders>
                    <w:tl2br w:val="nil"/>
                    <w:tr2bl w:val="nil"/>
                  </w:tcBorders>
                  <w:noWrap w:val="0"/>
                  <w:vAlign w:val="center"/>
                </w:tcPr>
                <w:p w14:paraId="48EB106F">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t>Y5-47 NO6C；18.5kW电机</w:t>
                  </w:r>
                </w:p>
              </w:tc>
              <w:tc>
                <w:tcPr>
                  <w:tcW w:w="803" w:type="pct"/>
                  <w:tcBorders>
                    <w:tl2br w:val="nil"/>
                    <w:tr2bl w:val="nil"/>
                  </w:tcBorders>
                  <w:noWrap w:val="0"/>
                  <w:vAlign w:val="center"/>
                </w:tcPr>
                <w:p w14:paraId="323CEF3B">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cs="Times New Roman"/>
                      <w:b w:val="0"/>
                      <w:bCs/>
                      <w:color w:val="000000" w:themeColor="text1"/>
                      <w:sz w:val="21"/>
                      <w:szCs w:val="21"/>
                      <w:u w:val="none"/>
                      <w:lang w:val="en-US" w:eastAsia="zh-CN"/>
                      <w14:textFill>
                        <w14:solidFill>
                          <w14:schemeClr w14:val="tx1"/>
                        </w14:solidFill>
                      </w14:textFill>
                    </w:rPr>
                  </w:pPr>
                  <w:r>
                    <w:rPr>
                      <w:rFonts w:hint="eastAsia" w:cs="Times New Roman"/>
                      <w:b w:val="0"/>
                      <w:bCs/>
                      <w:color w:val="000000" w:themeColor="text1"/>
                      <w:sz w:val="21"/>
                      <w:szCs w:val="21"/>
                      <w:u w:val="none"/>
                      <w:lang w:val="en-US" w:eastAsia="zh-CN"/>
                      <w14:textFill>
                        <w14:solidFill>
                          <w14:schemeClr w14:val="tx1"/>
                        </w14:solidFill>
                      </w14:textFill>
                    </w:rPr>
                    <w:t>1台</w:t>
                  </w:r>
                </w:p>
              </w:tc>
              <w:tc>
                <w:tcPr>
                  <w:tcW w:w="1022" w:type="pct"/>
                  <w:tcBorders>
                    <w:tl2br w:val="nil"/>
                    <w:tr2bl w:val="nil"/>
                  </w:tcBorders>
                  <w:noWrap w:val="0"/>
                  <w:vAlign w:val="center"/>
                </w:tcPr>
                <w:p w14:paraId="44FB1F13">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t>新增</w:t>
                  </w:r>
                </w:p>
              </w:tc>
            </w:tr>
            <w:tr w14:paraId="3AEA14F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4" w:type="pct"/>
                  <w:tcBorders>
                    <w:tl2br w:val="nil"/>
                    <w:tr2bl w:val="nil"/>
                  </w:tcBorders>
                  <w:noWrap w:val="0"/>
                  <w:vAlign w:val="center"/>
                </w:tcPr>
                <w:p w14:paraId="5CDC71A3">
                  <w:pPr>
                    <w:pStyle w:val="129"/>
                    <w:keepNext w:val="0"/>
                    <w:keepLines w:val="0"/>
                    <w:pageBreakBefore w:val="0"/>
                    <w:kinsoku/>
                    <w:wordWrap/>
                    <w:overflowPunct/>
                    <w:topLinePunct w:val="0"/>
                    <w:autoSpaceDE/>
                    <w:autoSpaceDN/>
                    <w:bidi w:val="0"/>
                    <w:adjustRightInd/>
                    <w:snapToGrid/>
                    <w:ind w:left="0" w:leftChars="0" w:right="0"/>
                    <w:textAlignment w:val="auto"/>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2</w:t>
                  </w:r>
                </w:p>
              </w:tc>
              <w:tc>
                <w:tcPr>
                  <w:tcW w:w="1243" w:type="pct"/>
                  <w:tcBorders>
                    <w:tl2br w:val="nil"/>
                    <w:tr2bl w:val="nil"/>
                  </w:tcBorders>
                  <w:noWrap w:val="0"/>
                  <w:vAlign w:val="center"/>
                </w:tcPr>
                <w:p w14:paraId="4CB2A0EE">
                  <w:pPr>
                    <w:pStyle w:val="170"/>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蒸汽</w:t>
                  </w:r>
                  <w:r>
                    <w:rPr>
                      <w:rFonts w:hint="eastAsia" w:cs="Times New Roman"/>
                      <w:color w:val="000000" w:themeColor="text1"/>
                      <w:sz w:val="21"/>
                      <w:szCs w:val="21"/>
                      <w:lang w:val="en-US" w:eastAsia="zh-CN"/>
                      <w14:textFill>
                        <w14:solidFill>
                          <w14:schemeClr w14:val="tx1"/>
                        </w14:solidFill>
                      </w14:textFill>
                    </w:rPr>
                    <w:t>中转</w:t>
                  </w:r>
                  <w:r>
                    <w:rPr>
                      <w:rFonts w:hint="eastAsia" w:eastAsia="宋体" w:cs="Times New Roman"/>
                      <w:color w:val="000000" w:themeColor="text1"/>
                      <w:sz w:val="21"/>
                      <w:szCs w:val="21"/>
                      <w:lang w:val="en-US" w:eastAsia="zh-CN"/>
                      <w14:textFill>
                        <w14:solidFill>
                          <w14:schemeClr w14:val="tx1"/>
                        </w14:solidFill>
                      </w14:textFill>
                    </w:rPr>
                    <w:t>罐</w:t>
                  </w:r>
                </w:p>
              </w:tc>
              <w:tc>
                <w:tcPr>
                  <w:tcW w:w="1547" w:type="pct"/>
                  <w:tcBorders>
                    <w:tl2br w:val="nil"/>
                    <w:tr2bl w:val="nil"/>
                  </w:tcBorders>
                  <w:noWrap w:val="0"/>
                  <w:vAlign w:val="center"/>
                </w:tcPr>
                <w:p w14:paraId="26AB4416">
                  <w:pPr>
                    <w:pStyle w:val="170"/>
                    <w:keepNext w:val="0"/>
                    <w:keepLines w:val="0"/>
                    <w:pageBreakBefore w:val="0"/>
                    <w:kinsoku/>
                    <w:wordWrap/>
                    <w:overflowPunct/>
                    <w:topLinePunct w:val="0"/>
                    <w:autoSpaceDE/>
                    <w:autoSpaceDN/>
                    <w:bidi w:val="0"/>
                    <w:adjustRightInd/>
                    <w:snapToGrid/>
                    <w:spacing w:line="240" w:lineRule="auto"/>
                    <w:textAlignment w:val="auto"/>
                    <w:rPr>
                      <w:rFonts w:hint="default" w:eastAsia="宋体"/>
                      <w:b w:val="0"/>
                      <w:bCs w:val="0"/>
                      <w:color w:val="000000" w:themeColor="text1"/>
                      <w:sz w:val="21"/>
                      <w:szCs w:val="21"/>
                      <w:vertAlign w:val="superscript"/>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3m</w:t>
                  </w:r>
                  <w:r>
                    <w:rPr>
                      <w:rFonts w:hint="eastAsia"/>
                      <w:b w:val="0"/>
                      <w:bCs w:val="0"/>
                      <w:color w:val="000000" w:themeColor="text1"/>
                      <w:sz w:val="21"/>
                      <w:szCs w:val="21"/>
                      <w:vertAlign w:val="superscript"/>
                      <w:lang w:val="en-US" w:eastAsia="zh-CN"/>
                      <w14:textFill>
                        <w14:solidFill>
                          <w14:schemeClr w14:val="tx1"/>
                        </w14:solidFill>
                      </w14:textFill>
                    </w:rPr>
                    <w:t>3</w:t>
                  </w:r>
                </w:p>
              </w:tc>
              <w:tc>
                <w:tcPr>
                  <w:tcW w:w="803" w:type="pct"/>
                  <w:tcBorders>
                    <w:tl2br w:val="nil"/>
                    <w:tr2bl w:val="nil"/>
                  </w:tcBorders>
                  <w:noWrap w:val="0"/>
                  <w:vAlign w:val="center"/>
                </w:tcPr>
                <w:p w14:paraId="276DEF08">
                  <w:pPr>
                    <w:pStyle w:val="129"/>
                    <w:keepNext w:val="0"/>
                    <w:keepLines w:val="0"/>
                    <w:pageBreakBefore w:val="0"/>
                    <w:kinsoku/>
                    <w:wordWrap/>
                    <w:overflowPunct/>
                    <w:topLinePunct w:val="0"/>
                    <w:autoSpaceDE/>
                    <w:autoSpaceDN/>
                    <w:bidi w:val="0"/>
                    <w:adjustRightInd/>
                    <w:snapToGrid/>
                    <w:ind w:left="0" w:leftChars="0" w:right="0"/>
                    <w:textAlignment w:val="auto"/>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1个</w:t>
                  </w:r>
                </w:p>
              </w:tc>
              <w:tc>
                <w:tcPr>
                  <w:tcW w:w="1022" w:type="pct"/>
                  <w:tcBorders>
                    <w:tl2br w:val="nil"/>
                    <w:tr2bl w:val="nil"/>
                  </w:tcBorders>
                  <w:noWrap w:val="0"/>
                  <w:vAlign w:val="center"/>
                </w:tcPr>
                <w:p w14:paraId="0E7F579A">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default"/>
                      <w:b w:val="0"/>
                      <w:bCs w:val="0"/>
                      <w:color w:val="000000" w:themeColor="text1"/>
                      <w:sz w:val="21"/>
                      <w:szCs w:val="21"/>
                      <w:vertAlign w:val="superscript"/>
                      <w:lang w:val="en-US" w:eastAsia="zh-CN"/>
                      <w14:textFill>
                        <w14:solidFill>
                          <w14:schemeClr w14:val="tx1"/>
                        </w14:solidFill>
                      </w14:textFill>
                    </w:rPr>
                  </w:pPr>
                  <w:r>
                    <w:rPr>
                      <w:rFonts w:hint="eastAsia"/>
                      <w:b w:val="0"/>
                      <w:bCs w:val="0"/>
                      <w:color w:val="000000" w:themeColor="text1"/>
                      <w:sz w:val="21"/>
                      <w:szCs w:val="21"/>
                      <w:lang w:eastAsia="zh-CN"/>
                      <w14:textFill>
                        <w14:solidFill>
                          <w14:schemeClr w14:val="tx1"/>
                        </w14:solidFill>
                      </w14:textFill>
                    </w:rPr>
                    <w:t>依托现有</w:t>
                  </w:r>
                </w:p>
              </w:tc>
            </w:tr>
            <w:tr w14:paraId="2A90E52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4" w:type="pct"/>
                  <w:tcBorders>
                    <w:tl2br w:val="nil"/>
                    <w:tr2bl w:val="nil"/>
                  </w:tcBorders>
                  <w:noWrap w:val="0"/>
                  <w:vAlign w:val="center"/>
                </w:tcPr>
                <w:p w14:paraId="04FA7E34">
                  <w:pPr>
                    <w:pStyle w:val="129"/>
                    <w:keepNext w:val="0"/>
                    <w:keepLines w:val="0"/>
                    <w:pageBreakBefore w:val="0"/>
                    <w:kinsoku/>
                    <w:wordWrap/>
                    <w:overflowPunct/>
                    <w:topLinePunct w:val="0"/>
                    <w:autoSpaceDE/>
                    <w:autoSpaceDN/>
                    <w:bidi w:val="0"/>
                    <w:adjustRightInd/>
                    <w:snapToGrid/>
                    <w:ind w:left="0" w:leftChars="0" w:right="0"/>
                    <w:textAlignment w:val="auto"/>
                    <w:rPr>
                      <w:rFonts w:hint="default"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3</w:t>
                  </w:r>
                </w:p>
              </w:tc>
              <w:tc>
                <w:tcPr>
                  <w:tcW w:w="1243" w:type="pct"/>
                  <w:tcBorders>
                    <w:tl2br w:val="nil"/>
                    <w:tr2bl w:val="nil"/>
                  </w:tcBorders>
                  <w:noWrap w:val="0"/>
                  <w:vAlign w:val="center"/>
                </w:tcPr>
                <w:p w14:paraId="650C0B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000000" w:themeColor="text1"/>
                      <w:sz w:val="21"/>
                      <w:szCs w:val="21"/>
                      <w:u w:val="none"/>
                      <w:lang w:eastAsia="zh-CN"/>
                      <w14:textFill>
                        <w14:solidFill>
                          <w14:schemeClr w14:val="tx1"/>
                        </w14:solidFill>
                      </w14:textFill>
                    </w:rPr>
                  </w:pPr>
                  <w:r>
                    <w:rPr>
                      <w:rFonts w:hint="eastAsia" w:ascii="Times New Roman" w:hAnsi="Times New Roman" w:cs="Times New Roman"/>
                      <w:b w:val="0"/>
                      <w:bCs/>
                      <w:color w:val="000000" w:themeColor="text1"/>
                      <w:sz w:val="21"/>
                      <w:szCs w:val="21"/>
                      <w:u w:val="none"/>
                      <w:lang w:eastAsia="zh-CN"/>
                      <w14:textFill>
                        <w14:solidFill>
                          <w14:schemeClr w14:val="tx1"/>
                        </w14:solidFill>
                      </w14:textFill>
                    </w:rPr>
                    <w:t>软水制备设备</w:t>
                  </w:r>
                </w:p>
              </w:tc>
              <w:tc>
                <w:tcPr>
                  <w:tcW w:w="1547" w:type="pct"/>
                  <w:tcBorders>
                    <w:tl2br w:val="nil"/>
                    <w:tr2bl w:val="nil"/>
                  </w:tcBorders>
                  <w:noWrap w:val="0"/>
                  <w:vAlign w:val="center"/>
                </w:tcPr>
                <w:p w14:paraId="4E0B8753">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cs="Times New Roman"/>
                      <w:b w:val="0"/>
                      <w:bCs/>
                      <w:color w:val="000000" w:themeColor="text1"/>
                      <w:sz w:val="21"/>
                      <w:szCs w:val="21"/>
                      <w:u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t>JSY-WT-3型；树脂罐尺寸为φ350*1650mm；</w:t>
                  </w:r>
                </w:p>
                <w:p w14:paraId="2C8A58EF">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cs="Times New Roman"/>
                      <w:b w:val="0"/>
                      <w:bCs/>
                      <w:color w:val="000000" w:themeColor="text1"/>
                      <w:sz w:val="21"/>
                      <w:szCs w:val="21"/>
                      <w:u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t>出</w:t>
                  </w:r>
                  <w:r>
                    <w:rPr>
                      <w:rFonts w:hint="default" w:ascii="Times New Roman" w:hAnsi="Times New Roman" w:cs="Times New Roman"/>
                      <w:b w:val="0"/>
                      <w:bCs/>
                      <w:color w:val="000000" w:themeColor="text1"/>
                      <w:sz w:val="21"/>
                      <w:szCs w:val="21"/>
                      <w:u w:val="none"/>
                      <w:lang w:val="en-US" w:eastAsia="zh-CN"/>
                      <w14:textFill>
                        <w14:solidFill>
                          <w14:schemeClr w14:val="tx1"/>
                        </w14:solidFill>
                      </w14:textFill>
                    </w:rPr>
                    <w:t>水量</w:t>
                  </w:r>
                  <w:r>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t>3m</w:t>
                  </w:r>
                  <w:r>
                    <w:rPr>
                      <w:rFonts w:hint="eastAsia" w:ascii="Times New Roman" w:hAnsi="Times New Roman" w:cs="Times New Roman"/>
                      <w:b w:val="0"/>
                      <w:bCs/>
                      <w:color w:val="000000" w:themeColor="text1"/>
                      <w:sz w:val="21"/>
                      <w:szCs w:val="21"/>
                      <w:u w:val="none"/>
                      <w:vertAlign w:val="superscript"/>
                      <w:lang w:val="en-US" w:eastAsia="zh-CN"/>
                      <w14:textFill>
                        <w14:solidFill>
                          <w14:schemeClr w14:val="tx1"/>
                        </w14:solidFill>
                      </w14:textFill>
                    </w:rPr>
                    <w:t>3</w:t>
                  </w:r>
                  <w:r>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t>/h。</w:t>
                  </w:r>
                </w:p>
              </w:tc>
              <w:tc>
                <w:tcPr>
                  <w:tcW w:w="803" w:type="pct"/>
                  <w:tcBorders>
                    <w:tl2br w:val="nil"/>
                    <w:tr2bl w:val="nil"/>
                  </w:tcBorders>
                  <w:noWrap w:val="0"/>
                  <w:vAlign w:val="center"/>
                </w:tcPr>
                <w:p w14:paraId="69E9B0AA">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t>1套</w:t>
                  </w:r>
                </w:p>
              </w:tc>
              <w:tc>
                <w:tcPr>
                  <w:tcW w:w="1022" w:type="pct"/>
                  <w:tcBorders>
                    <w:tl2br w:val="nil"/>
                    <w:tr2bl w:val="nil"/>
                  </w:tcBorders>
                  <w:noWrap w:val="0"/>
                  <w:vAlign w:val="center"/>
                </w:tcPr>
                <w:p w14:paraId="12964C6C">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新增</w:t>
                  </w:r>
                </w:p>
              </w:tc>
            </w:tr>
            <w:tr w14:paraId="789363D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4" w:type="pct"/>
                  <w:tcBorders>
                    <w:tl2br w:val="nil"/>
                    <w:tr2bl w:val="nil"/>
                  </w:tcBorders>
                  <w:noWrap w:val="0"/>
                  <w:vAlign w:val="center"/>
                </w:tcPr>
                <w:p w14:paraId="5D32D4CE">
                  <w:pPr>
                    <w:pStyle w:val="129"/>
                    <w:keepNext w:val="0"/>
                    <w:keepLines w:val="0"/>
                    <w:pageBreakBefore w:val="0"/>
                    <w:kinsoku/>
                    <w:wordWrap/>
                    <w:overflowPunct/>
                    <w:topLinePunct w:val="0"/>
                    <w:autoSpaceDE/>
                    <w:autoSpaceDN/>
                    <w:bidi w:val="0"/>
                    <w:adjustRightInd/>
                    <w:snapToGrid/>
                    <w:ind w:left="0" w:leftChars="0" w:right="0"/>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1243" w:type="pct"/>
                  <w:tcBorders>
                    <w:tl2br w:val="nil"/>
                    <w:tr2bl w:val="nil"/>
                  </w:tcBorders>
                  <w:noWrap w:val="0"/>
                  <w:vAlign w:val="center"/>
                </w:tcPr>
                <w:p w14:paraId="22950D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000000" w:themeColor="text1"/>
                      <w:sz w:val="21"/>
                      <w:szCs w:val="21"/>
                      <w:u w:val="none"/>
                      <w:lang w:eastAsia="zh-CN"/>
                      <w14:textFill>
                        <w14:solidFill>
                          <w14:schemeClr w14:val="tx1"/>
                        </w14:solidFill>
                      </w14:textFill>
                    </w:rPr>
                  </w:pPr>
                  <w:r>
                    <w:rPr>
                      <w:rFonts w:hint="eastAsia" w:ascii="Times New Roman" w:hAnsi="Times New Roman" w:cs="Times New Roman"/>
                      <w:b w:val="0"/>
                      <w:bCs/>
                      <w:color w:val="000000" w:themeColor="text1"/>
                      <w:sz w:val="21"/>
                      <w:szCs w:val="21"/>
                      <w:u w:val="none"/>
                      <w:lang w:eastAsia="zh-CN"/>
                      <w14:textFill>
                        <w14:solidFill>
                          <w14:schemeClr w14:val="tx1"/>
                        </w14:solidFill>
                      </w14:textFill>
                    </w:rPr>
                    <w:t>锅炉废气治理设施</w:t>
                  </w:r>
                </w:p>
              </w:tc>
              <w:tc>
                <w:tcPr>
                  <w:tcW w:w="1547" w:type="pct"/>
                  <w:tcBorders>
                    <w:tl2br w:val="nil"/>
                    <w:tr2bl w:val="nil"/>
                  </w:tcBorders>
                  <w:noWrap w:val="0"/>
                  <w:vAlign w:val="center"/>
                </w:tcPr>
                <w:p w14:paraId="6C5205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新增1套“低氮燃烧+旋风除尘+布袋除尘”+现有1根30m高排气筒DA001</w:t>
                  </w:r>
                </w:p>
              </w:tc>
              <w:tc>
                <w:tcPr>
                  <w:tcW w:w="803" w:type="pct"/>
                  <w:tcBorders>
                    <w:tl2br w:val="nil"/>
                    <w:tr2bl w:val="nil"/>
                  </w:tcBorders>
                  <w:noWrap w:val="0"/>
                  <w:vAlign w:val="center"/>
                </w:tcPr>
                <w:p w14:paraId="64BDEFA6">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default" w:eastAsia="宋体"/>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t>1套</w:t>
                  </w:r>
                </w:p>
              </w:tc>
              <w:tc>
                <w:tcPr>
                  <w:tcW w:w="1022" w:type="pct"/>
                  <w:tcBorders>
                    <w:tl2br w:val="nil"/>
                    <w:tr2bl w:val="nil"/>
                  </w:tcBorders>
                  <w:noWrap w:val="0"/>
                  <w:vAlign w:val="center"/>
                </w:tcPr>
                <w:p w14:paraId="5EFB0717">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新增处理锅炉废气</w:t>
                  </w:r>
                </w:p>
              </w:tc>
            </w:tr>
            <w:tr w14:paraId="6A80116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84" w:type="pct"/>
                  <w:tcBorders>
                    <w:tl2br w:val="nil"/>
                    <w:tr2bl w:val="nil"/>
                  </w:tcBorders>
                  <w:noWrap w:val="0"/>
                  <w:vAlign w:val="center"/>
                </w:tcPr>
                <w:p w14:paraId="24745FBD">
                  <w:pPr>
                    <w:pStyle w:val="129"/>
                    <w:keepNext w:val="0"/>
                    <w:keepLines w:val="0"/>
                    <w:pageBreakBefore w:val="0"/>
                    <w:kinsoku/>
                    <w:wordWrap/>
                    <w:overflowPunct/>
                    <w:topLinePunct w:val="0"/>
                    <w:autoSpaceDE/>
                    <w:autoSpaceDN/>
                    <w:bidi w:val="0"/>
                    <w:adjustRightInd/>
                    <w:snapToGrid/>
                    <w:ind w:left="0" w:leftChars="0" w:right="0"/>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1243" w:type="pct"/>
                  <w:tcBorders>
                    <w:tl2br w:val="nil"/>
                    <w:tr2bl w:val="nil"/>
                  </w:tcBorders>
                  <w:noWrap w:val="0"/>
                  <w:vAlign w:val="center"/>
                </w:tcPr>
                <w:p w14:paraId="6CB3E55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000000" w:themeColor="text1"/>
                      <w:sz w:val="21"/>
                      <w:szCs w:val="21"/>
                      <w:u w:val="none"/>
                      <w:lang w:eastAsia="zh-CN"/>
                      <w14:textFill>
                        <w14:solidFill>
                          <w14:schemeClr w14:val="tx1"/>
                        </w14:solidFill>
                      </w14:textFill>
                    </w:rPr>
                  </w:pPr>
                  <w:r>
                    <w:rPr>
                      <w:rFonts w:hint="eastAsia" w:ascii="Times New Roman" w:hAnsi="Times New Roman" w:cs="Times New Roman"/>
                      <w:b w:val="0"/>
                      <w:bCs/>
                      <w:color w:val="000000" w:themeColor="text1"/>
                      <w:sz w:val="21"/>
                      <w:szCs w:val="21"/>
                      <w:u w:val="none"/>
                      <w:lang w:eastAsia="zh-CN"/>
                      <w14:textFill>
                        <w14:solidFill>
                          <w14:schemeClr w14:val="tx1"/>
                        </w14:solidFill>
                      </w14:textFill>
                    </w:rPr>
                    <w:t>有机废气治理设施</w:t>
                  </w:r>
                </w:p>
              </w:tc>
              <w:tc>
                <w:tcPr>
                  <w:tcW w:w="1547" w:type="pct"/>
                  <w:tcBorders>
                    <w:tl2br w:val="nil"/>
                    <w:tr2bl w:val="nil"/>
                  </w:tcBorders>
                  <w:noWrap w:val="0"/>
                  <w:vAlign w:val="center"/>
                </w:tcPr>
                <w:p w14:paraId="63611B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新增1套“两级活性炭吸附”+新增1根15m高排气筒DA002</w:t>
                  </w:r>
                </w:p>
              </w:tc>
              <w:tc>
                <w:tcPr>
                  <w:tcW w:w="803" w:type="pct"/>
                  <w:tcBorders>
                    <w:tl2br w:val="nil"/>
                    <w:tr2bl w:val="nil"/>
                  </w:tcBorders>
                  <w:noWrap w:val="0"/>
                  <w:vAlign w:val="center"/>
                </w:tcPr>
                <w:p w14:paraId="1A09F719">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eastAsia" w:eastAsia="宋体"/>
                      <w:color w:val="000000" w:themeColor="text1"/>
                      <w:sz w:val="21"/>
                      <w:szCs w:val="21"/>
                      <w:lang w:eastAsia="zh-CN"/>
                      <w14:textFill>
                        <w14:solidFill>
                          <w14:schemeClr w14:val="tx1"/>
                        </w14:solidFill>
                      </w14:textFill>
                    </w:rPr>
                  </w:pPr>
                  <w:r>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t>1套</w:t>
                  </w:r>
                </w:p>
              </w:tc>
              <w:tc>
                <w:tcPr>
                  <w:tcW w:w="1022" w:type="pct"/>
                  <w:tcBorders>
                    <w:tl2br w:val="nil"/>
                    <w:tr2bl w:val="nil"/>
                  </w:tcBorders>
                  <w:noWrap w:val="0"/>
                  <w:vAlign w:val="center"/>
                </w:tcPr>
                <w:p w14:paraId="528E3DE2">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新增处理有机废气</w:t>
                  </w:r>
                </w:p>
              </w:tc>
            </w:tr>
            <w:tr w14:paraId="605DDBC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4" w:type="pct"/>
                  <w:tcBorders>
                    <w:tl2br w:val="nil"/>
                    <w:tr2bl w:val="nil"/>
                  </w:tcBorders>
                  <w:noWrap w:val="0"/>
                  <w:vAlign w:val="center"/>
                </w:tcPr>
                <w:p w14:paraId="3D128386">
                  <w:pPr>
                    <w:pStyle w:val="129"/>
                    <w:keepNext w:val="0"/>
                    <w:keepLines w:val="0"/>
                    <w:pageBreakBefore w:val="0"/>
                    <w:kinsoku/>
                    <w:wordWrap/>
                    <w:overflowPunct/>
                    <w:topLinePunct w:val="0"/>
                    <w:autoSpaceDE/>
                    <w:autoSpaceDN/>
                    <w:bidi w:val="0"/>
                    <w:adjustRightInd/>
                    <w:snapToGrid/>
                    <w:ind w:left="0" w:leftChars="0" w:right="0"/>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w:t>
                  </w:r>
                </w:p>
              </w:tc>
              <w:tc>
                <w:tcPr>
                  <w:tcW w:w="1243" w:type="pct"/>
                  <w:tcBorders>
                    <w:tl2br w:val="nil"/>
                    <w:tr2bl w:val="nil"/>
                  </w:tcBorders>
                  <w:noWrap w:val="0"/>
                  <w:vAlign w:val="center"/>
                </w:tcPr>
                <w:p w14:paraId="5BC12D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000000" w:themeColor="text1"/>
                      <w:sz w:val="21"/>
                      <w:szCs w:val="21"/>
                      <w:u w:val="none"/>
                      <w:lang w:eastAsia="zh-CN"/>
                      <w14:textFill>
                        <w14:solidFill>
                          <w14:schemeClr w14:val="tx1"/>
                        </w14:solidFill>
                      </w14:textFill>
                    </w:rPr>
                  </w:pPr>
                  <w:r>
                    <w:rPr>
                      <w:rFonts w:hint="eastAsia" w:cs="Times New Roman"/>
                      <w:b w:val="0"/>
                      <w:bCs/>
                      <w:color w:val="000000" w:themeColor="text1"/>
                      <w:sz w:val="21"/>
                      <w:szCs w:val="21"/>
                      <w:u w:val="none"/>
                      <w:lang w:eastAsia="zh-CN"/>
                      <w14:textFill>
                        <w14:solidFill>
                          <w14:schemeClr w14:val="tx1"/>
                        </w14:solidFill>
                      </w14:textFill>
                    </w:rPr>
                    <w:t>一体化</w:t>
                  </w:r>
                  <w:r>
                    <w:rPr>
                      <w:rFonts w:hint="eastAsia" w:ascii="Times New Roman" w:hAnsi="Times New Roman" w:cs="Times New Roman"/>
                      <w:b w:val="0"/>
                      <w:bCs/>
                      <w:color w:val="000000" w:themeColor="text1"/>
                      <w:sz w:val="21"/>
                      <w:szCs w:val="21"/>
                      <w:u w:val="none"/>
                      <w:lang w:eastAsia="zh-CN"/>
                      <w14:textFill>
                        <w14:solidFill>
                          <w14:schemeClr w14:val="tx1"/>
                        </w14:solidFill>
                      </w14:textFill>
                    </w:rPr>
                    <w:t>生活污水治理设施</w:t>
                  </w:r>
                </w:p>
              </w:tc>
              <w:tc>
                <w:tcPr>
                  <w:tcW w:w="1547" w:type="pct"/>
                  <w:tcBorders>
                    <w:tl2br w:val="nil"/>
                    <w:tr2bl w:val="nil"/>
                  </w:tcBorders>
                  <w:noWrap w:val="0"/>
                  <w:vAlign w:val="center"/>
                </w:tcPr>
                <w:p w14:paraId="2EB9CD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新增1套处理能力为1m</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/d的一体化生活污水处理设施</w:t>
                  </w:r>
                </w:p>
              </w:tc>
              <w:tc>
                <w:tcPr>
                  <w:tcW w:w="803" w:type="pct"/>
                  <w:tcBorders>
                    <w:tl2br w:val="nil"/>
                    <w:tr2bl w:val="nil"/>
                  </w:tcBorders>
                  <w:noWrap w:val="0"/>
                  <w:vAlign w:val="center"/>
                </w:tcPr>
                <w:p w14:paraId="7088EA7B">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eastAsia" w:eastAsia="宋体"/>
                      <w:color w:val="000000" w:themeColor="text1"/>
                      <w:sz w:val="21"/>
                      <w:szCs w:val="21"/>
                      <w:lang w:eastAsia="zh-CN"/>
                      <w14:textFill>
                        <w14:solidFill>
                          <w14:schemeClr w14:val="tx1"/>
                        </w14:solidFill>
                      </w14:textFill>
                    </w:rPr>
                  </w:pPr>
                  <w:r>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t>1套</w:t>
                  </w:r>
                </w:p>
              </w:tc>
              <w:tc>
                <w:tcPr>
                  <w:tcW w:w="1022" w:type="pct"/>
                  <w:tcBorders>
                    <w:tl2br w:val="nil"/>
                    <w:tr2bl w:val="nil"/>
                  </w:tcBorders>
                  <w:noWrap w:val="0"/>
                  <w:vAlign w:val="center"/>
                </w:tcPr>
                <w:p w14:paraId="234CEA67">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新增处理生活污水</w:t>
                  </w:r>
                </w:p>
              </w:tc>
            </w:tr>
          </w:tbl>
          <w:p w14:paraId="01D88D4C">
            <w:pPr>
              <w:pageBreakBefore w:val="0"/>
              <w:kinsoku/>
              <w:overflowPunct/>
              <w:topLinePunct w:val="0"/>
              <w:bidi w:val="0"/>
              <w:spacing w:line="360" w:lineRule="auto"/>
              <w:ind w:left="0" w:leftChars="0" w:right="0" w:firstLine="480" w:firstLineChars="200"/>
              <w:rPr>
                <w:rFonts w:eastAsia="宋体"/>
                <w:color w:val="000000" w:themeColor="text1"/>
                <w:sz w:val="24"/>
                <w:shd w:val="clear" w:color="auto" w:fill="FFFFFF"/>
                <w14:textFill>
                  <w14:solidFill>
                    <w14:schemeClr w14:val="tx1"/>
                  </w14:solidFill>
                </w14:textFill>
              </w:rPr>
            </w:pPr>
            <w:r>
              <w:rPr>
                <w:rFonts w:hint="eastAsia" w:eastAsia="宋体"/>
                <w:color w:val="000000" w:themeColor="text1"/>
                <w:sz w:val="24"/>
                <w:shd w:val="clear" w:color="auto" w:fill="FFFFFF"/>
                <w:lang w:val="en-US" w:eastAsia="zh-CN"/>
                <w14:textFill>
                  <w14:solidFill>
                    <w14:schemeClr w14:val="tx1"/>
                  </w14:solidFill>
                </w14:textFill>
              </w:rPr>
              <w:t>本项目锅炉型号为DZL3</w:t>
            </w:r>
            <w:r>
              <w:rPr>
                <w:rFonts w:hint="default" w:eastAsia="宋体"/>
                <w:color w:val="000000" w:themeColor="text1"/>
                <w:sz w:val="24"/>
                <w:shd w:val="clear" w:color="auto" w:fill="FFFFFF"/>
                <w:lang w:val="en-US" w:eastAsia="zh-CN"/>
                <w14:textFill>
                  <w14:solidFill>
                    <w14:schemeClr w14:val="tx1"/>
                  </w14:solidFill>
                </w14:textFill>
              </w:rPr>
              <w:t>-1.25-SCIII</w:t>
            </w:r>
            <w:r>
              <w:rPr>
                <w:rFonts w:hint="eastAsia" w:eastAsia="宋体"/>
                <w:color w:val="000000" w:themeColor="text1"/>
                <w:sz w:val="24"/>
                <w:shd w:val="clear" w:color="auto" w:fill="FFFFFF"/>
                <w:lang w:val="en-US" w:eastAsia="zh-CN"/>
                <w14:textFill>
                  <w14:solidFill>
                    <w14:schemeClr w14:val="tx1"/>
                  </w14:solidFill>
                </w14:textFill>
              </w:rPr>
              <w:t>，根据《工业锅炉技术规范》（GB/T1921-2025）中附录D</w:t>
            </w:r>
            <w:r>
              <w:rPr>
                <w:rFonts w:hint="default" w:eastAsia="宋体"/>
                <w:color w:val="000000" w:themeColor="text1"/>
                <w:sz w:val="24"/>
                <w:shd w:val="clear" w:color="auto" w:fill="FFFFFF"/>
                <w:lang w:val="en-US" w:eastAsia="zh-CN"/>
                <w14:textFill>
                  <w14:solidFill>
                    <w14:schemeClr w14:val="tx1"/>
                  </w14:solidFill>
                </w14:textFill>
              </w:rPr>
              <w:t xml:space="preserve"> </w:t>
            </w:r>
            <w:r>
              <w:rPr>
                <w:rFonts w:hint="eastAsia" w:eastAsia="宋体"/>
                <w:color w:val="000000" w:themeColor="text1"/>
                <w:sz w:val="24"/>
                <w:shd w:val="clear" w:color="auto" w:fill="FFFFFF"/>
                <w:lang w:val="en-US" w:eastAsia="zh-CN"/>
                <w14:textFill>
                  <w14:solidFill>
                    <w14:schemeClr w14:val="tx1"/>
                  </w14:solidFill>
                </w14:textFill>
              </w:rPr>
              <w:t>工业锅炉型号编制方法，本项目锅炉为单锅筒纵置式链条炉排，额定蒸发量为3</w:t>
            </w:r>
            <w:r>
              <w:rPr>
                <w:rFonts w:hint="default" w:eastAsia="宋体"/>
                <w:color w:val="000000" w:themeColor="text1"/>
                <w:sz w:val="24"/>
                <w:shd w:val="clear" w:color="auto" w:fill="FFFFFF"/>
                <w:lang w:val="en-US" w:eastAsia="zh-CN"/>
                <w14:textFill>
                  <w14:solidFill>
                    <w14:schemeClr w14:val="tx1"/>
                  </w14:solidFill>
                </w14:textFill>
              </w:rPr>
              <w:t>t/h</w:t>
            </w:r>
            <w:r>
              <w:rPr>
                <w:rFonts w:hint="eastAsia" w:eastAsia="宋体"/>
                <w:color w:val="000000" w:themeColor="text1"/>
                <w:sz w:val="24"/>
                <w:shd w:val="clear" w:color="auto" w:fill="FFFFFF"/>
                <w:lang w:val="en-US" w:eastAsia="zh-CN"/>
                <w14:textFill>
                  <w14:solidFill>
                    <w14:schemeClr w14:val="tx1"/>
                  </w14:solidFill>
                </w14:textFill>
              </w:rPr>
              <w:t>，额定蒸汽压力位1.25</w:t>
            </w:r>
            <w:r>
              <w:rPr>
                <w:rFonts w:hint="default" w:eastAsia="宋体"/>
                <w:color w:val="000000" w:themeColor="text1"/>
                <w:sz w:val="24"/>
                <w:shd w:val="clear" w:color="auto" w:fill="FFFFFF"/>
                <w:lang w:val="en-US" w:eastAsia="zh-CN"/>
                <w14:textFill>
                  <w14:solidFill>
                    <w14:schemeClr w14:val="tx1"/>
                  </w14:solidFill>
                </w14:textFill>
              </w:rPr>
              <w:t>Mpa</w:t>
            </w:r>
            <w:r>
              <w:rPr>
                <w:rFonts w:hint="eastAsia" w:eastAsia="宋体"/>
                <w:color w:val="000000" w:themeColor="text1"/>
                <w:sz w:val="24"/>
                <w:shd w:val="clear" w:color="auto" w:fill="FFFFFF"/>
                <w:lang w:val="en-US" w:eastAsia="zh-CN"/>
                <w14:textFill>
                  <w14:solidFill>
                    <w14:schemeClr w14:val="tx1"/>
                  </w14:solidFill>
                </w14:textFill>
              </w:rPr>
              <w:t>，燃用生物质成型燃料的蒸汽锅炉。</w:t>
            </w:r>
          </w:p>
          <w:p w14:paraId="7E5C9068">
            <w:pPr>
              <w:pStyle w:val="17"/>
              <w:keepNext w:val="0"/>
              <w:keepLines w:val="0"/>
              <w:pageBreakBefore w:val="0"/>
              <w:widowControl w:val="0"/>
              <w:kinsoku/>
              <w:wordWrap/>
              <w:overflowPunct/>
              <w:topLinePunct w:val="0"/>
              <w:autoSpaceDE/>
              <w:autoSpaceDN/>
              <w:bidi w:val="0"/>
              <w:adjustRightInd w:val="0"/>
              <w:snapToGrid w:val="0"/>
              <w:spacing w:line="360" w:lineRule="auto"/>
              <w:ind w:right="0" w:firstLine="482" w:firstLineChars="200"/>
              <w:textAlignment w:val="auto"/>
              <w:rPr>
                <w:rFonts w:hint="eastAsia" w:ascii="Times New Roman" w:hAnsi="Times New Roman" w:eastAsia="宋体"/>
                <w:b/>
                <w:color w:val="000000" w:themeColor="text1"/>
                <w:sz w:val="24"/>
                <w:lang w:val="en-US" w:eastAsia="zh-CN"/>
                <w14:textFill>
                  <w14:solidFill>
                    <w14:schemeClr w14:val="tx1"/>
                  </w14:solidFill>
                </w14:textFill>
              </w:rPr>
            </w:pPr>
            <w:r>
              <w:rPr>
                <w:rFonts w:hint="eastAsia" w:ascii="Times New Roman" w:hAnsi="Times New Roman"/>
                <w:b/>
                <w:color w:val="000000" w:themeColor="text1"/>
                <w:sz w:val="24"/>
                <w:lang w:val="en-US" w:eastAsia="zh-CN"/>
                <w14:textFill>
                  <w14:solidFill>
                    <w14:schemeClr w14:val="tx1"/>
                  </w14:solidFill>
                </w14:textFill>
              </w:rPr>
              <w:t>7</w:t>
            </w:r>
            <w:r>
              <w:rPr>
                <w:rFonts w:ascii="Times New Roman" w:hAnsi="Times New Roman"/>
                <w:b/>
                <w:color w:val="000000" w:themeColor="text1"/>
                <w:sz w:val="24"/>
                <w14:textFill>
                  <w14:solidFill>
                    <w14:schemeClr w14:val="tx1"/>
                  </w14:solidFill>
                </w14:textFill>
              </w:rPr>
              <w:t>、劳动定员及工作制度</w:t>
            </w:r>
          </w:p>
          <w:p w14:paraId="3C12F4F7">
            <w:pPr>
              <w:pageBreakBefore w:val="0"/>
              <w:kinsoku/>
              <w:overflowPunct/>
              <w:topLinePunct w:val="0"/>
              <w:bidi w:val="0"/>
              <w:spacing w:line="360" w:lineRule="auto"/>
              <w:ind w:left="0" w:leftChars="0" w:right="0" w:firstLine="482"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b/>
                <w:bCs/>
                <w:color w:val="000000" w:themeColor="text1"/>
                <w:sz w:val="24"/>
                <w14:textFill>
                  <w14:solidFill>
                    <w14:schemeClr w14:val="tx1"/>
                  </w14:solidFill>
                </w14:textFill>
              </w:rPr>
              <w:t>劳动定员：</w:t>
            </w:r>
            <w:r>
              <w:rPr>
                <w:rFonts w:hint="eastAsia" w:ascii="Times New Roman" w:hAnsi="Times New Roman" w:eastAsia="宋体" w:cs="Times New Roman"/>
                <w:color w:val="000000" w:themeColor="text1"/>
                <w:sz w:val="24"/>
                <w:lang w:val="en-US" w:eastAsia="zh-CN"/>
                <w14:textFill>
                  <w14:solidFill>
                    <w14:schemeClr w14:val="tx1"/>
                  </w14:solidFill>
                </w14:textFill>
              </w:rPr>
              <w:t>公司厂区现有员工为12人，</w:t>
            </w:r>
            <w:r>
              <w:rPr>
                <w:rFonts w:ascii="Times New Roman" w:hAnsi="Times New Roman" w:eastAsia="宋体" w:cs="Times New Roman"/>
                <w:color w:val="000000" w:themeColor="text1"/>
                <w:sz w:val="24"/>
                <w14:textFill>
                  <w14:solidFill>
                    <w14:schemeClr w14:val="tx1"/>
                  </w14:solidFill>
                </w14:textFill>
              </w:rPr>
              <w:t>本项目</w:t>
            </w:r>
            <w:r>
              <w:rPr>
                <w:rFonts w:hint="eastAsia" w:ascii="Times New Roman" w:hAnsi="Times New Roman" w:eastAsia="宋体" w:cs="Times New Roman"/>
                <w:color w:val="000000" w:themeColor="text1"/>
                <w:sz w:val="24"/>
                <w:lang w:eastAsia="zh-CN"/>
                <w14:textFill>
                  <w14:solidFill>
                    <w14:schemeClr w14:val="tx1"/>
                  </w14:solidFill>
                </w14:textFill>
              </w:rPr>
              <w:t>不新增工作人员，工作人员由峨山县文邦</w:t>
            </w:r>
            <w:r>
              <w:rPr>
                <w:rFonts w:hint="default" w:ascii="Times New Roman" w:hAnsi="Times New Roman" w:eastAsia="宋体" w:cs="Times New Roman"/>
                <w:color w:val="000000" w:themeColor="text1"/>
                <w:sz w:val="24"/>
                <w:lang w:eastAsia="zh-CN"/>
                <w14:textFill>
                  <w14:solidFill>
                    <w14:schemeClr w14:val="tx1"/>
                  </w14:solidFill>
                </w14:textFill>
              </w:rPr>
              <w:t>包装制品有限公司</w:t>
            </w:r>
            <w:r>
              <w:rPr>
                <w:rFonts w:hint="eastAsia" w:ascii="Times New Roman" w:hAnsi="Times New Roman" w:eastAsia="宋体" w:cs="Times New Roman"/>
                <w:color w:val="000000" w:themeColor="text1"/>
                <w:sz w:val="24"/>
                <w:lang w:eastAsia="zh-CN"/>
                <w14:textFill>
                  <w14:solidFill>
                    <w14:schemeClr w14:val="tx1"/>
                  </w14:solidFill>
                </w14:textFill>
              </w:rPr>
              <w:t>现有员工调配。</w:t>
            </w:r>
          </w:p>
          <w:p w14:paraId="291C96C4">
            <w:pPr>
              <w:pageBreakBefore w:val="0"/>
              <w:kinsoku/>
              <w:overflowPunct/>
              <w:topLinePunct w:val="0"/>
              <w:bidi w:val="0"/>
              <w:spacing w:line="360" w:lineRule="auto"/>
              <w:ind w:left="0" w:leftChars="0" w:right="0"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工作制度：</w:t>
            </w:r>
            <w:r>
              <w:rPr>
                <w:rFonts w:hint="eastAsia"/>
                <w:b w:val="0"/>
                <w:bCs w:val="0"/>
                <w:color w:val="000000" w:themeColor="text1"/>
                <w:sz w:val="24"/>
                <w:lang w:eastAsia="zh-CN"/>
                <w14:textFill>
                  <w14:solidFill>
                    <w14:schemeClr w14:val="tx1"/>
                  </w14:solidFill>
                </w14:textFill>
              </w:rPr>
              <w:t>项目</w:t>
            </w:r>
            <w:r>
              <w:rPr>
                <w:b w:val="0"/>
                <w:bCs w:val="0"/>
                <w:color w:val="000000" w:themeColor="text1"/>
                <w:sz w:val="24"/>
                <w14:textFill>
                  <w14:solidFill>
                    <w14:schemeClr w14:val="tx1"/>
                  </w14:solidFill>
                </w14:textFill>
              </w:rPr>
              <w:t>年工作</w:t>
            </w:r>
            <w:r>
              <w:rPr>
                <w:color w:val="000000" w:themeColor="text1"/>
                <w:sz w:val="24"/>
                <w14:textFill>
                  <w14:solidFill>
                    <w14:schemeClr w14:val="tx1"/>
                  </w14:solidFill>
                </w14:textFill>
              </w:rPr>
              <w:t>天数300天，实行</w:t>
            </w:r>
            <w:r>
              <w:rPr>
                <w:rFonts w:hint="eastAsia"/>
                <w:color w:val="000000" w:themeColor="text1"/>
                <w:sz w:val="24"/>
                <w:lang w:eastAsia="zh-CN"/>
                <w14:textFill>
                  <w14:solidFill>
                    <w14:schemeClr w14:val="tx1"/>
                  </w14:solidFill>
                </w14:textFill>
              </w:rPr>
              <w:t>一</w:t>
            </w:r>
            <w:r>
              <w:rPr>
                <w:color w:val="000000" w:themeColor="text1"/>
                <w:sz w:val="24"/>
                <w14:textFill>
                  <w14:solidFill>
                    <w14:schemeClr w14:val="tx1"/>
                  </w14:solidFill>
                </w14:textFill>
              </w:rPr>
              <w:t>班制，每班工作8小时。</w:t>
            </w:r>
          </w:p>
          <w:p w14:paraId="5F1FF826">
            <w:pPr>
              <w:pageBreakBefore w:val="0"/>
              <w:kinsoku/>
              <w:overflowPunct/>
              <w:topLinePunct w:val="0"/>
              <w:bidi w:val="0"/>
              <w:spacing w:line="360" w:lineRule="auto"/>
              <w:ind w:left="0" w:leftChars="0" w:right="0" w:firstLine="482" w:firstLineChars="2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8</w:t>
            </w:r>
            <w:r>
              <w:rPr>
                <w:b/>
                <w:bCs/>
                <w:color w:val="000000" w:themeColor="text1"/>
                <w:sz w:val="24"/>
                <w14:textFill>
                  <w14:solidFill>
                    <w14:schemeClr w14:val="tx1"/>
                  </w14:solidFill>
                </w14:textFill>
              </w:rPr>
              <w:t>、厂区总平面布置</w:t>
            </w:r>
          </w:p>
          <w:p w14:paraId="1867E8F7">
            <w:pPr>
              <w:pStyle w:val="32"/>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eastAsia="宋体"/>
                <w:color w:val="000000" w:themeColor="text1"/>
                <w:sz w:val="24"/>
                <w:lang w:eastAsia="zh-CN"/>
                <w14:textFill>
                  <w14:solidFill>
                    <w14:schemeClr w14:val="tx1"/>
                  </w14:solidFill>
                </w14:textFill>
              </w:rPr>
            </w:pPr>
            <w:r>
              <w:rPr>
                <w:color w:val="000000" w:themeColor="text1"/>
                <w:sz w:val="24"/>
                <w14:textFill>
                  <w14:solidFill>
                    <w14:schemeClr w14:val="tx1"/>
                  </w14:solidFill>
                </w14:textFill>
              </w:rPr>
              <w:t>根据项目总平面布置图，</w:t>
            </w:r>
            <w:r>
              <w:rPr>
                <w:rFonts w:hint="eastAsia" w:ascii="Times New Roman" w:hAnsi="Times New Roman" w:eastAsia="宋体" w:cs="Times New Roman"/>
                <w:color w:val="000000" w:themeColor="text1"/>
                <w:sz w:val="24"/>
                <w:lang w:eastAsia="zh-CN"/>
                <w14:textFill>
                  <w14:solidFill>
                    <w14:schemeClr w14:val="tx1"/>
                  </w14:solidFill>
                </w14:textFill>
              </w:rPr>
              <w:t>峨山县文邦</w:t>
            </w:r>
            <w:r>
              <w:rPr>
                <w:rFonts w:hint="default" w:ascii="Times New Roman" w:hAnsi="Times New Roman" w:eastAsia="宋体" w:cs="Times New Roman"/>
                <w:color w:val="000000" w:themeColor="text1"/>
                <w:sz w:val="24"/>
                <w:lang w:eastAsia="zh-CN"/>
                <w14:textFill>
                  <w14:solidFill>
                    <w14:schemeClr w14:val="tx1"/>
                  </w14:solidFill>
                </w14:textFill>
              </w:rPr>
              <w:t>包装制品有限公司</w:t>
            </w:r>
            <w:r>
              <w:rPr>
                <w:rFonts w:hint="eastAsia" w:ascii="Times New Roman" w:hAnsi="Times New Roman" w:eastAsia="宋体" w:cs="Times New Roman"/>
                <w:color w:val="000000" w:themeColor="text1"/>
                <w:sz w:val="24"/>
                <w:lang w:eastAsia="zh-CN"/>
                <w14:textFill>
                  <w14:solidFill>
                    <w14:schemeClr w14:val="tx1"/>
                  </w14:solidFill>
                </w14:textFill>
              </w:rPr>
              <w:t>厂区范围大致呈矩形</w:t>
            </w:r>
            <w:r>
              <w:rPr>
                <w:rFonts w:hint="eastAsia"/>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厂区自西向东依次布设办公室、仓库、生产车间、锅炉房。根据调查，</w:t>
            </w:r>
            <w:r>
              <w:rPr>
                <w:rFonts w:hint="eastAsia"/>
                <w:color w:val="000000" w:themeColor="text1"/>
                <w:sz w:val="24"/>
                <w14:textFill>
                  <w14:solidFill>
                    <w14:schemeClr w14:val="tx1"/>
                  </w14:solidFill>
                </w14:textFill>
              </w:rPr>
              <w:t>生产车间内自</w:t>
            </w:r>
            <w:r>
              <w:rPr>
                <w:rFonts w:hint="eastAsia"/>
                <w:color w:val="000000" w:themeColor="text1"/>
                <w:sz w:val="24"/>
                <w:lang w:eastAsia="zh-CN"/>
                <w14:textFill>
                  <w14:solidFill>
                    <w14:schemeClr w14:val="tx1"/>
                  </w14:solidFill>
                </w14:textFill>
              </w:rPr>
              <w:t>西</w:t>
            </w:r>
            <w:r>
              <w:rPr>
                <w:rFonts w:hint="eastAsia"/>
                <w:color w:val="000000" w:themeColor="text1"/>
                <w:sz w:val="24"/>
                <w14:textFill>
                  <w14:solidFill>
                    <w14:schemeClr w14:val="tx1"/>
                  </w14:solidFill>
                </w14:textFill>
              </w:rPr>
              <w:t>向</w:t>
            </w:r>
            <w:r>
              <w:rPr>
                <w:rFonts w:hint="eastAsia"/>
                <w:color w:val="000000" w:themeColor="text1"/>
                <w:sz w:val="24"/>
                <w:lang w:eastAsia="zh-CN"/>
                <w14:textFill>
                  <w14:solidFill>
                    <w14:schemeClr w14:val="tx1"/>
                  </w14:solidFill>
                </w14:textFill>
              </w:rPr>
              <w:t>东</w:t>
            </w:r>
            <w:r>
              <w:rPr>
                <w:rFonts w:hint="eastAsia"/>
                <w:color w:val="000000" w:themeColor="text1"/>
                <w:sz w:val="24"/>
                <w14:textFill>
                  <w14:solidFill>
                    <w14:schemeClr w14:val="tx1"/>
                  </w14:solidFill>
                </w14:textFill>
              </w:rPr>
              <w:t>依次布设</w:t>
            </w:r>
            <w:r>
              <w:rPr>
                <w:rFonts w:hint="eastAsia"/>
                <w:color w:val="000000" w:themeColor="text1"/>
                <w:sz w:val="24"/>
                <w:lang w:eastAsia="zh-CN"/>
                <w14:textFill>
                  <w14:solidFill>
                    <w14:schemeClr w14:val="tx1"/>
                  </w14:solidFill>
                </w14:textFill>
              </w:rPr>
              <w:t>成品区、生产区、烘干区、原料区。本项目新增一体化污水处理设施、新增中水池位于项目区北侧卫生间旁。本项目新增有机废气治理设施及排放口位于生产车间内东南侧生产区旁。</w:t>
            </w:r>
          </w:p>
          <w:p w14:paraId="5850A14B">
            <w:pPr>
              <w:pStyle w:val="32"/>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办公区均设置于</w:t>
            </w:r>
            <w:r>
              <w:rPr>
                <w:rFonts w:hint="eastAsia"/>
                <w:color w:val="000000" w:themeColor="text1"/>
                <w:sz w:val="24"/>
                <w:lang w:eastAsia="zh-CN"/>
                <w14:textFill>
                  <w14:solidFill>
                    <w14:schemeClr w14:val="tx1"/>
                  </w14:solidFill>
                </w14:textFill>
              </w:rPr>
              <w:t>生产车间</w:t>
            </w:r>
            <w:r>
              <w:rPr>
                <w:color w:val="000000" w:themeColor="text1"/>
                <w:sz w:val="24"/>
                <w14:textFill>
                  <w14:solidFill>
                    <w14:schemeClr w14:val="tx1"/>
                  </w14:solidFill>
                </w14:textFill>
              </w:rPr>
              <w:t>上风向，各生产区产生的粉尘经采取措施后对各办公区影响较小，办公区周围种植绿化以阻滞灰尘。项目区内功能分区明确，布局合理</w:t>
            </w:r>
            <w:r>
              <w:rPr>
                <w:rFonts w:hint="eastAsia"/>
                <w:color w:val="000000" w:themeColor="text1"/>
                <w:sz w:val="24"/>
                <w14:textFill>
                  <w14:solidFill>
                    <w14:schemeClr w14:val="tx1"/>
                  </w14:solidFill>
                </w14:textFill>
              </w:rPr>
              <w:t>。</w:t>
            </w:r>
          </w:p>
          <w:p w14:paraId="55551E6C">
            <w:pPr>
              <w:pStyle w:val="32"/>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本项目厂区总平面布置详见附图</w:t>
            </w:r>
            <w:r>
              <w:rPr>
                <w:rFonts w:hint="eastAsia"/>
                <w:color w:val="000000" w:themeColor="text1"/>
                <w:sz w:val="24"/>
                <w14:textFill>
                  <w14:solidFill>
                    <w14:schemeClr w14:val="tx1"/>
                  </w14:solidFill>
                </w14:textFill>
              </w:rPr>
              <w:t>。</w:t>
            </w:r>
          </w:p>
          <w:p w14:paraId="12A76D9C">
            <w:pPr>
              <w:pStyle w:val="17"/>
              <w:pageBreakBefore w:val="0"/>
              <w:kinsoku/>
              <w:overflowPunct/>
              <w:topLinePunct w:val="0"/>
              <w:bidi w:val="0"/>
              <w:adjustRightInd w:val="0"/>
              <w:snapToGrid w:val="0"/>
              <w:spacing w:line="360" w:lineRule="auto"/>
              <w:ind w:left="0" w:leftChars="0" w:right="0" w:firstLine="482" w:firstLineChars="200"/>
              <w:rPr>
                <w:rFonts w:ascii="Times New Roman" w:hAnsi="Times New Roman"/>
                <w:b/>
                <w:color w:val="000000" w:themeColor="text1"/>
                <w:sz w:val="24"/>
                <w14:textFill>
                  <w14:solidFill>
                    <w14:schemeClr w14:val="tx1"/>
                  </w14:solidFill>
                </w14:textFill>
              </w:rPr>
            </w:pPr>
            <w:r>
              <w:rPr>
                <w:rFonts w:hint="eastAsia" w:ascii="Times New Roman" w:hAnsi="Times New Roman"/>
                <w:b/>
                <w:color w:val="000000" w:themeColor="text1"/>
                <w:sz w:val="24"/>
                <w:lang w:val="en-US" w:eastAsia="zh-CN"/>
                <w14:textFill>
                  <w14:solidFill>
                    <w14:schemeClr w14:val="tx1"/>
                  </w14:solidFill>
                </w14:textFill>
              </w:rPr>
              <w:t>9</w:t>
            </w:r>
            <w:r>
              <w:rPr>
                <w:rFonts w:ascii="Times New Roman" w:hAnsi="Times New Roman"/>
                <w:b/>
                <w:color w:val="000000" w:themeColor="text1"/>
                <w:sz w:val="24"/>
                <w14:textFill>
                  <w14:solidFill>
                    <w14:schemeClr w14:val="tx1"/>
                  </w14:solidFill>
                </w14:textFill>
              </w:rPr>
              <w:t>、水平衡</w:t>
            </w:r>
          </w:p>
          <w:p w14:paraId="48126620">
            <w:pPr>
              <w:pageBreakBefore w:val="0"/>
              <w:kinsoku/>
              <w:overflowPunct/>
              <w:topLinePunct w:val="0"/>
              <w:bidi w:val="0"/>
              <w:spacing w:line="360" w:lineRule="auto"/>
              <w:ind w:left="0" w:leftChars="0" w:right="0"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（1）给水</w:t>
            </w:r>
          </w:p>
          <w:p w14:paraId="111893CC">
            <w:pPr>
              <w:pageBreakBefore w:val="0"/>
              <w:kinsoku/>
              <w:overflowPunct/>
              <w:topLinePunct w:val="0"/>
              <w:bidi w:val="0"/>
              <w:spacing w:line="360" w:lineRule="auto"/>
              <w:ind w:left="0" w:leftChars="0" w:right="0"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本项目生活</w:t>
            </w:r>
            <w:r>
              <w:rPr>
                <w:rFonts w:hint="eastAsia"/>
                <w:color w:val="000000" w:themeColor="text1"/>
                <w:sz w:val="24"/>
                <w:lang w:eastAsia="zh-CN"/>
                <w14:textFill>
                  <w14:solidFill>
                    <w14:schemeClr w14:val="tx1"/>
                  </w14:solidFill>
                </w14:textFill>
              </w:rPr>
              <w:t>用水</w:t>
            </w:r>
            <w:r>
              <w:rPr>
                <w:bCs/>
                <w:color w:val="000000" w:themeColor="text1"/>
                <w:sz w:val="24"/>
                <w14:textFill>
                  <w14:solidFill>
                    <w14:schemeClr w14:val="tx1"/>
                  </w14:solidFill>
                </w14:textFill>
              </w:rPr>
              <w:t>由</w:t>
            </w:r>
            <w:r>
              <w:rPr>
                <w:rFonts w:hint="eastAsia"/>
                <w:bCs/>
                <w:color w:val="000000" w:themeColor="text1"/>
                <w:sz w:val="24"/>
                <w:lang w:eastAsia="zh-CN"/>
                <w14:textFill>
                  <w14:solidFill>
                    <w14:schemeClr w14:val="tx1"/>
                  </w14:solidFill>
                </w14:textFill>
              </w:rPr>
              <w:t>周边市政供水管网</w:t>
            </w:r>
            <w:r>
              <w:rPr>
                <w:bCs/>
                <w:color w:val="000000" w:themeColor="text1"/>
                <w:sz w:val="24"/>
                <w14:textFill>
                  <w14:solidFill>
                    <w14:schemeClr w14:val="tx1"/>
                  </w14:solidFill>
                </w14:textFill>
              </w:rPr>
              <w:t>自来水供给。</w:t>
            </w:r>
          </w:p>
          <w:p w14:paraId="6419D086">
            <w:pPr>
              <w:pageBreakBefore w:val="0"/>
              <w:kinsoku/>
              <w:overflowPunct/>
              <w:topLinePunct w:val="0"/>
              <w:bidi w:val="0"/>
              <w:spacing w:line="360" w:lineRule="auto"/>
              <w:ind w:left="0" w:leftChars="0" w:right="0"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本项目运营期生产用水环节主要为</w:t>
            </w:r>
            <w:r>
              <w:rPr>
                <w:rFonts w:hint="eastAsia"/>
                <w:bCs/>
                <w:color w:val="000000" w:themeColor="text1"/>
                <w:sz w:val="24"/>
                <w14:textFill>
                  <w14:solidFill>
                    <w14:schemeClr w14:val="tx1"/>
                  </w14:solidFill>
                </w14:textFill>
              </w:rPr>
              <w:t>生产用水</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水源</w:t>
            </w:r>
            <w:r>
              <w:rPr>
                <w:bCs/>
                <w:color w:val="000000" w:themeColor="text1"/>
                <w:sz w:val="24"/>
                <w14:textFill>
                  <w14:solidFill>
                    <w14:schemeClr w14:val="tx1"/>
                  </w14:solidFill>
                </w14:textFill>
              </w:rPr>
              <w:t>由</w:t>
            </w:r>
            <w:r>
              <w:rPr>
                <w:rFonts w:hint="eastAsia"/>
                <w:bCs/>
                <w:color w:val="000000" w:themeColor="text1"/>
                <w:sz w:val="24"/>
                <w:lang w:eastAsia="zh-CN"/>
                <w14:textFill>
                  <w14:solidFill>
                    <w14:schemeClr w14:val="tx1"/>
                  </w14:solidFill>
                </w14:textFill>
              </w:rPr>
              <w:t>周边市政供水管网</w:t>
            </w:r>
            <w:r>
              <w:rPr>
                <w:bCs/>
                <w:color w:val="000000" w:themeColor="text1"/>
                <w:sz w:val="24"/>
                <w14:textFill>
                  <w14:solidFill>
                    <w14:schemeClr w14:val="tx1"/>
                  </w14:solidFill>
                </w14:textFill>
              </w:rPr>
              <w:t>自来水供给。</w:t>
            </w:r>
          </w:p>
          <w:p w14:paraId="7977DB12">
            <w:pPr>
              <w:pageBreakBefore w:val="0"/>
              <w:kinsoku/>
              <w:overflowPunct/>
              <w:topLinePunct w:val="0"/>
              <w:bidi w:val="0"/>
              <w:spacing w:line="360" w:lineRule="auto"/>
              <w:ind w:left="0" w:leftChars="0" w:right="0"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（2）排水</w:t>
            </w:r>
          </w:p>
          <w:p w14:paraId="6DFC2C28">
            <w:pPr>
              <w:keepNext w:val="0"/>
              <w:keepLines w:val="0"/>
              <w:pageBreakBefore w:val="0"/>
              <w:widowControl w:val="0"/>
              <w:kinsoku/>
              <w:wordWrap w:val="0"/>
              <w:overflowPunct/>
              <w:topLinePunct/>
              <w:autoSpaceDE/>
              <w:autoSpaceDN/>
              <w:bidi w:val="0"/>
              <w:adjustRightInd/>
              <w:spacing w:line="360" w:lineRule="auto"/>
              <w:ind w:firstLine="482"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b/>
                <w:bCs/>
                <w:color w:val="000000" w:themeColor="text1"/>
                <w:kern w:val="2"/>
                <w:sz w:val="24"/>
                <w:szCs w:val="24"/>
                <w:lang w:val="en-US" w:eastAsia="zh-CN" w:bidi="ar-SA"/>
                <w14:textFill>
                  <w14:solidFill>
                    <w14:schemeClr w14:val="tx1"/>
                  </w14:solidFill>
                </w14:textFill>
              </w:rPr>
              <w:t>初期</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雨水：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项目采取雨污分流制。</w:t>
            </w:r>
            <w:r>
              <w:rPr>
                <w:rFonts w:hint="eastAsia" w:cs="Times New Roman"/>
                <w:color w:val="000000" w:themeColor="text1"/>
                <w:sz w:val="24"/>
                <w:szCs w:val="24"/>
                <w:lang w:val="en-US" w:eastAsia="zh-CN"/>
                <w14:textFill>
                  <w14:solidFill>
                    <w14:schemeClr w14:val="tx1"/>
                  </w14:solidFill>
                </w14:textFill>
              </w:rPr>
              <w:t>雨水经厂区周边现有雨水沟收集后进入周边道路旁雨水沟</w:t>
            </w:r>
            <w:r>
              <w:rPr>
                <w:rFonts w:hint="eastAsia" w:ascii="Times New Roman" w:hAnsi="Times New Roman" w:eastAsia="宋体" w:cs="Times New Roman"/>
                <w:color w:val="000000" w:themeColor="text1"/>
                <w:sz w:val="24"/>
                <w:lang w:eastAsia="zh-CN"/>
                <w14:textFill>
                  <w14:solidFill>
                    <w14:schemeClr w14:val="tx1"/>
                  </w14:solidFill>
                </w14:textFill>
              </w:rPr>
              <w:t>。</w:t>
            </w:r>
          </w:p>
          <w:p w14:paraId="0DBEC05D">
            <w:pPr>
              <w:keepNext w:val="0"/>
              <w:keepLines/>
              <w:pageBreakBefore w:val="0"/>
              <w:kinsoku/>
              <w:overflowPunct/>
              <w:bidi w:val="0"/>
              <w:adjustRightInd/>
              <w:spacing w:line="360" w:lineRule="auto"/>
              <w:ind w:firstLine="482" w:firstLineChars="200"/>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废水：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本项目不新增工作人员，因此不新增生活用水。</w:t>
            </w:r>
          </w:p>
          <w:p w14:paraId="7FA297B3">
            <w:pPr>
              <w:keepNext w:val="0"/>
              <w:keepLines w:val="0"/>
              <w:pageBreakBefore w:val="0"/>
              <w:widowControl w:val="0"/>
              <w:kinsoku/>
              <w:wordWrap w:val="0"/>
              <w:overflowPunct/>
              <w:topLinePunct/>
              <w:autoSpaceDE/>
              <w:autoSpaceDN/>
              <w:bidi w:val="0"/>
              <w:adjustRightInd/>
              <w:spacing w:line="360" w:lineRule="auto"/>
              <w:ind w:firstLine="482"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①生活污水：</w:t>
            </w:r>
            <w:r>
              <w:rPr>
                <w:rFonts w:hint="eastAsia" w:ascii="Times New Roman" w:hAnsi="Times New Roman" w:eastAsia="宋体" w:cs="Times New Roman"/>
                <w:color w:val="000000" w:themeColor="text1"/>
                <w:sz w:val="24"/>
                <w:lang w:val="en-US" w:eastAsia="zh-CN"/>
                <w14:textFill>
                  <w14:solidFill>
                    <w14:schemeClr w14:val="tx1"/>
                  </w14:solidFill>
                </w14:textFill>
              </w:rPr>
              <w:t>生活污水经隔油池、化粪池处理后进入一体化生活污水处理设施，</w:t>
            </w:r>
            <w:r>
              <w:rPr>
                <w:rFonts w:hint="eastAsia" w:ascii="Times New Roman" w:hAnsi="Times New Roman" w:cs="Times New Roman"/>
                <w:color w:val="000000" w:themeColor="text1"/>
                <w:sz w:val="24"/>
                <w:szCs w:val="24"/>
                <w:lang w:val="en-US" w:eastAsia="zh-CN"/>
                <w14:textFill>
                  <w14:solidFill>
                    <w14:schemeClr w14:val="tx1"/>
                  </w14:solidFill>
                </w14:textFill>
              </w:rPr>
              <w:t>经处理达标后，晴天回用于厂区绿化，不外排，雨天暂存于</w:t>
            </w:r>
            <w:r>
              <w:rPr>
                <w:rFonts w:hint="eastAsia" w:cs="Times New Roman"/>
                <w:color w:val="000000" w:themeColor="text1"/>
                <w:sz w:val="24"/>
                <w:szCs w:val="24"/>
                <w:lang w:val="en-US" w:eastAsia="zh-CN"/>
                <w14:textFill>
                  <w14:solidFill>
                    <w14:schemeClr w14:val="tx1"/>
                  </w14:solidFill>
                </w14:textFill>
              </w:rPr>
              <w:t>中水池</w:t>
            </w:r>
            <w:r>
              <w:rPr>
                <w:rFonts w:hint="eastAsia" w:ascii="Times New Roman" w:hAnsi="Times New Roman" w:cs="Times New Roman"/>
                <w:color w:val="000000" w:themeColor="text1"/>
                <w:sz w:val="24"/>
                <w:szCs w:val="24"/>
                <w:lang w:val="en-US" w:eastAsia="zh-CN"/>
                <w14:textFill>
                  <w14:solidFill>
                    <w14:schemeClr w14:val="tx1"/>
                  </w14:solidFill>
                </w14:textFill>
              </w:rPr>
              <w:t>，留待晴天使用，不外排。</w:t>
            </w:r>
          </w:p>
          <w:p w14:paraId="7A1AEA73">
            <w:pPr>
              <w:keepNext w:val="0"/>
              <w:keepLines w:val="0"/>
              <w:pageBreakBefore w:val="0"/>
              <w:widowControl w:val="0"/>
              <w:kinsoku/>
              <w:wordWrap w:val="0"/>
              <w:overflowPunct/>
              <w:topLinePunct/>
              <w:autoSpaceDE/>
              <w:autoSpaceDN/>
              <w:bidi w:val="0"/>
              <w:adjustRightInd/>
              <w:spacing w:line="360" w:lineRule="auto"/>
              <w:ind w:firstLine="482"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eastAsia="zh-CN"/>
                <w14:textFill>
                  <w14:solidFill>
                    <w14:schemeClr w14:val="tx1"/>
                  </w14:solidFill>
                </w14:textFill>
              </w:rPr>
              <w:t>②生产废水：</w:t>
            </w:r>
            <w:r>
              <w:rPr>
                <w:rFonts w:hint="eastAsia" w:ascii="Times New Roman" w:hAnsi="Times New Roman" w:cs="Times New Roman"/>
                <w:color w:val="000000" w:themeColor="text1"/>
                <w:sz w:val="24"/>
                <w:szCs w:val="24"/>
                <w:lang w:val="en-US" w:eastAsia="zh-CN"/>
                <w14:textFill>
                  <w14:solidFill>
                    <w14:schemeClr w14:val="tx1"/>
                  </w14:solidFill>
                </w14:textFill>
              </w:rPr>
              <w:t>本项目软水制备废水及生物质锅炉排污水</w:t>
            </w:r>
            <w:r>
              <w:rPr>
                <w:rFonts w:hint="eastAsia" w:cs="Times New Roman"/>
                <w:color w:val="000000" w:themeColor="text1"/>
                <w:sz w:val="24"/>
                <w:szCs w:val="24"/>
                <w:lang w:val="en-US" w:eastAsia="zh-CN"/>
                <w14:textFill>
                  <w14:solidFill>
                    <w14:schemeClr w14:val="tx1"/>
                  </w14:solidFill>
                </w14:textFill>
              </w:rPr>
              <w:t>经收集处理后回用于厂区洒水降尘</w:t>
            </w:r>
            <w:r>
              <w:rPr>
                <w:rFonts w:hint="eastAsia" w:ascii="Times New Roman" w:hAnsi="Times New Roman" w:cs="Times New Roman"/>
                <w:color w:val="000000" w:themeColor="text1"/>
                <w:sz w:val="24"/>
                <w:szCs w:val="24"/>
                <w:lang w:val="en-US" w:eastAsia="zh-CN"/>
                <w14:textFill>
                  <w14:solidFill>
                    <w14:schemeClr w14:val="tx1"/>
                  </w14:solidFill>
                </w14:textFill>
              </w:rPr>
              <w:t>，不外排。发泡工段蒸汽冷凝水用于生物质锅炉损耗补充水，不外排。</w:t>
            </w:r>
            <w:r>
              <w:rPr>
                <w:rFonts w:hint="eastAsia" w:cs="Times New Roman"/>
                <w:color w:val="000000" w:themeColor="text1"/>
                <w:sz w:val="24"/>
                <w:szCs w:val="24"/>
                <w:lang w:val="en-US" w:eastAsia="zh-CN"/>
                <w14:textFill>
                  <w14:solidFill>
                    <w14:schemeClr w14:val="tx1"/>
                  </w14:solidFill>
                </w14:textFill>
              </w:rPr>
              <w:t>流化干燥、烘干环节蒸汽自然蒸发。压模环节蒸汽加热成型后多余蒸汽排出，自然蒸发</w:t>
            </w:r>
            <w:r>
              <w:rPr>
                <w:rFonts w:hint="eastAsia" w:ascii="Times New Roman" w:hAnsi="Times New Roman" w:cs="Times New Roman"/>
                <w:color w:val="000000" w:themeColor="text1"/>
                <w:sz w:val="24"/>
                <w:szCs w:val="24"/>
                <w:lang w:val="en-US" w:eastAsia="zh-CN"/>
                <w14:textFill>
                  <w14:solidFill>
                    <w14:schemeClr w14:val="tx1"/>
                  </w14:solidFill>
                </w14:textFill>
              </w:rPr>
              <w:t>。</w:t>
            </w:r>
          </w:p>
          <w:p w14:paraId="6B17C4A9">
            <w:pPr>
              <w:pageBreakBefore w:val="0"/>
              <w:numPr>
                <w:ilvl w:val="0"/>
                <w:numId w:val="0"/>
              </w:numPr>
              <w:kinsoku/>
              <w:overflowPunct/>
              <w:topLinePunct w:val="0"/>
              <w:bidi w:val="0"/>
              <w:spacing w:line="360" w:lineRule="auto"/>
              <w:ind w:left="0" w:leftChars="0" w:right="0" w:rightChars="0" w:firstLine="482" w:firstLineChars="200"/>
              <w:rPr>
                <w:rFonts w:hint="default" w:ascii="Times New Roman" w:hAnsi="Times New Roman" w:cs="Times New Roman"/>
                <w:bCs/>
                <w:color w:val="000000" w:themeColor="text1"/>
                <w:sz w:val="24"/>
                <w14:textFill>
                  <w14:solidFill>
                    <w14:schemeClr w14:val="tx1"/>
                  </w14:solidFill>
                </w14:textFill>
              </w:rPr>
            </w:pP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（3）</w:t>
            </w:r>
            <w:r>
              <w:rPr>
                <w:b/>
                <w:bCs/>
                <w:color w:val="000000" w:themeColor="text1"/>
                <w:sz w:val="24"/>
                <w14:textFill>
                  <w14:solidFill>
                    <w14:schemeClr w14:val="tx1"/>
                  </w14:solidFill>
                </w14:textFill>
              </w:rPr>
              <w:t>水平衡</w:t>
            </w:r>
            <w:r>
              <w:rPr>
                <w:rFonts w:hint="eastAsia"/>
                <w:b/>
                <w:bCs/>
                <w:color w:val="000000" w:themeColor="text1"/>
                <w:sz w:val="24"/>
                <w:lang w:eastAsia="zh-CN"/>
                <w14:textFill>
                  <w14:solidFill>
                    <w14:schemeClr w14:val="tx1"/>
                  </w14:solidFill>
                </w14:textFill>
              </w:rPr>
              <w:t>图</w:t>
            </w:r>
          </w:p>
          <w:p w14:paraId="35731F59">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object>
                <v:shape id="_x0000_i1026" o:spt="75" type="#_x0000_t75" style="height:315.1pt;width:378.8pt;" o:ole="t" filled="f" o:preferrelative="t" stroked="f" coordsize="21600,21600">
                  <v:path/>
                  <v:fill on="f" focussize="0,0"/>
                  <v:stroke on="f"/>
                  <v:imagedata r:id="rId9" o:title=""/>
                  <o:lock v:ext="edit" aspectratio="f"/>
                  <w10:wrap type="none"/>
                  <w10:anchorlock/>
                </v:shape>
                <o:OLEObject Type="Embed" ProgID="Visio.Drawing.11" ShapeID="_x0000_i1026" DrawAspect="Content" ObjectID="_1468075726" r:id="rId8">
                  <o:LockedField>false</o:LockedField>
                </o:OLEObject>
              </w:object>
            </w:r>
          </w:p>
          <w:p w14:paraId="23DA0445">
            <w:pPr>
              <w:pStyle w:val="3"/>
              <w:keepNext/>
              <w:keepLines/>
              <w:pageBreakBefore w:val="0"/>
              <w:widowControl w:val="0"/>
              <w:tabs>
                <w:tab w:val="left" w:pos="840"/>
              </w:tabs>
              <w:kinsoku/>
              <w:wordWrap/>
              <w:overflowPunct/>
              <w:topLinePunct w:val="0"/>
              <w:autoSpaceDE/>
              <w:autoSpaceDN/>
              <w:bidi w:val="0"/>
              <w:adjustRightInd/>
              <w:snapToGrid/>
              <w:spacing w:before="0" w:line="240" w:lineRule="auto"/>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s="Times New Roman"/>
                <w:color w:val="000000" w:themeColor="text1"/>
                <w:kern w:val="24"/>
                <w:sz w:val="21"/>
                <w:szCs w:val="21"/>
                <w:lang w:val="en-US" w:eastAsia="zh-CN"/>
                <w14:textFill>
                  <w14:solidFill>
                    <w14:schemeClr w14:val="tx1"/>
                  </w14:solidFill>
                </w14:textFill>
              </w:rPr>
              <w:t xml:space="preserve">图2-1 水平衡图（晴天）  </w:t>
            </w:r>
            <w:r>
              <w:rPr>
                <w:b/>
                <w:bCs/>
                <w:snapToGrid w:val="0"/>
                <w:color w:val="000000" w:themeColor="text1"/>
                <w:sz w:val="21"/>
                <w:szCs w:val="21"/>
                <w14:textFill>
                  <w14:solidFill>
                    <w14:schemeClr w14:val="tx1"/>
                  </w14:solidFill>
                </w14:textFill>
              </w:rPr>
              <w:t>单位：m</w:t>
            </w:r>
            <w:r>
              <w:rPr>
                <w:b/>
                <w:bCs/>
                <w:snapToGrid w:val="0"/>
                <w:color w:val="000000" w:themeColor="text1"/>
                <w:sz w:val="21"/>
                <w:szCs w:val="21"/>
                <w:vertAlign w:val="superscript"/>
                <w14:textFill>
                  <w14:solidFill>
                    <w14:schemeClr w14:val="tx1"/>
                  </w14:solidFill>
                </w14:textFill>
              </w:rPr>
              <w:t>3</w:t>
            </w:r>
            <w:r>
              <w:rPr>
                <w:b/>
                <w:bCs/>
                <w:snapToGrid w:val="0"/>
                <w:color w:val="000000" w:themeColor="text1"/>
                <w:sz w:val="21"/>
                <w:szCs w:val="21"/>
                <w14:textFill>
                  <w14:solidFill>
                    <w14:schemeClr w14:val="tx1"/>
                  </w14:solidFill>
                </w14:textFill>
              </w:rPr>
              <w:t>/d</w:t>
            </w:r>
          </w:p>
          <w:p w14:paraId="601D354A">
            <w:pPr>
              <w:pStyle w:val="3"/>
              <w:keepNext/>
              <w:keepLines/>
              <w:pageBreakBefore w:val="0"/>
              <w:widowControl w:val="0"/>
              <w:kinsoku/>
              <w:wordWrap/>
              <w:overflowPunct/>
              <w:topLinePunct w:val="0"/>
              <w:autoSpaceDE/>
              <w:autoSpaceDN/>
              <w:bidi w:val="0"/>
              <w:adjustRightInd/>
              <w:snapToGrid/>
              <w:spacing w:before="0" w:line="240" w:lineRule="auto"/>
              <w:jc w:val="center"/>
              <w:textAlignment w:val="auto"/>
              <w:rPr>
                <w:rFonts w:hint="eastAsia" w:cs="Times New Roman"/>
                <w:color w:val="000000" w:themeColor="text1"/>
                <w:kern w:val="24"/>
                <w:sz w:val="21"/>
                <w:szCs w:val="21"/>
                <w:lang w:val="en-US" w:eastAsia="zh-CN"/>
                <w14:textFill>
                  <w14:solidFill>
                    <w14:schemeClr w14:val="tx1"/>
                  </w14:solidFill>
                </w14:textFill>
              </w:rPr>
            </w:pPr>
            <w:r>
              <w:rPr>
                <w:rFonts w:hint="eastAsia" w:cs="Times New Roman"/>
                <w:color w:val="000000" w:themeColor="text1"/>
                <w:kern w:val="24"/>
                <w:sz w:val="21"/>
                <w:szCs w:val="21"/>
                <w:lang w:val="en-US" w:eastAsia="zh-CN"/>
                <w14:textFill>
                  <w14:solidFill>
                    <w14:schemeClr w14:val="tx1"/>
                  </w14:solidFill>
                </w14:textFill>
              </w:rPr>
              <w:t xml:space="preserve"> </w:t>
            </w:r>
            <w:r>
              <w:rPr>
                <w:rFonts w:hint="eastAsia" w:ascii="Times New Roman" w:hAnsi="Times New Roman"/>
                <w:b/>
                <w:color w:val="000000" w:themeColor="text1"/>
                <w:sz w:val="24"/>
                <w14:textFill>
                  <w14:solidFill>
                    <w14:schemeClr w14:val="tx1"/>
                  </w14:solidFill>
                </w14:textFill>
              </w:rPr>
              <w:object>
                <v:shape id="_x0000_i1027" o:spt="75" type="#_x0000_t75" style="height:297.85pt;width:357.45pt;" o:ole="t" filled="f" o:preferrelative="t" stroked="f" coordsize="21600,21600">
                  <v:path/>
                  <v:fill on="f" focussize="0,0"/>
                  <v:stroke on="f"/>
                  <v:imagedata r:id="rId11" o:title=""/>
                  <o:lock v:ext="edit" aspectratio="f"/>
                  <w10:wrap type="none"/>
                  <w10:anchorlock/>
                </v:shape>
                <o:OLEObject Type="Embed" ProgID="Visio.Drawing.11" ShapeID="_x0000_i1027" DrawAspect="Content" ObjectID="_1468075727" r:id="rId10">
                  <o:LockedField>false</o:LockedField>
                </o:OLEObject>
              </w:object>
            </w:r>
          </w:p>
          <w:p w14:paraId="1B53F806">
            <w:pPr>
              <w:pStyle w:val="3"/>
              <w:keepNext/>
              <w:keepLines/>
              <w:pageBreakBefore w:val="0"/>
              <w:widowControl w:val="0"/>
              <w:kinsoku/>
              <w:wordWrap/>
              <w:overflowPunct/>
              <w:topLinePunct w:val="0"/>
              <w:autoSpaceDE/>
              <w:autoSpaceDN/>
              <w:bidi w:val="0"/>
              <w:adjustRightInd/>
              <w:snapToGrid/>
              <w:spacing w:before="0" w:line="240" w:lineRule="auto"/>
              <w:jc w:val="center"/>
              <w:textAlignment w:val="auto"/>
              <w:rPr>
                <w:rFonts w:hint="default"/>
                <w:color w:val="000000" w:themeColor="text1"/>
                <w:sz w:val="21"/>
                <w:szCs w:val="21"/>
                <w:lang w:val="en-US"/>
                <w14:textFill>
                  <w14:solidFill>
                    <w14:schemeClr w14:val="tx1"/>
                  </w14:solidFill>
                </w14:textFill>
              </w:rPr>
            </w:pPr>
            <w:r>
              <w:rPr>
                <w:rFonts w:hint="eastAsia" w:cs="Times New Roman"/>
                <w:color w:val="000000" w:themeColor="text1"/>
                <w:kern w:val="24"/>
                <w:sz w:val="21"/>
                <w:szCs w:val="21"/>
                <w:lang w:val="en-US" w:eastAsia="zh-CN"/>
                <w14:textFill>
                  <w14:solidFill>
                    <w14:schemeClr w14:val="tx1"/>
                  </w14:solidFill>
                </w14:textFill>
              </w:rPr>
              <w:t xml:space="preserve">图2-2 水平衡图（雨天）  </w:t>
            </w:r>
            <w:r>
              <w:rPr>
                <w:b/>
                <w:bCs/>
                <w:snapToGrid w:val="0"/>
                <w:color w:val="000000" w:themeColor="text1"/>
                <w:sz w:val="21"/>
                <w:szCs w:val="21"/>
                <w14:textFill>
                  <w14:solidFill>
                    <w14:schemeClr w14:val="tx1"/>
                  </w14:solidFill>
                </w14:textFill>
              </w:rPr>
              <w:t>单位：m</w:t>
            </w:r>
            <w:r>
              <w:rPr>
                <w:b/>
                <w:bCs/>
                <w:snapToGrid w:val="0"/>
                <w:color w:val="000000" w:themeColor="text1"/>
                <w:sz w:val="21"/>
                <w:szCs w:val="21"/>
                <w:vertAlign w:val="superscript"/>
                <w14:textFill>
                  <w14:solidFill>
                    <w14:schemeClr w14:val="tx1"/>
                  </w14:solidFill>
                </w14:textFill>
              </w:rPr>
              <w:t>3</w:t>
            </w:r>
            <w:r>
              <w:rPr>
                <w:b/>
                <w:bCs/>
                <w:snapToGrid w:val="0"/>
                <w:color w:val="000000" w:themeColor="text1"/>
                <w:sz w:val="21"/>
                <w:szCs w:val="21"/>
                <w14:textFill>
                  <w14:solidFill>
                    <w14:schemeClr w14:val="tx1"/>
                  </w14:solidFill>
                </w14:textFill>
              </w:rPr>
              <w:t>/d</w:t>
            </w:r>
          </w:p>
          <w:p w14:paraId="760FC292">
            <w:pPr>
              <w:pageBreakBefore w:val="0"/>
              <w:numPr>
                <w:ilvl w:val="0"/>
                <w:numId w:val="0"/>
              </w:numPr>
              <w:kinsoku/>
              <w:overflowPunct/>
              <w:topLinePunct w:val="0"/>
              <w:bidi w:val="0"/>
              <w:spacing w:line="360" w:lineRule="auto"/>
              <w:ind w:left="0" w:leftChars="0" w:right="0" w:rightChars="0" w:firstLine="482" w:firstLineChars="200"/>
              <w:rPr>
                <w:rFonts w:hint="default" w:ascii="Times New Roman" w:hAnsi="Times New Roman" w:cs="Times New Roman"/>
                <w:bCs/>
                <w:color w:val="000000" w:themeColor="text1"/>
                <w:sz w:val="24"/>
                <w14:textFill>
                  <w14:solidFill>
                    <w14:schemeClr w14:val="tx1"/>
                  </w14:solidFill>
                </w14:textFill>
              </w:rPr>
            </w:pP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w:t>
            </w:r>
            <w:r>
              <w:rPr>
                <w:rFonts w:hint="eastAsia" w:eastAsia="宋体" w:cs="Times New Roman"/>
                <w:b/>
                <w:bCs/>
                <w:color w:val="000000" w:themeColor="text1"/>
                <w:kern w:val="2"/>
                <w:sz w:val="24"/>
                <w:szCs w:val="24"/>
                <w:lang w:val="en-US" w:eastAsia="zh-CN" w:bidi="ar-SA"/>
                <w14:textFill>
                  <w14:solidFill>
                    <w14:schemeClr w14:val="tx1"/>
                  </w14:solidFill>
                </w14:textFill>
              </w:rPr>
              <w:t>4</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w:t>
            </w:r>
            <w:r>
              <w:rPr>
                <w:rFonts w:hint="eastAsia" w:eastAsia="宋体"/>
                <w:b/>
                <w:bCs/>
                <w:color w:val="000000" w:themeColor="text1"/>
                <w:sz w:val="24"/>
                <w:lang w:eastAsia="zh-CN"/>
                <w14:textFill>
                  <w14:solidFill>
                    <w14:schemeClr w14:val="tx1"/>
                  </w14:solidFill>
                </w14:textFill>
              </w:rPr>
              <w:t>蒸汽平衡</w:t>
            </w:r>
          </w:p>
          <w:p w14:paraId="020AF60D">
            <w:pPr>
              <w:pStyle w:val="17"/>
              <w:pageBreakBefore w:val="0"/>
              <w:kinsoku/>
              <w:overflowPunct/>
              <w:topLinePunct w:val="0"/>
              <w:bidi w:val="0"/>
              <w:adjustRightInd w:val="0"/>
              <w:snapToGrid w:val="0"/>
              <w:spacing w:line="360" w:lineRule="auto"/>
              <w:ind w:right="0"/>
              <w:jc w:val="center"/>
              <w:rPr>
                <w:rFonts w:hint="eastAsia" w:ascii="Times New Roman" w:hAnsi="Times New Roman"/>
                <w:b/>
                <w:color w:val="000000" w:themeColor="text1"/>
                <w:sz w:val="24"/>
                <w14:textFill>
                  <w14:solidFill>
                    <w14:schemeClr w14:val="tx1"/>
                  </w14:solidFill>
                </w14:textFill>
              </w:rPr>
            </w:pPr>
            <w:r>
              <w:rPr>
                <w:rFonts w:hint="eastAsia" w:ascii="Times New Roman" w:hAnsi="Times New Roman"/>
                <w:b/>
                <w:color w:val="000000" w:themeColor="text1"/>
                <w:sz w:val="24"/>
                <w14:textFill>
                  <w14:solidFill>
                    <w14:schemeClr w14:val="tx1"/>
                  </w14:solidFill>
                </w14:textFill>
              </w:rPr>
              <w:object>
                <v:shape id="_x0000_i1028" o:spt="75" type="#_x0000_t75" style="height:155.25pt;width:304.5pt;" o:ole="t" filled="f" o:preferrelative="t" stroked="f" coordsize="21600,21600">
                  <v:path/>
                  <v:fill on="f" focussize="0,0"/>
                  <v:stroke on="f"/>
                  <v:imagedata r:id="rId13" o:title=""/>
                  <o:lock v:ext="edit" aspectratio="f"/>
                  <w10:wrap type="none"/>
                  <w10:anchorlock/>
                </v:shape>
                <o:OLEObject Type="Embed" ProgID="Visio.Drawing.11" ShapeID="_x0000_i1028" DrawAspect="Content" ObjectID="_1468075728" r:id="rId12">
                  <o:LockedField>false</o:LockedField>
                </o:OLEObject>
              </w:object>
            </w:r>
          </w:p>
          <w:p w14:paraId="0138141F">
            <w:pPr>
              <w:pStyle w:val="3"/>
              <w:keepNext/>
              <w:keepLines/>
              <w:pageBreakBefore w:val="0"/>
              <w:widowControl w:val="0"/>
              <w:kinsoku/>
              <w:wordWrap/>
              <w:overflowPunct/>
              <w:topLinePunct w:val="0"/>
              <w:autoSpaceDE/>
              <w:autoSpaceDN/>
              <w:bidi w:val="0"/>
              <w:adjustRightInd/>
              <w:snapToGrid/>
              <w:spacing w:before="0" w:line="240" w:lineRule="auto"/>
              <w:jc w:val="center"/>
              <w:textAlignment w:val="auto"/>
              <w:rPr>
                <w:rFonts w:hint="default"/>
                <w:color w:val="000000" w:themeColor="text1"/>
                <w:sz w:val="21"/>
                <w:szCs w:val="21"/>
                <w:lang w:val="en-US"/>
                <w14:textFill>
                  <w14:solidFill>
                    <w14:schemeClr w14:val="tx1"/>
                  </w14:solidFill>
                </w14:textFill>
              </w:rPr>
            </w:pPr>
            <w:r>
              <w:rPr>
                <w:rFonts w:hint="eastAsia" w:cs="Times New Roman"/>
                <w:color w:val="000000" w:themeColor="text1"/>
                <w:kern w:val="24"/>
                <w:sz w:val="21"/>
                <w:szCs w:val="21"/>
                <w:lang w:val="en-US" w:eastAsia="zh-CN"/>
                <w14:textFill>
                  <w14:solidFill>
                    <w14:schemeClr w14:val="tx1"/>
                  </w14:solidFill>
                </w14:textFill>
              </w:rPr>
              <w:t xml:space="preserve">图2-3 蒸汽平衡图  </w:t>
            </w:r>
            <w:r>
              <w:rPr>
                <w:b/>
                <w:bCs/>
                <w:snapToGrid w:val="0"/>
                <w:color w:val="000000" w:themeColor="text1"/>
                <w:sz w:val="21"/>
                <w:szCs w:val="21"/>
                <w14:textFill>
                  <w14:solidFill>
                    <w14:schemeClr w14:val="tx1"/>
                  </w14:solidFill>
                </w14:textFill>
              </w:rPr>
              <w:t>单位：</w:t>
            </w:r>
            <w:r>
              <w:rPr>
                <w:rFonts w:hint="eastAsia"/>
                <w:b/>
                <w:bCs/>
                <w:snapToGrid w:val="0"/>
                <w:color w:val="000000" w:themeColor="text1"/>
                <w:sz w:val="21"/>
                <w:szCs w:val="21"/>
                <w:lang w:val="en-US" w:eastAsia="zh-CN"/>
                <w14:textFill>
                  <w14:solidFill>
                    <w14:schemeClr w14:val="tx1"/>
                  </w14:solidFill>
                </w14:textFill>
              </w:rPr>
              <w:t>t</w:t>
            </w:r>
            <w:r>
              <w:rPr>
                <w:b/>
                <w:bCs/>
                <w:snapToGrid w:val="0"/>
                <w:color w:val="000000" w:themeColor="text1"/>
                <w:sz w:val="21"/>
                <w:szCs w:val="21"/>
                <w14:textFill>
                  <w14:solidFill>
                    <w14:schemeClr w14:val="tx1"/>
                  </w14:solidFill>
                </w14:textFill>
              </w:rPr>
              <w:t>/d</w:t>
            </w:r>
          </w:p>
          <w:p w14:paraId="16EC8CC7">
            <w:pPr>
              <w:pStyle w:val="17"/>
              <w:pageBreakBefore w:val="0"/>
              <w:kinsoku/>
              <w:overflowPunct/>
              <w:topLinePunct w:val="0"/>
              <w:bidi w:val="0"/>
              <w:adjustRightInd w:val="0"/>
              <w:snapToGrid w:val="0"/>
              <w:spacing w:line="360" w:lineRule="auto"/>
              <w:ind w:left="0" w:leftChars="0" w:right="0" w:firstLine="482" w:firstLineChars="200"/>
              <w:rPr>
                <w:rFonts w:ascii="Times New Roman" w:hAnsi="Times New Roman"/>
                <w:b/>
                <w:color w:val="000000" w:themeColor="text1"/>
                <w:sz w:val="24"/>
                <w14:textFill>
                  <w14:solidFill>
                    <w14:schemeClr w14:val="tx1"/>
                  </w14:solidFill>
                </w14:textFill>
              </w:rPr>
            </w:pPr>
            <w:r>
              <w:rPr>
                <w:rFonts w:hint="eastAsia" w:ascii="Times New Roman" w:hAnsi="Times New Roman"/>
                <w:b/>
                <w:color w:val="000000" w:themeColor="text1"/>
                <w:sz w:val="24"/>
                <w14:textFill>
                  <w14:solidFill>
                    <w14:schemeClr w14:val="tx1"/>
                  </w14:solidFill>
                </w14:textFill>
              </w:rPr>
              <w:t>10</w:t>
            </w:r>
            <w:r>
              <w:rPr>
                <w:rFonts w:ascii="Times New Roman" w:hAnsi="Times New Roman"/>
                <w:b/>
                <w:color w:val="000000" w:themeColor="text1"/>
                <w:sz w:val="24"/>
                <w14:textFill>
                  <w14:solidFill>
                    <w14:schemeClr w14:val="tx1"/>
                  </w14:solidFill>
                </w14:textFill>
              </w:rPr>
              <w:t>、环保投资</w:t>
            </w:r>
          </w:p>
          <w:p w14:paraId="2AAE3C9A">
            <w:pPr>
              <w:pageBreakBefore w:val="0"/>
              <w:kinsoku/>
              <w:overflowPunct/>
              <w:topLinePunct w:val="0"/>
              <w:bidi w:val="0"/>
              <w:adjustRightInd w:val="0"/>
              <w:snapToGrid w:val="0"/>
              <w:spacing w:line="360" w:lineRule="auto"/>
              <w:ind w:left="0" w:leftChars="0" w:right="0" w:firstLine="480" w:firstLineChars="200"/>
              <w:rPr>
                <w:color w:val="000000" w:themeColor="text1"/>
                <w:sz w:val="24"/>
                <w:shd w:val="clear" w:color="auto" w:fill="FFFF00"/>
                <w14:textFill>
                  <w14:solidFill>
                    <w14:schemeClr w14:val="tx1"/>
                  </w14:solidFill>
                </w14:textFill>
              </w:rPr>
            </w:pPr>
            <w:r>
              <w:rPr>
                <w:color w:val="000000" w:themeColor="text1"/>
                <w:sz w:val="24"/>
                <w14:textFill>
                  <w14:solidFill>
                    <w14:schemeClr w14:val="tx1"/>
                  </w14:solidFill>
                </w14:textFill>
              </w:rPr>
              <w:t>项目总投资</w:t>
            </w:r>
            <w:r>
              <w:rPr>
                <w:rFonts w:hint="eastAsia"/>
                <w:color w:val="000000" w:themeColor="text1"/>
                <w:sz w:val="24"/>
                <w:lang w:val="en-US" w:eastAsia="zh-CN"/>
                <w14:textFill>
                  <w14:solidFill>
                    <w14:schemeClr w14:val="tx1"/>
                  </w14:solidFill>
                </w14:textFill>
              </w:rPr>
              <w:t>50</w:t>
            </w:r>
            <w:r>
              <w:rPr>
                <w:color w:val="000000" w:themeColor="text1"/>
                <w:sz w:val="24"/>
                <w14:textFill>
                  <w14:solidFill>
                    <w14:schemeClr w14:val="tx1"/>
                  </w14:solidFill>
                </w14:textFill>
              </w:rPr>
              <w:t>万元，其中环保投资</w:t>
            </w:r>
            <w:r>
              <w:rPr>
                <w:rFonts w:hint="eastAsia"/>
                <w:color w:val="000000" w:themeColor="text1"/>
                <w:sz w:val="24"/>
                <w:lang w:val="en-US" w:eastAsia="zh-CN"/>
                <w14:textFill>
                  <w14:solidFill>
                    <w14:schemeClr w14:val="tx1"/>
                  </w14:solidFill>
                </w14:textFill>
              </w:rPr>
              <w:t>37</w:t>
            </w:r>
            <w:r>
              <w:rPr>
                <w:color w:val="000000" w:themeColor="text1"/>
                <w:sz w:val="24"/>
                <w14:textFill>
                  <w14:solidFill>
                    <w14:schemeClr w14:val="tx1"/>
                  </w14:solidFill>
                </w14:textFill>
              </w:rPr>
              <w:t>万元，占总投资的</w:t>
            </w:r>
            <w:r>
              <w:rPr>
                <w:rFonts w:hint="eastAsia"/>
                <w:color w:val="000000" w:themeColor="text1"/>
                <w:sz w:val="24"/>
                <w:lang w:val="en-US" w:eastAsia="zh-CN"/>
                <w14:textFill>
                  <w14:solidFill>
                    <w14:schemeClr w14:val="tx1"/>
                  </w14:solidFill>
                </w14:textFill>
              </w:rPr>
              <w:t>74</w:t>
            </w:r>
            <w:r>
              <w:rPr>
                <w:color w:val="000000" w:themeColor="text1"/>
                <w:sz w:val="24"/>
                <w14:textFill>
                  <w14:solidFill>
                    <w14:schemeClr w14:val="tx1"/>
                  </w14:solidFill>
                </w14:textFill>
              </w:rPr>
              <w:t>%，项目环保投资情况见表。</w:t>
            </w:r>
          </w:p>
          <w:p w14:paraId="2B9E8E8B">
            <w:pPr>
              <w:pStyle w:val="134"/>
              <w:pageBreakBefore w:val="0"/>
              <w:kinsoku/>
              <w:overflowPunct/>
              <w:topLinePunct w:val="0"/>
              <w:bidi w:val="0"/>
              <w:spacing w:before="0"/>
              <w:ind w:left="0" w:leftChars="0" w:right="0"/>
              <w:rPr>
                <w:color w:val="000000" w:themeColor="text1"/>
                <w14:textFill>
                  <w14:solidFill>
                    <w14:schemeClr w14:val="tx1"/>
                  </w14:solidFill>
                </w14:textFill>
              </w:rPr>
            </w:pPr>
            <w:r>
              <w:rPr>
                <w:rFonts w:hint="eastAsia"/>
                <w:color w:val="000000" w:themeColor="text1"/>
                <w14:textFill>
                  <w14:solidFill>
                    <w14:schemeClr w14:val="tx1"/>
                  </w14:solidFill>
                </w14:textFill>
              </w:rPr>
              <w:t>表2-</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 xml:space="preserve">  项目环保投资明细表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
              <w:gridCol w:w="494"/>
              <w:gridCol w:w="1395"/>
              <w:gridCol w:w="4456"/>
              <w:gridCol w:w="755"/>
              <w:gridCol w:w="758"/>
            </w:tblGrid>
            <w:tr w14:paraId="3F1A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335" w:type="pct"/>
                  <w:tcBorders>
                    <w:top w:val="single" w:color="auto" w:sz="4" w:space="0"/>
                    <w:left w:val="single" w:color="auto" w:sz="4" w:space="0"/>
                    <w:bottom w:val="single" w:color="auto" w:sz="4" w:space="0"/>
                    <w:right w:val="single" w:color="auto" w:sz="4" w:space="0"/>
                  </w:tcBorders>
                  <w:vAlign w:val="center"/>
                </w:tcPr>
                <w:p w14:paraId="426BFC72">
                  <w:pPr>
                    <w:pStyle w:val="129"/>
                    <w:pageBreakBefore w:val="0"/>
                    <w:kinsoku/>
                    <w:overflowPunct/>
                    <w:topLinePunct w:val="0"/>
                    <w:bidi w:val="0"/>
                    <w:ind w:left="0" w:leftChars="0" w:right="0"/>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1121" w:type="pct"/>
                  <w:gridSpan w:val="2"/>
                  <w:tcBorders>
                    <w:top w:val="single" w:color="auto" w:sz="4" w:space="0"/>
                    <w:left w:val="single" w:color="auto" w:sz="4" w:space="0"/>
                    <w:bottom w:val="single" w:color="auto" w:sz="4" w:space="0"/>
                    <w:right w:val="single" w:color="auto" w:sz="4" w:space="0"/>
                  </w:tcBorders>
                  <w:vAlign w:val="center"/>
                </w:tcPr>
                <w:p w14:paraId="26F852B1">
                  <w:pPr>
                    <w:pStyle w:val="129"/>
                    <w:pageBreakBefore w:val="0"/>
                    <w:kinsoku/>
                    <w:overflowPunct/>
                    <w:topLinePunct w:val="0"/>
                    <w:bidi w:val="0"/>
                    <w:ind w:left="0" w:leftChars="0" w:right="0"/>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tc>
                <w:tcPr>
                  <w:tcW w:w="2644" w:type="pct"/>
                  <w:tcBorders>
                    <w:top w:val="single" w:color="auto" w:sz="4" w:space="0"/>
                    <w:left w:val="single" w:color="auto" w:sz="4" w:space="0"/>
                    <w:bottom w:val="single" w:color="auto" w:sz="4" w:space="0"/>
                    <w:right w:val="single" w:color="auto" w:sz="4" w:space="0"/>
                  </w:tcBorders>
                  <w:vAlign w:val="center"/>
                </w:tcPr>
                <w:p w14:paraId="6E031F0A">
                  <w:pPr>
                    <w:pStyle w:val="129"/>
                    <w:pageBreakBefore w:val="0"/>
                    <w:kinsoku/>
                    <w:overflowPunct/>
                    <w:topLinePunct w:val="0"/>
                    <w:bidi w:val="0"/>
                    <w:ind w:left="0" w:leftChars="0" w:right="0"/>
                    <w:rPr>
                      <w:color w:val="000000" w:themeColor="text1"/>
                      <w14:textFill>
                        <w14:solidFill>
                          <w14:schemeClr w14:val="tx1"/>
                        </w14:solidFill>
                      </w14:textFill>
                    </w:rPr>
                  </w:pPr>
                  <w:r>
                    <w:rPr>
                      <w:rFonts w:hint="eastAsia"/>
                      <w:color w:val="000000" w:themeColor="text1"/>
                      <w14:textFill>
                        <w14:solidFill>
                          <w14:schemeClr w14:val="tx1"/>
                        </w14:solidFill>
                      </w14:textFill>
                    </w:rPr>
                    <w:t>工程内容</w:t>
                  </w:r>
                </w:p>
              </w:tc>
              <w:tc>
                <w:tcPr>
                  <w:tcW w:w="448" w:type="pct"/>
                  <w:tcBorders>
                    <w:top w:val="single" w:color="auto" w:sz="4" w:space="0"/>
                    <w:left w:val="single" w:color="auto" w:sz="4" w:space="0"/>
                    <w:bottom w:val="single" w:color="auto" w:sz="4" w:space="0"/>
                    <w:right w:val="single" w:color="auto" w:sz="4" w:space="0"/>
                  </w:tcBorders>
                  <w:vAlign w:val="center"/>
                </w:tcPr>
                <w:p w14:paraId="59979A5F">
                  <w:pPr>
                    <w:pStyle w:val="129"/>
                    <w:pageBreakBefore w:val="0"/>
                    <w:kinsoku/>
                    <w:overflowPunct/>
                    <w:topLinePunct w:val="0"/>
                    <w:bidi w:val="0"/>
                    <w:ind w:left="0" w:leftChars="0" w:right="0"/>
                    <w:rPr>
                      <w:color w:val="000000" w:themeColor="text1"/>
                      <w14:textFill>
                        <w14:solidFill>
                          <w14:schemeClr w14:val="tx1"/>
                        </w14:solidFill>
                      </w14:textFill>
                    </w:rPr>
                  </w:pPr>
                  <w:r>
                    <w:rPr>
                      <w:rFonts w:hint="eastAsia"/>
                      <w:color w:val="000000" w:themeColor="text1"/>
                      <w14:textFill>
                        <w14:solidFill>
                          <w14:schemeClr w14:val="tx1"/>
                        </w14:solidFill>
                      </w14:textFill>
                    </w:rPr>
                    <w:t>投资（万元）</w:t>
                  </w:r>
                </w:p>
              </w:tc>
              <w:tc>
                <w:tcPr>
                  <w:tcW w:w="450" w:type="pct"/>
                  <w:tcBorders>
                    <w:top w:val="single" w:color="auto" w:sz="4" w:space="0"/>
                    <w:left w:val="single" w:color="auto" w:sz="4" w:space="0"/>
                    <w:bottom w:val="single" w:color="auto" w:sz="4" w:space="0"/>
                    <w:right w:val="single" w:color="auto" w:sz="4" w:space="0"/>
                  </w:tcBorders>
                  <w:vAlign w:val="center"/>
                </w:tcPr>
                <w:p w14:paraId="1275524A">
                  <w:pPr>
                    <w:pStyle w:val="129"/>
                    <w:pageBreakBefore w:val="0"/>
                    <w:kinsoku/>
                    <w:overflowPunct/>
                    <w:topLinePunct w:val="0"/>
                    <w:bidi w:val="0"/>
                    <w:ind w:left="0" w:leftChars="0" w:right="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备注</w:t>
                  </w:r>
                </w:p>
              </w:tc>
            </w:tr>
            <w:tr w14:paraId="0448A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 w:type="pct"/>
                  <w:tcBorders>
                    <w:top w:val="single" w:color="auto" w:sz="4" w:space="0"/>
                    <w:left w:val="single" w:color="auto" w:sz="4" w:space="0"/>
                    <w:bottom w:val="single" w:color="auto" w:sz="4" w:space="0"/>
                    <w:right w:val="single" w:color="auto" w:sz="4" w:space="0"/>
                  </w:tcBorders>
                  <w:vAlign w:val="center"/>
                </w:tcPr>
                <w:p w14:paraId="526DCC8F">
                  <w:pPr>
                    <w:pStyle w:val="129"/>
                    <w:pageBreakBefore w:val="0"/>
                    <w:kinsoku/>
                    <w:overflowPunct/>
                    <w:topLinePunct w:val="0"/>
                    <w:bidi w:val="0"/>
                    <w:ind w:left="0" w:leftChars="0" w:right="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93" w:type="pct"/>
                  <w:vMerge w:val="restart"/>
                  <w:tcBorders>
                    <w:top w:val="single" w:color="auto" w:sz="4" w:space="0"/>
                    <w:left w:val="single" w:color="auto" w:sz="4" w:space="0"/>
                    <w:right w:val="single" w:color="auto" w:sz="4" w:space="0"/>
                  </w:tcBorders>
                  <w:vAlign w:val="center"/>
                </w:tcPr>
                <w:p w14:paraId="1B8440B4">
                  <w:pPr>
                    <w:pStyle w:val="129"/>
                    <w:pageBreakBefore w:val="0"/>
                    <w:kinsoku/>
                    <w:overflowPunct/>
                    <w:topLinePunct w:val="0"/>
                    <w:bidi w:val="0"/>
                    <w:ind w:left="0" w:leftChars="0" w:right="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废水</w:t>
                  </w:r>
                </w:p>
              </w:tc>
              <w:tc>
                <w:tcPr>
                  <w:tcW w:w="828" w:type="pct"/>
                  <w:tcBorders>
                    <w:top w:val="single" w:color="auto" w:sz="4" w:space="0"/>
                    <w:left w:val="single" w:color="auto" w:sz="4" w:space="0"/>
                    <w:bottom w:val="single" w:color="auto" w:sz="4" w:space="0"/>
                    <w:right w:val="single" w:color="auto" w:sz="4" w:space="0"/>
                  </w:tcBorders>
                  <w:vAlign w:val="center"/>
                </w:tcPr>
                <w:p w14:paraId="2CF4F69C">
                  <w:pPr>
                    <w:pageBreakBefore w:val="0"/>
                    <w:widowControl/>
                    <w:kinsoku/>
                    <w:overflowPunct/>
                    <w:topLinePunct w:val="0"/>
                    <w:bidi w:val="0"/>
                    <w:ind w:left="0" w:leftChars="0" w:right="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雨污分流</w:t>
                  </w:r>
                </w:p>
              </w:tc>
              <w:tc>
                <w:tcPr>
                  <w:tcW w:w="2644" w:type="pct"/>
                  <w:tcBorders>
                    <w:top w:val="single" w:color="auto" w:sz="4" w:space="0"/>
                    <w:left w:val="single" w:color="auto" w:sz="4" w:space="0"/>
                    <w:bottom w:val="single" w:color="auto" w:sz="4" w:space="0"/>
                    <w:right w:val="single" w:color="auto" w:sz="4" w:space="0"/>
                  </w:tcBorders>
                  <w:vAlign w:val="center"/>
                </w:tcPr>
                <w:p w14:paraId="36B9047C">
                  <w:pPr>
                    <w:pStyle w:val="129"/>
                    <w:pageBreakBefore w:val="0"/>
                    <w:kinsoku/>
                    <w:overflowPunct/>
                    <w:topLinePunct w:val="0"/>
                    <w:bidi w:val="0"/>
                    <w:ind w:left="0" w:leftChars="0" w:right="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设置雨污分流系统</w:t>
                  </w:r>
                </w:p>
              </w:tc>
              <w:tc>
                <w:tcPr>
                  <w:tcW w:w="448" w:type="pct"/>
                  <w:tcBorders>
                    <w:top w:val="single" w:color="auto" w:sz="4" w:space="0"/>
                    <w:left w:val="single" w:color="auto" w:sz="4" w:space="0"/>
                    <w:bottom w:val="single" w:color="auto" w:sz="4" w:space="0"/>
                    <w:right w:val="single" w:color="auto" w:sz="4" w:space="0"/>
                  </w:tcBorders>
                  <w:vAlign w:val="center"/>
                </w:tcPr>
                <w:p w14:paraId="2D681715">
                  <w:pPr>
                    <w:pageBreakBefore w:val="0"/>
                    <w:widowControl/>
                    <w:kinsoku/>
                    <w:overflowPunct/>
                    <w:topLinePunct w:val="0"/>
                    <w:bidi w:val="0"/>
                    <w:ind w:left="0" w:leftChars="0" w:right="0"/>
                    <w:jc w:val="center"/>
                    <w:textAlignment w:val="center"/>
                    <w:rPr>
                      <w:rFonts w:hint="default" w:eastAsia="宋体"/>
                      <w:color w:val="000000" w:themeColor="text1"/>
                      <w:szCs w:val="20"/>
                      <w:lang w:val="en-US"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w:t>
                  </w:r>
                </w:p>
              </w:tc>
              <w:tc>
                <w:tcPr>
                  <w:tcW w:w="450" w:type="pct"/>
                  <w:tcBorders>
                    <w:top w:val="single" w:color="auto" w:sz="4" w:space="0"/>
                    <w:left w:val="single" w:color="auto" w:sz="4" w:space="0"/>
                    <w:bottom w:val="single" w:color="auto" w:sz="4" w:space="0"/>
                    <w:right w:val="single" w:color="auto" w:sz="4" w:space="0"/>
                  </w:tcBorders>
                  <w:vAlign w:val="center"/>
                </w:tcPr>
                <w:p w14:paraId="003D15BE">
                  <w:pPr>
                    <w:pageBreakBefore w:val="0"/>
                    <w:kinsoku/>
                    <w:overflowPunct/>
                    <w:topLinePunct w:val="0"/>
                    <w:bidi w:val="0"/>
                    <w:ind w:left="0" w:leftChars="0" w:right="0"/>
                    <w:jc w:val="center"/>
                    <w:rPr>
                      <w:rFonts w:hint="eastAsia"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依托</w:t>
                  </w:r>
                </w:p>
              </w:tc>
            </w:tr>
            <w:tr w14:paraId="0E357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 w:type="pct"/>
                  <w:tcBorders>
                    <w:top w:val="single" w:color="auto" w:sz="4" w:space="0"/>
                    <w:left w:val="single" w:color="auto" w:sz="4" w:space="0"/>
                    <w:bottom w:val="single" w:color="auto" w:sz="4" w:space="0"/>
                    <w:right w:val="single" w:color="auto" w:sz="4" w:space="0"/>
                  </w:tcBorders>
                  <w:vAlign w:val="center"/>
                </w:tcPr>
                <w:p w14:paraId="52EB622D">
                  <w:pPr>
                    <w:pStyle w:val="129"/>
                    <w:pageBreakBefore w:val="0"/>
                    <w:kinsoku/>
                    <w:overflowPunct/>
                    <w:topLinePunct w:val="0"/>
                    <w:bidi w:val="0"/>
                    <w:ind w:left="0" w:leftChars="0" w:right="0"/>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93" w:type="pct"/>
                  <w:vMerge w:val="continue"/>
                  <w:tcBorders>
                    <w:left w:val="single" w:color="auto" w:sz="4" w:space="0"/>
                    <w:right w:val="single" w:color="auto" w:sz="4" w:space="0"/>
                  </w:tcBorders>
                  <w:vAlign w:val="center"/>
                </w:tcPr>
                <w:p w14:paraId="5265E01E">
                  <w:pPr>
                    <w:pStyle w:val="129"/>
                    <w:pageBreakBefore w:val="0"/>
                    <w:kinsoku/>
                    <w:overflowPunct/>
                    <w:topLinePunct w:val="0"/>
                    <w:bidi w:val="0"/>
                    <w:ind w:left="0" w:leftChars="0" w:right="0"/>
                    <w:rPr>
                      <w:b/>
                      <w:bCs/>
                      <w:color w:val="000000" w:themeColor="text1"/>
                      <w14:textFill>
                        <w14:solidFill>
                          <w14:schemeClr w14:val="tx1"/>
                        </w14:solidFill>
                      </w14:textFill>
                    </w:rPr>
                  </w:pPr>
                </w:p>
              </w:tc>
              <w:tc>
                <w:tcPr>
                  <w:tcW w:w="828" w:type="pct"/>
                  <w:vMerge w:val="restart"/>
                  <w:tcBorders>
                    <w:top w:val="single" w:color="auto" w:sz="4" w:space="0"/>
                    <w:left w:val="single" w:color="auto" w:sz="4" w:space="0"/>
                    <w:right w:val="single" w:color="auto" w:sz="4" w:space="0"/>
                  </w:tcBorders>
                  <w:vAlign w:val="center"/>
                </w:tcPr>
                <w:p w14:paraId="014416AC">
                  <w:pPr>
                    <w:pStyle w:val="29"/>
                    <w:pageBreakBefore w:val="0"/>
                    <w:widowControl w:val="0"/>
                    <w:kinsoku/>
                    <w:overflowPunct/>
                    <w:topLinePunct w:val="0"/>
                    <w:bidi w:val="0"/>
                    <w:spacing w:before="0" w:beforeAutospacing="0" w:after="0" w:afterAutospacing="0"/>
                    <w:ind w:left="0" w:leftChars="0" w:right="0"/>
                    <w:jc w:val="center"/>
                    <w:rPr>
                      <w:rFonts w:ascii="Times New Roman" w:hAnsi="Times New Roman"/>
                      <w:color w:val="000000" w:themeColor="text1"/>
                      <w:sz w:val="21"/>
                      <w:szCs w:val="21"/>
                      <w14:textFill>
                        <w14:solidFill>
                          <w14:schemeClr w14:val="tx1"/>
                        </w14:solidFill>
                      </w14:textFill>
                    </w:rPr>
                  </w:pPr>
                  <w:r>
                    <w:rPr>
                      <w:rStyle w:val="117"/>
                      <w:rFonts w:hint="eastAsia" w:ascii="Times New Roman" w:hAnsi="Times New Roman"/>
                      <w:color w:val="000000" w:themeColor="text1"/>
                      <w:sz w:val="21"/>
                      <w:szCs w:val="21"/>
                      <w14:textFill>
                        <w14:solidFill>
                          <w14:schemeClr w14:val="tx1"/>
                        </w14:solidFill>
                      </w14:textFill>
                    </w:rPr>
                    <w:t>生活污水</w:t>
                  </w:r>
                </w:p>
              </w:tc>
              <w:tc>
                <w:tcPr>
                  <w:tcW w:w="2644" w:type="pct"/>
                  <w:tcBorders>
                    <w:top w:val="single" w:color="auto" w:sz="4" w:space="0"/>
                    <w:left w:val="single" w:color="auto" w:sz="4" w:space="0"/>
                    <w:bottom w:val="single" w:color="auto" w:sz="4" w:space="0"/>
                    <w:right w:val="single" w:color="auto" w:sz="4" w:space="0"/>
                  </w:tcBorders>
                  <w:vAlign w:val="center"/>
                </w:tcPr>
                <w:p w14:paraId="356BEB41">
                  <w:pPr>
                    <w:pStyle w:val="29"/>
                    <w:pageBreakBefore w:val="0"/>
                    <w:widowControl w:val="0"/>
                    <w:kinsoku/>
                    <w:overflowPunct/>
                    <w:topLinePunct w:val="0"/>
                    <w:bidi w:val="0"/>
                    <w:spacing w:before="0" w:beforeAutospacing="0" w:after="0" w:afterAutospacing="0"/>
                    <w:ind w:left="0" w:leftChars="0" w:right="0"/>
                    <w:jc w:val="center"/>
                    <w:rPr>
                      <w:rFonts w:hint="default" w:ascii="Times New Roman" w:hAnsi="Times New Roman"/>
                      <w:color w:val="000000" w:themeColor="text1"/>
                      <w:sz w:val="21"/>
                      <w:szCs w:val="21"/>
                      <w:lang w:val="en-US"/>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依托现有</w:t>
                  </w:r>
                  <w:r>
                    <w:rPr>
                      <w:rFonts w:ascii="Times New Roman" w:hAnsi="Times New Roman"/>
                      <w:color w:val="000000" w:themeColor="text1"/>
                      <w:sz w:val="21"/>
                      <w:szCs w:val="21"/>
                      <w14:textFill>
                        <w14:solidFill>
                          <w14:schemeClr w14:val="tx1"/>
                        </w14:solidFill>
                      </w14:textFill>
                    </w:rPr>
                    <w:t>1个容积</w:t>
                  </w:r>
                  <w:r>
                    <w:rPr>
                      <w:rFonts w:hint="eastAsia" w:ascii="Times New Roman" w:hAnsi="Times New Roman"/>
                      <w:color w:val="000000" w:themeColor="text1"/>
                      <w:sz w:val="21"/>
                      <w:szCs w:val="21"/>
                      <w:lang w:val="en-US" w:eastAsia="zh-CN"/>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m</w:t>
                  </w:r>
                  <w:r>
                    <w:rPr>
                      <w:rFonts w:ascii="Times New Roman" w:hAnsi="Times New Roman"/>
                      <w:color w:val="000000" w:themeColor="text1"/>
                      <w:sz w:val="21"/>
                      <w:szCs w:val="21"/>
                      <w:vertAlign w:val="superscript"/>
                      <w14:textFill>
                        <w14:solidFill>
                          <w14:schemeClr w14:val="tx1"/>
                        </w14:solidFill>
                      </w14:textFill>
                    </w:rPr>
                    <w:t>3</w:t>
                  </w:r>
                  <w:r>
                    <w:rPr>
                      <w:rFonts w:hint="eastAsia" w:ascii="Times New Roman" w:hAnsi="Times New Roman"/>
                      <w:color w:val="000000" w:themeColor="text1"/>
                      <w:sz w:val="21"/>
                      <w:szCs w:val="21"/>
                      <w:lang w:eastAsia="zh-CN"/>
                      <w14:textFill>
                        <w14:solidFill>
                          <w14:schemeClr w14:val="tx1"/>
                        </w14:solidFill>
                      </w14:textFill>
                    </w:rPr>
                    <w:t>的化粪池、</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隔油池</w:t>
                  </w:r>
                </w:p>
              </w:tc>
              <w:tc>
                <w:tcPr>
                  <w:tcW w:w="448" w:type="pct"/>
                  <w:tcBorders>
                    <w:top w:val="single" w:color="auto" w:sz="4" w:space="0"/>
                    <w:left w:val="single" w:color="auto" w:sz="4" w:space="0"/>
                    <w:bottom w:val="single" w:color="auto" w:sz="4" w:space="0"/>
                    <w:right w:val="single" w:color="auto" w:sz="4" w:space="0"/>
                  </w:tcBorders>
                  <w:vAlign w:val="center"/>
                </w:tcPr>
                <w:p w14:paraId="1425ABFC">
                  <w:pPr>
                    <w:pageBreakBefore w:val="0"/>
                    <w:widowControl/>
                    <w:kinsoku/>
                    <w:overflowPunct/>
                    <w:topLinePunct w:val="0"/>
                    <w:bidi w:val="0"/>
                    <w:ind w:left="0" w:leftChars="0" w:right="0"/>
                    <w:jc w:val="center"/>
                    <w:textAlignment w:val="center"/>
                    <w:rPr>
                      <w:rFonts w:hint="eastAsia" w:eastAsia="宋体"/>
                      <w:color w:val="000000" w:themeColor="text1"/>
                      <w:szCs w:val="20"/>
                      <w:lang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w:t>
                  </w:r>
                </w:p>
              </w:tc>
              <w:tc>
                <w:tcPr>
                  <w:tcW w:w="450" w:type="pct"/>
                  <w:tcBorders>
                    <w:top w:val="single" w:color="auto" w:sz="4" w:space="0"/>
                    <w:left w:val="single" w:color="auto" w:sz="4" w:space="0"/>
                    <w:bottom w:val="single" w:color="auto" w:sz="4" w:space="0"/>
                    <w:right w:val="single" w:color="auto" w:sz="4" w:space="0"/>
                  </w:tcBorders>
                  <w:vAlign w:val="center"/>
                </w:tcPr>
                <w:p w14:paraId="4B465977">
                  <w:pPr>
                    <w:pageBreakBefore w:val="0"/>
                    <w:kinsoku/>
                    <w:overflowPunct/>
                    <w:topLinePunct w:val="0"/>
                    <w:bidi w:val="0"/>
                    <w:ind w:left="0" w:leftChars="0" w:right="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依托</w:t>
                  </w:r>
                </w:p>
              </w:tc>
            </w:tr>
            <w:tr w14:paraId="7B8F7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 w:type="pct"/>
                  <w:tcBorders>
                    <w:top w:val="single" w:color="auto" w:sz="4" w:space="0"/>
                    <w:left w:val="single" w:color="auto" w:sz="4" w:space="0"/>
                    <w:bottom w:val="single" w:color="auto" w:sz="4" w:space="0"/>
                    <w:right w:val="single" w:color="auto" w:sz="4" w:space="0"/>
                  </w:tcBorders>
                  <w:vAlign w:val="center"/>
                </w:tcPr>
                <w:p w14:paraId="74CAD472">
                  <w:pPr>
                    <w:pStyle w:val="129"/>
                    <w:pageBreakBefore w:val="0"/>
                    <w:kinsoku/>
                    <w:overflowPunct/>
                    <w:topLinePunct w:val="0"/>
                    <w:bidi w:val="0"/>
                    <w:ind w:left="0" w:leftChars="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293" w:type="pct"/>
                  <w:vMerge w:val="continue"/>
                  <w:tcBorders>
                    <w:left w:val="single" w:color="auto" w:sz="4" w:space="0"/>
                    <w:right w:val="single" w:color="auto" w:sz="4" w:space="0"/>
                  </w:tcBorders>
                  <w:vAlign w:val="center"/>
                </w:tcPr>
                <w:p w14:paraId="19D112C8">
                  <w:pPr>
                    <w:pStyle w:val="129"/>
                    <w:pageBreakBefore w:val="0"/>
                    <w:kinsoku/>
                    <w:overflowPunct/>
                    <w:topLinePunct w:val="0"/>
                    <w:bidi w:val="0"/>
                    <w:ind w:left="0" w:leftChars="0" w:right="0"/>
                    <w:rPr>
                      <w:b/>
                      <w:bCs/>
                      <w:color w:val="000000" w:themeColor="text1"/>
                      <w14:textFill>
                        <w14:solidFill>
                          <w14:schemeClr w14:val="tx1"/>
                        </w14:solidFill>
                      </w14:textFill>
                    </w:rPr>
                  </w:pPr>
                </w:p>
              </w:tc>
              <w:tc>
                <w:tcPr>
                  <w:tcW w:w="828" w:type="pct"/>
                  <w:vMerge w:val="continue"/>
                  <w:tcBorders>
                    <w:left w:val="single" w:color="auto" w:sz="4" w:space="0"/>
                    <w:right w:val="single" w:color="auto" w:sz="4" w:space="0"/>
                  </w:tcBorders>
                  <w:vAlign w:val="center"/>
                </w:tcPr>
                <w:p w14:paraId="48D444A8">
                  <w:pPr>
                    <w:pStyle w:val="29"/>
                    <w:pageBreakBefore w:val="0"/>
                    <w:widowControl w:val="0"/>
                    <w:kinsoku/>
                    <w:overflowPunct/>
                    <w:topLinePunct w:val="0"/>
                    <w:bidi w:val="0"/>
                    <w:spacing w:before="0" w:beforeAutospacing="0" w:after="0" w:afterAutospacing="0"/>
                    <w:ind w:left="0" w:leftChars="0" w:right="0"/>
                    <w:jc w:val="center"/>
                    <w:rPr>
                      <w:rStyle w:val="117"/>
                      <w:rFonts w:hint="eastAsia" w:ascii="Times New Roman" w:hAnsi="Times New Roman"/>
                      <w:color w:val="000000" w:themeColor="text1"/>
                      <w:sz w:val="21"/>
                      <w:szCs w:val="21"/>
                      <w14:textFill>
                        <w14:solidFill>
                          <w14:schemeClr w14:val="tx1"/>
                        </w14:solidFill>
                      </w14:textFill>
                    </w:rPr>
                  </w:pPr>
                </w:p>
              </w:tc>
              <w:tc>
                <w:tcPr>
                  <w:tcW w:w="2644" w:type="pct"/>
                  <w:tcBorders>
                    <w:top w:val="single" w:color="auto" w:sz="4" w:space="0"/>
                    <w:left w:val="single" w:color="auto" w:sz="4" w:space="0"/>
                    <w:bottom w:val="single" w:color="auto" w:sz="4" w:space="0"/>
                    <w:right w:val="single" w:color="auto" w:sz="4" w:space="0"/>
                  </w:tcBorders>
                  <w:vAlign w:val="center"/>
                </w:tcPr>
                <w:p w14:paraId="6145401F">
                  <w:pPr>
                    <w:pStyle w:val="29"/>
                    <w:pageBreakBefore w:val="0"/>
                    <w:widowControl w:val="0"/>
                    <w:kinsoku/>
                    <w:overflowPunct/>
                    <w:topLinePunct w:val="0"/>
                    <w:bidi w:val="0"/>
                    <w:spacing w:before="0" w:beforeAutospacing="0" w:after="0" w:afterAutospacing="0"/>
                    <w:ind w:left="0" w:leftChars="0" w:right="0"/>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新增1套处理能力为1m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1"/>
                      <w:szCs w:val="21"/>
                      <w:lang w:val="en-US" w:eastAsia="zh-CN"/>
                      <w14:textFill>
                        <w14:solidFill>
                          <w14:schemeClr w14:val="tx1"/>
                        </w14:solidFill>
                      </w14:textFill>
                    </w:rPr>
                    <w:t>/d的一体化生活污水处理设施</w:t>
                  </w:r>
                </w:p>
              </w:tc>
              <w:tc>
                <w:tcPr>
                  <w:tcW w:w="448" w:type="pct"/>
                  <w:tcBorders>
                    <w:top w:val="single" w:color="auto" w:sz="4" w:space="0"/>
                    <w:left w:val="single" w:color="auto" w:sz="4" w:space="0"/>
                    <w:bottom w:val="single" w:color="auto" w:sz="4" w:space="0"/>
                    <w:right w:val="single" w:color="auto" w:sz="4" w:space="0"/>
                  </w:tcBorders>
                  <w:vAlign w:val="center"/>
                </w:tcPr>
                <w:p w14:paraId="2583E040">
                  <w:pPr>
                    <w:pageBreakBefore w:val="0"/>
                    <w:widowControl/>
                    <w:kinsoku/>
                    <w:overflowPunct/>
                    <w:topLinePunct w:val="0"/>
                    <w:bidi w:val="0"/>
                    <w:ind w:left="0" w:leftChars="0" w:right="0"/>
                    <w:jc w:val="center"/>
                    <w:textAlignment w:val="center"/>
                    <w:rPr>
                      <w:rFonts w:hint="default"/>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5</w:t>
                  </w:r>
                </w:p>
              </w:tc>
              <w:tc>
                <w:tcPr>
                  <w:tcW w:w="450" w:type="pct"/>
                  <w:tcBorders>
                    <w:top w:val="single" w:color="auto" w:sz="4" w:space="0"/>
                    <w:left w:val="single" w:color="auto" w:sz="4" w:space="0"/>
                    <w:bottom w:val="single" w:color="auto" w:sz="4" w:space="0"/>
                    <w:right w:val="single" w:color="auto" w:sz="4" w:space="0"/>
                  </w:tcBorders>
                  <w:vAlign w:val="center"/>
                </w:tcPr>
                <w:p w14:paraId="540E43B2">
                  <w:pPr>
                    <w:pStyle w:val="129"/>
                    <w:pageBreakBefore w:val="0"/>
                    <w:kinsoku/>
                    <w:overflowPunct/>
                    <w:topLinePunct w:val="0"/>
                    <w:bidi w:val="0"/>
                    <w:ind w:left="0" w:leftChars="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新增</w:t>
                  </w:r>
                </w:p>
              </w:tc>
            </w:tr>
            <w:tr w14:paraId="3C21C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 w:type="pct"/>
                  <w:tcBorders>
                    <w:top w:val="single" w:color="auto" w:sz="4" w:space="0"/>
                    <w:left w:val="single" w:color="auto" w:sz="4" w:space="0"/>
                    <w:bottom w:val="single" w:color="auto" w:sz="4" w:space="0"/>
                    <w:right w:val="single" w:color="auto" w:sz="4" w:space="0"/>
                  </w:tcBorders>
                  <w:vAlign w:val="center"/>
                </w:tcPr>
                <w:p w14:paraId="71A44F4E">
                  <w:pPr>
                    <w:pStyle w:val="129"/>
                    <w:pageBreakBefore w:val="0"/>
                    <w:kinsoku/>
                    <w:overflowPunct/>
                    <w:topLinePunct w:val="0"/>
                    <w:bidi w:val="0"/>
                    <w:ind w:left="0" w:leftChars="0" w:right="0" w:righ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293" w:type="pct"/>
                  <w:vMerge w:val="continue"/>
                  <w:tcBorders>
                    <w:left w:val="single" w:color="auto" w:sz="4" w:space="0"/>
                    <w:right w:val="single" w:color="auto" w:sz="4" w:space="0"/>
                  </w:tcBorders>
                  <w:vAlign w:val="center"/>
                </w:tcPr>
                <w:p w14:paraId="14472EE7">
                  <w:pPr>
                    <w:pStyle w:val="129"/>
                    <w:pageBreakBefore w:val="0"/>
                    <w:kinsoku/>
                    <w:overflowPunct/>
                    <w:topLinePunct w:val="0"/>
                    <w:bidi w:val="0"/>
                    <w:ind w:left="0" w:leftChars="0" w:right="0"/>
                    <w:rPr>
                      <w:b/>
                      <w:bCs/>
                      <w:color w:val="000000" w:themeColor="text1"/>
                      <w14:textFill>
                        <w14:solidFill>
                          <w14:schemeClr w14:val="tx1"/>
                        </w14:solidFill>
                      </w14:textFill>
                    </w:rPr>
                  </w:pPr>
                </w:p>
              </w:tc>
              <w:tc>
                <w:tcPr>
                  <w:tcW w:w="828" w:type="pct"/>
                  <w:vMerge w:val="continue"/>
                  <w:tcBorders>
                    <w:left w:val="single" w:color="auto" w:sz="4" w:space="0"/>
                    <w:right w:val="single" w:color="auto" w:sz="4" w:space="0"/>
                  </w:tcBorders>
                  <w:vAlign w:val="center"/>
                </w:tcPr>
                <w:p w14:paraId="476F5434">
                  <w:pPr>
                    <w:pStyle w:val="29"/>
                    <w:pageBreakBefore w:val="0"/>
                    <w:widowControl w:val="0"/>
                    <w:kinsoku/>
                    <w:overflowPunct/>
                    <w:topLinePunct w:val="0"/>
                    <w:bidi w:val="0"/>
                    <w:spacing w:before="0" w:beforeAutospacing="0" w:after="0" w:afterAutospacing="0"/>
                    <w:ind w:left="0" w:leftChars="0" w:right="0"/>
                    <w:jc w:val="center"/>
                    <w:rPr>
                      <w:rStyle w:val="117"/>
                      <w:rFonts w:hint="eastAsia" w:ascii="Times New Roman" w:hAnsi="Times New Roman"/>
                      <w:color w:val="000000" w:themeColor="text1"/>
                      <w:sz w:val="21"/>
                      <w:szCs w:val="21"/>
                      <w14:textFill>
                        <w14:solidFill>
                          <w14:schemeClr w14:val="tx1"/>
                        </w14:solidFill>
                      </w14:textFill>
                    </w:rPr>
                  </w:pPr>
                </w:p>
              </w:tc>
              <w:tc>
                <w:tcPr>
                  <w:tcW w:w="2644" w:type="pct"/>
                  <w:tcBorders>
                    <w:top w:val="single" w:color="auto" w:sz="4" w:space="0"/>
                    <w:left w:val="single" w:color="auto" w:sz="4" w:space="0"/>
                    <w:bottom w:val="single" w:color="auto" w:sz="4" w:space="0"/>
                    <w:right w:val="single" w:color="auto" w:sz="4" w:space="0"/>
                  </w:tcBorders>
                  <w:vAlign w:val="center"/>
                </w:tcPr>
                <w:p w14:paraId="11B6C553">
                  <w:pPr>
                    <w:pStyle w:val="29"/>
                    <w:pageBreakBefore w:val="0"/>
                    <w:widowControl w:val="0"/>
                    <w:kinsoku/>
                    <w:overflowPunct/>
                    <w:topLinePunct w:val="0"/>
                    <w:bidi w:val="0"/>
                    <w:spacing w:before="0" w:beforeAutospacing="0" w:after="0" w:afterAutospacing="0"/>
                    <w:ind w:left="0" w:leftChars="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新增1个约3m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1"/>
                      <w:szCs w:val="21"/>
                      <w:lang w:val="en-US" w:eastAsia="zh-CN"/>
                      <w14:textFill>
                        <w14:solidFill>
                          <w14:schemeClr w14:val="tx1"/>
                        </w14:solidFill>
                      </w14:textFill>
                    </w:rPr>
                    <w:t>中水池，配套设置中水回用软管，</w:t>
                  </w:r>
                  <w:r>
                    <w:rPr>
                      <w:rFonts w:hint="default" w:ascii="Times New Roman" w:hAnsi="Times New Roman" w:cs="Times New Roman"/>
                      <w:color w:val="000000" w:themeColor="text1"/>
                      <w:sz w:val="21"/>
                      <w:szCs w:val="21"/>
                      <w:lang w:val="en-US" w:eastAsia="zh-CN"/>
                      <w14:textFill>
                        <w14:solidFill>
                          <w14:schemeClr w14:val="tx1"/>
                        </w14:solidFill>
                      </w14:textFill>
                    </w:rPr>
                    <w:t>收集雨天处理后的中水，留待晴天使用</w:t>
                  </w:r>
                </w:p>
              </w:tc>
              <w:tc>
                <w:tcPr>
                  <w:tcW w:w="448" w:type="pct"/>
                  <w:tcBorders>
                    <w:top w:val="single" w:color="auto" w:sz="4" w:space="0"/>
                    <w:left w:val="single" w:color="auto" w:sz="4" w:space="0"/>
                    <w:bottom w:val="single" w:color="auto" w:sz="4" w:space="0"/>
                    <w:right w:val="single" w:color="auto" w:sz="4" w:space="0"/>
                  </w:tcBorders>
                  <w:vAlign w:val="center"/>
                </w:tcPr>
                <w:p w14:paraId="3331028E">
                  <w:pPr>
                    <w:pageBreakBefore w:val="0"/>
                    <w:widowControl/>
                    <w:kinsoku/>
                    <w:overflowPunct/>
                    <w:topLinePunct w:val="0"/>
                    <w:bidi w:val="0"/>
                    <w:ind w:left="0" w:leftChars="0" w:right="0"/>
                    <w:jc w:val="center"/>
                    <w:textAlignment w:val="center"/>
                    <w:rPr>
                      <w:rFonts w:hint="default"/>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1</w:t>
                  </w:r>
                </w:p>
              </w:tc>
              <w:tc>
                <w:tcPr>
                  <w:tcW w:w="450" w:type="pct"/>
                  <w:tcBorders>
                    <w:top w:val="single" w:color="auto" w:sz="4" w:space="0"/>
                    <w:left w:val="single" w:color="auto" w:sz="4" w:space="0"/>
                    <w:bottom w:val="single" w:color="auto" w:sz="4" w:space="0"/>
                    <w:right w:val="single" w:color="auto" w:sz="4" w:space="0"/>
                  </w:tcBorders>
                  <w:vAlign w:val="center"/>
                </w:tcPr>
                <w:p w14:paraId="2AD8DD3E">
                  <w:pPr>
                    <w:pageBreakBefore w:val="0"/>
                    <w:kinsoku/>
                    <w:overflowPunct/>
                    <w:topLinePunct w:val="0"/>
                    <w:bidi w:val="0"/>
                    <w:ind w:left="0" w:leftChars="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新增</w:t>
                  </w:r>
                </w:p>
              </w:tc>
            </w:tr>
            <w:tr w14:paraId="03356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 w:type="pct"/>
                  <w:tcBorders>
                    <w:top w:val="single" w:color="auto" w:sz="4" w:space="0"/>
                    <w:left w:val="single" w:color="auto" w:sz="4" w:space="0"/>
                    <w:bottom w:val="single" w:color="auto" w:sz="4" w:space="0"/>
                    <w:right w:val="single" w:color="auto" w:sz="4" w:space="0"/>
                  </w:tcBorders>
                  <w:vAlign w:val="center"/>
                </w:tcPr>
                <w:p w14:paraId="498195AA">
                  <w:pPr>
                    <w:pStyle w:val="129"/>
                    <w:pageBreakBefore w:val="0"/>
                    <w:kinsoku/>
                    <w:overflowPunct/>
                    <w:topLinePunct w:val="0"/>
                    <w:bidi w:val="0"/>
                    <w:ind w:left="0" w:leftChars="0" w:right="0" w:righ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293" w:type="pct"/>
                  <w:vMerge w:val="continue"/>
                  <w:tcBorders>
                    <w:left w:val="single" w:color="auto" w:sz="4" w:space="0"/>
                    <w:right w:val="single" w:color="auto" w:sz="4" w:space="0"/>
                  </w:tcBorders>
                  <w:vAlign w:val="center"/>
                </w:tcPr>
                <w:p w14:paraId="565AADC1">
                  <w:pPr>
                    <w:pStyle w:val="129"/>
                    <w:pageBreakBefore w:val="0"/>
                    <w:kinsoku/>
                    <w:overflowPunct/>
                    <w:topLinePunct w:val="0"/>
                    <w:bidi w:val="0"/>
                    <w:ind w:left="0" w:leftChars="0" w:right="0"/>
                    <w:rPr>
                      <w:b/>
                      <w:bCs/>
                      <w:color w:val="000000" w:themeColor="text1"/>
                      <w14:textFill>
                        <w14:solidFill>
                          <w14:schemeClr w14:val="tx1"/>
                        </w14:solidFill>
                      </w14:textFill>
                    </w:rPr>
                  </w:pPr>
                </w:p>
              </w:tc>
              <w:tc>
                <w:tcPr>
                  <w:tcW w:w="828" w:type="pct"/>
                  <w:tcBorders>
                    <w:left w:val="single" w:color="auto" w:sz="4" w:space="0"/>
                    <w:bottom w:val="single" w:color="auto" w:sz="4" w:space="0"/>
                    <w:right w:val="single" w:color="auto" w:sz="4" w:space="0"/>
                  </w:tcBorders>
                  <w:vAlign w:val="center"/>
                </w:tcPr>
                <w:p w14:paraId="65071B86">
                  <w:pPr>
                    <w:pStyle w:val="29"/>
                    <w:pageBreakBefore w:val="0"/>
                    <w:widowControl w:val="0"/>
                    <w:kinsoku/>
                    <w:overflowPunct/>
                    <w:topLinePunct w:val="0"/>
                    <w:bidi w:val="0"/>
                    <w:spacing w:before="0" w:beforeAutospacing="0" w:after="0" w:afterAutospacing="0"/>
                    <w:ind w:left="0" w:leftChars="0" w:right="0"/>
                    <w:jc w:val="center"/>
                    <w:rPr>
                      <w:rStyle w:val="117"/>
                      <w:rFonts w:hint="eastAsia" w:ascii="Times New Roman" w:hAnsi="Times New Roman" w:eastAsia="宋体"/>
                      <w:color w:val="000000" w:themeColor="text1"/>
                      <w:sz w:val="21"/>
                      <w:szCs w:val="21"/>
                      <w:lang w:eastAsia="zh-CN"/>
                      <w14:textFill>
                        <w14:solidFill>
                          <w14:schemeClr w14:val="tx1"/>
                        </w14:solidFill>
                      </w14:textFill>
                    </w:rPr>
                  </w:pPr>
                  <w:r>
                    <w:rPr>
                      <w:rStyle w:val="117"/>
                      <w:rFonts w:hint="eastAsia" w:ascii="Times New Roman" w:hAnsi="Times New Roman"/>
                      <w:color w:val="000000" w:themeColor="text1"/>
                      <w:sz w:val="21"/>
                      <w:szCs w:val="21"/>
                      <w:lang w:eastAsia="zh-CN"/>
                      <w14:textFill>
                        <w14:solidFill>
                          <w14:schemeClr w14:val="tx1"/>
                        </w14:solidFill>
                      </w14:textFill>
                    </w:rPr>
                    <w:t>生产废水</w:t>
                  </w:r>
                </w:p>
              </w:tc>
              <w:tc>
                <w:tcPr>
                  <w:tcW w:w="2644" w:type="pct"/>
                  <w:tcBorders>
                    <w:top w:val="single" w:color="auto" w:sz="4" w:space="0"/>
                    <w:left w:val="single" w:color="auto" w:sz="4" w:space="0"/>
                    <w:bottom w:val="single" w:color="auto" w:sz="4" w:space="0"/>
                    <w:right w:val="single" w:color="auto" w:sz="4" w:space="0"/>
                  </w:tcBorders>
                  <w:vAlign w:val="center"/>
                </w:tcPr>
                <w:p w14:paraId="1FE109DC">
                  <w:pPr>
                    <w:pStyle w:val="29"/>
                    <w:pageBreakBefore w:val="0"/>
                    <w:widowControl w:val="0"/>
                    <w:kinsoku/>
                    <w:overflowPunct/>
                    <w:topLinePunct w:val="0"/>
                    <w:bidi w:val="0"/>
                    <w:spacing w:before="0" w:beforeAutospacing="0" w:after="0" w:afterAutospacing="0"/>
                    <w:ind w:left="0" w:leftChars="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新增1个约6m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eastAsia" w:cs="Times New Roman" w:eastAsiaTheme="minorEastAsia"/>
                      <w:color w:val="000000" w:themeColor="text1"/>
                      <w:sz w:val="21"/>
                      <w:szCs w:val="21"/>
                      <w:lang w:val="en-US" w:eastAsia="zh-CN"/>
                      <w14:textFill>
                        <w14:solidFill>
                          <w14:schemeClr w14:val="tx1"/>
                        </w14:solidFill>
                      </w14:textFill>
                    </w:rPr>
                    <w:t>废水收集池收集软水废水及锅炉排水</w:t>
                  </w:r>
                </w:p>
              </w:tc>
              <w:tc>
                <w:tcPr>
                  <w:tcW w:w="448" w:type="pct"/>
                  <w:tcBorders>
                    <w:top w:val="single" w:color="auto" w:sz="4" w:space="0"/>
                    <w:left w:val="single" w:color="auto" w:sz="4" w:space="0"/>
                    <w:bottom w:val="single" w:color="auto" w:sz="4" w:space="0"/>
                    <w:right w:val="single" w:color="auto" w:sz="4" w:space="0"/>
                  </w:tcBorders>
                  <w:vAlign w:val="center"/>
                </w:tcPr>
                <w:p w14:paraId="24E8E04C">
                  <w:pPr>
                    <w:pageBreakBefore w:val="0"/>
                    <w:widowControl/>
                    <w:kinsoku/>
                    <w:overflowPunct/>
                    <w:topLinePunct w:val="0"/>
                    <w:bidi w:val="0"/>
                    <w:ind w:left="0" w:leftChars="0" w:right="0"/>
                    <w:jc w:val="center"/>
                    <w:textAlignment w:val="center"/>
                    <w:rPr>
                      <w:rFonts w:hint="default"/>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1</w:t>
                  </w:r>
                </w:p>
              </w:tc>
              <w:tc>
                <w:tcPr>
                  <w:tcW w:w="450" w:type="pct"/>
                  <w:tcBorders>
                    <w:top w:val="single" w:color="auto" w:sz="4" w:space="0"/>
                    <w:left w:val="single" w:color="auto" w:sz="4" w:space="0"/>
                    <w:bottom w:val="single" w:color="auto" w:sz="4" w:space="0"/>
                    <w:right w:val="single" w:color="auto" w:sz="4" w:space="0"/>
                  </w:tcBorders>
                  <w:vAlign w:val="center"/>
                </w:tcPr>
                <w:p w14:paraId="6D28F540">
                  <w:pPr>
                    <w:pageBreakBefore w:val="0"/>
                    <w:kinsoku/>
                    <w:overflowPunct/>
                    <w:topLinePunct w:val="0"/>
                    <w:bidi w:val="0"/>
                    <w:ind w:left="0" w:leftChars="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新增</w:t>
                  </w:r>
                </w:p>
              </w:tc>
            </w:tr>
            <w:tr w14:paraId="2B09E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tcBorders>
                    <w:top w:val="single" w:color="auto" w:sz="4" w:space="0"/>
                    <w:left w:val="single" w:color="auto" w:sz="4" w:space="0"/>
                    <w:bottom w:val="single" w:color="auto" w:sz="4" w:space="0"/>
                    <w:right w:val="single" w:color="auto" w:sz="4" w:space="0"/>
                  </w:tcBorders>
                  <w:vAlign w:val="center"/>
                </w:tcPr>
                <w:p w14:paraId="2863D30C">
                  <w:pPr>
                    <w:pStyle w:val="129"/>
                    <w:pageBreakBefore w:val="0"/>
                    <w:kinsoku/>
                    <w:overflowPunct/>
                    <w:topLinePunct w:val="0"/>
                    <w:bidi w:val="0"/>
                    <w:ind w:left="0" w:leftChars="0" w:right="0" w:rightChars="0" w:firstLine="0" w:firstLineChars="0"/>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293" w:type="pct"/>
                  <w:vMerge w:val="restart"/>
                  <w:tcBorders>
                    <w:left w:val="single" w:color="auto" w:sz="4" w:space="0"/>
                    <w:right w:val="single" w:color="auto" w:sz="4" w:space="0"/>
                  </w:tcBorders>
                  <w:vAlign w:val="center"/>
                </w:tcPr>
                <w:p w14:paraId="6C07F37E">
                  <w:pPr>
                    <w:pStyle w:val="129"/>
                    <w:pageBreakBefore w:val="0"/>
                    <w:kinsoku/>
                    <w:overflowPunct/>
                    <w:topLinePunct w:val="0"/>
                    <w:bidi w:val="0"/>
                    <w:ind w:left="0" w:leftChars="0" w:right="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废气</w:t>
                  </w:r>
                </w:p>
              </w:tc>
              <w:tc>
                <w:tcPr>
                  <w:tcW w:w="828" w:type="pct"/>
                  <w:tcBorders>
                    <w:top w:val="single" w:color="auto" w:sz="4" w:space="0"/>
                    <w:left w:val="single" w:color="auto" w:sz="4" w:space="0"/>
                    <w:right w:val="single" w:color="auto" w:sz="4" w:space="0"/>
                  </w:tcBorders>
                  <w:vAlign w:val="center"/>
                </w:tcPr>
                <w:p w14:paraId="2BB30976">
                  <w:pPr>
                    <w:pStyle w:val="129"/>
                    <w:pageBreakBefore w:val="0"/>
                    <w:kinsoku/>
                    <w:overflowPunct/>
                    <w:topLinePunct w:val="0"/>
                    <w:bidi w:val="0"/>
                    <w:ind w:left="0" w:leftChars="0" w:right="0" w:rightChars="0" w:firstLine="0" w:firstLineChars="0"/>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锅炉废气</w:t>
                  </w:r>
                </w:p>
              </w:tc>
              <w:tc>
                <w:tcPr>
                  <w:tcW w:w="2644" w:type="pct"/>
                  <w:tcBorders>
                    <w:top w:val="single" w:color="auto" w:sz="4" w:space="0"/>
                    <w:left w:val="single" w:color="auto" w:sz="4" w:space="0"/>
                    <w:bottom w:val="single" w:color="auto" w:sz="4" w:space="0"/>
                    <w:right w:val="single" w:color="auto" w:sz="4" w:space="0"/>
                  </w:tcBorders>
                  <w:vAlign w:val="center"/>
                </w:tcPr>
                <w:p w14:paraId="13589104">
                  <w:pPr>
                    <w:pStyle w:val="129"/>
                    <w:pageBreakBefore w:val="0"/>
                    <w:kinsoku/>
                    <w:overflowPunct/>
                    <w:topLinePunct w:val="0"/>
                    <w:bidi w:val="0"/>
                    <w:ind w:left="0" w:leftChars="0" w:right="0" w:rightChars="0" w:firstLine="0" w:firstLineChars="0"/>
                    <w:rPr>
                      <w:rFonts w:hint="default"/>
                      <w:color w:val="000000" w:themeColor="text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新增1套“低氮燃烧+旋风除尘+布袋除尘”废气治理设施，依托现有30m排气筒DA001</w:t>
                  </w:r>
                </w:p>
              </w:tc>
              <w:tc>
                <w:tcPr>
                  <w:tcW w:w="448" w:type="pct"/>
                  <w:tcBorders>
                    <w:top w:val="single" w:color="auto" w:sz="4" w:space="0"/>
                    <w:left w:val="single" w:color="auto" w:sz="4" w:space="0"/>
                    <w:bottom w:val="single" w:color="auto" w:sz="4" w:space="0"/>
                    <w:right w:val="single" w:color="auto" w:sz="4" w:space="0"/>
                  </w:tcBorders>
                  <w:vAlign w:val="center"/>
                </w:tcPr>
                <w:p w14:paraId="06374B0E">
                  <w:pPr>
                    <w:pageBreakBefore w:val="0"/>
                    <w:widowControl/>
                    <w:kinsoku/>
                    <w:overflowPunct/>
                    <w:topLinePunct w:val="0"/>
                    <w:bidi w:val="0"/>
                    <w:ind w:left="0" w:leftChars="0" w:right="0"/>
                    <w:jc w:val="center"/>
                    <w:textAlignment w:val="center"/>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10</w:t>
                  </w:r>
                </w:p>
              </w:tc>
              <w:tc>
                <w:tcPr>
                  <w:tcW w:w="450" w:type="pct"/>
                  <w:tcBorders>
                    <w:top w:val="single" w:color="auto" w:sz="4" w:space="0"/>
                    <w:left w:val="single" w:color="auto" w:sz="4" w:space="0"/>
                    <w:bottom w:val="single" w:color="auto" w:sz="4" w:space="0"/>
                    <w:right w:val="single" w:color="auto" w:sz="4" w:space="0"/>
                  </w:tcBorders>
                  <w:vAlign w:val="center"/>
                </w:tcPr>
                <w:p w14:paraId="5635541E">
                  <w:pPr>
                    <w:pageBreakBefore w:val="0"/>
                    <w:kinsoku/>
                    <w:overflowPunct/>
                    <w:topLinePunct w:val="0"/>
                    <w:bidi w:val="0"/>
                    <w:ind w:left="0" w:leftChars="0" w:right="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新增</w:t>
                  </w:r>
                </w:p>
              </w:tc>
            </w:tr>
            <w:tr w14:paraId="0A44D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 w:type="pct"/>
                  <w:tcBorders>
                    <w:top w:val="single" w:color="auto" w:sz="4" w:space="0"/>
                    <w:left w:val="single" w:color="auto" w:sz="4" w:space="0"/>
                    <w:bottom w:val="single" w:color="auto" w:sz="4" w:space="0"/>
                    <w:right w:val="single" w:color="auto" w:sz="4" w:space="0"/>
                  </w:tcBorders>
                  <w:vAlign w:val="center"/>
                </w:tcPr>
                <w:p w14:paraId="2E24F815">
                  <w:pPr>
                    <w:pStyle w:val="129"/>
                    <w:pageBreakBefore w:val="0"/>
                    <w:kinsoku/>
                    <w:overflowPunct/>
                    <w:topLinePunct w:val="0"/>
                    <w:bidi w:val="0"/>
                    <w:ind w:left="0" w:leftChars="0" w:right="0" w:rightChars="0" w:firstLine="0" w:firstLineChars="0"/>
                    <w:rPr>
                      <w:rFonts w:hint="default"/>
                      <w:color w:val="000000" w:themeColor="text1"/>
                      <w:lang w:val="en-US" w:eastAsia="zh-CN"/>
                      <w14:textFill>
                        <w14:solidFill>
                          <w14:schemeClr w14:val="tx1"/>
                        </w14:solidFill>
                      </w14:textFill>
                    </w:rPr>
                  </w:pPr>
                  <w:r>
                    <w:rPr>
                      <w:rFonts w:hint="eastAsia" w:cs="Times New Roman"/>
                      <w:color w:val="000000" w:themeColor="text1"/>
                      <w:kern w:val="2"/>
                      <w:sz w:val="21"/>
                      <w:lang w:val="en-US" w:eastAsia="zh-CN" w:bidi="ar-SA"/>
                      <w14:textFill>
                        <w14:solidFill>
                          <w14:schemeClr w14:val="tx1"/>
                        </w14:solidFill>
                      </w14:textFill>
                    </w:rPr>
                    <w:t>7</w:t>
                  </w:r>
                </w:p>
              </w:tc>
              <w:tc>
                <w:tcPr>
                  <w:tcW w:w="293" w:type="pct"/>
                  <w:vMerge w:val="continue"/>
                  <w:tcBorders>
                    <w:left w:val="single" w:color="auto" w:sz="4" w:space="0"/>
                    <w:right w:val="single" w:color="auto" w:sz="4" w:space="0"/>
                  </w:tcBorders>
                  <w:vAlign w:val="center"/>
                </w:tcPr>
                <w:p w14:paraId="7C53233C">
                  <w:pPr>
                    <w:pStyle w:val="129"/>
                    <w:pageBreakBefore w:val="0"/>
                    <w:kinsoku/>
                    <w:overflowPunct/>
                    <w:topLinePunct w:val="0"/>
                    <w:bidi w:val="0"/>
                    <w:ind w:left="0" w:leftChars="0" w:right="0"/>
                    <w:rPr>
                      <w:rFonts w:hint="eastAsia"/>
                      <w:b/>
                      <w:bCs/>
                      <w:color w:val="000000" w:themeColor="text1"/>
                      <w14:textFill>
                        <w14:solidFill>
                          <w14:schemeClr w14:val="tx1"/>
                        </w14:solidFill>
                      </w14:textFill>
                    </w:rPr>
                  </w:pPr>
                </w:p>
              </w:tc>
              <w:tc>
                <w:tcPr>
                  <w:tcW w:w="828" w:type="pct"/>
                  <w:tcBorders>
                    <w:left w:val="single" w:color="auto" w:sz="4" w:space="0"/>
                    <w:bottom w:val="single" w:color="auto" w:sz="4" w:space="0"/>
                    <w:right w:val="single" w:color="auto" w:sz="4" w:space="0"/>
                  </w:tcBorders>
                  <w:vAlign w:val="center"/>
                </w:tcPr>
                <w:p w14:paraId="727C0F15">
                  <w:pPr>
                    <w:pStyle w:val="129"/>
                    <w:pageBreakBefore w:val="0"/>
                    <w:kinsoku/>
                    <w:overflowPunct/>
                    <w:topLinePunct w:val="0"/>
                    <w:bidi w:val="0"/>
                    <w:ind w:left="0" w:leftChars="0" w:right="0" w:rightChars="0" w:firstLine="0" w:firstLine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有机废气</w:t>
                  </w:r>
                </w:p>
              </w:tc>
              <w:tc>
                <w:tcPr>
                  <w:tcW w:w="2644" w:type="pct"/>
                  <w:tcBorders>
                    <w:top w:val="single" w:color="auto" w:sz="4" w:space="0"/>
                    <w:left w:val="single" w:color="auto" w:sz="4" w:space="0"/>
                    <w:bottom w:val="single" w:color="auto" w:sz="4" w:space="0"/>
                    <w:right w:val="single" w:color="auto" w:sz="4" w:space="0"/>
                  </w:tcBorders>
                  <w:vAlign w:val="center"/>
                </w:tcPr>
                <w:p w14:paraId="0673B38E">
                  <w:pPr>
                    <w:pStyle w:val="129"/>
                    <w:pageBreakBefore w:val="0"/>
                    <w:kinsoku/>
                    <w:overflowPunct/>
                    <w:topLinePunct w:val="0"/>
                    <w:bidi w:val="0"/>
                    <w:ind w:left="0" w:leftChars="0" w:right="0" w:rightChars="0" w:firstLine="0" w:firstLineChars="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本项目发泡工序新增2个集气罩、成型工序新增1个集气罩，共设置3个集气罩，有机废气经收集后进入1套“两级活性炭吸附装置”处理，处理后通过15m高排气筒DA002排放。</w:t>
                  </w:r>
                </w:p>
              </w:tc>
              <w:tc>
                <w:tcPr>
                  <w:tcW w:w="448" w:type="pct"/>
                  <w:tcBorders>
                    <w:top w:val="single" w:color="auto" w:sz="4" w:space="0"/>
                    <w:left w:val="single" w:color="auto" w:sz="4" w:space="0"/>
                    <w:bottom w:val="single" w:color="auto" w:sz="4" w:space="0"/>
                    <w:right w:val="single" w:color="auto" w:sz="4" w:space="0"/>
                  </w:tcBorders>
                  <w:vAlign w:val="center"/>
                </w:tcPr>
                <w:p w14:paraId="492FE039">
                  <w:pPr>
                    <w:pageBreakBefore w:val="0"/>
                    <w:widowControl/>
                    <w:kinsoku/>
                    <w:overflowPunct/>
                    <w:topLinePunct w:val="0"/>
                    <w:bidi w:val="0"/>
                    <w:ind w:left="0" w:leftChars="0" w:right="0"/>
                    <w:jc w:val="center"/>
                    <w:textAlignment w:val="center"/>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15</w:t>
                  </w:r>
                </w:p>
              </w:tc>
              <w:tc>
                <w:tcPr>
                  <w:tcW w:w="450" w:type="pct"/>
                  <w:tcBorders>
                    <w:top w:val="single" w:color="auto" w:sz="4" w:space="0"/>
                    <w:left w:val="single" w:color="auto" w:sz="4" w:space="0"/>
                    <w:bottom w:val="single" w:color="auto" w:sz="4" w:space="0"/>
                    <w:right w:val="single" w:color="auto" w:sz="4" w:space="0"/>
                  </w:tcBorders>
                  <w:vAlign w:val="center"/>
                </w:tcPr>
                <w:p w14:paraId="0B3C65D3">
                  <w:pPr>
                    <w:pageBreakBefore w:val="0"/>
                    <w:kinsoku/>
                    <w:overflowPunct/>
                    <w:topLinePunct w:val="0"/>
                    <w:bidi w:val="0"/>
                    <w:ind w:left="0" w:leftChars="0" w:right="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新增</w:t>
                  </w:r>
                </w:p>
              </w:tc>
            </w:tr>
            <w:tr w14:paraId="60C3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 w:type="pct"/>
                  <w:tcBorders>
                    <w:top w:val="single" w:color="auto" w:sz="4" w:space="0"/>
                    <w:left w:val="single" w:color="auto" w:sz="4" w:space="0"/>
                    <w:bottom w:val="single" w:color="auto" w:sz="4" w:space="0"/>
                    <w:right w:val="single" w:color="auto" w:sz="4" w:space="0"/>
                  </w:tcBorders>
                  <w:vAlign w:val="center"/>
                </w:tcPr>
                <w:p w14:paraId="4164DD42">
                  <w:pPr>
                    <w:pStyle w:val="129"/>
                    <w:pageBreakBefore w:val="0"/>
                    <w:kinsoku/>
                    <w:overflowPunct/>
                    <w:topLinePunct w:val="0"/>
                    <w:bidi w:val="0"/>
                    <w:ind w:left="0" w:leftChars="0" w:right="0" w:rightChars="0"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w:t>
                  </w:r>
                </w:p>
              </w:tc>
              <w:tc>
                <w:tcPr>
                  <w:tcW w:w="293" w:type="pct"/>
                  <w:vMerge w:val="continue"/>
                  <w:tcBorders>
                    <w:left w:val="single" w:color="auto" w:sz="4" w:space="0"/>
                    <w:right w:val="single" w:color="auto" w:sz="4" w:space="0"/>
                  </w:tcBorders>
                  <w:vAlign w:val="center"/>
                </w:tcPr>
                <w:p w14:paraId="29AFA8EA">
                  <w:pPr>
                    <w:pStyle w:val="129"/>
                    <w:pageBreakBefore w:val="0"/>
                    <w:kinsoku/>
                    <w:overflowPunct/>
                    <w:topLinePunct w:val="0"/>
                    <w:bidi w:val="0"/>
                    <w:ind w:left="0" w:leftChars="0" w:right="0"/>
                    <w:rPr>
                      <w:rFonts w:hint="eastAsia"/>
                      <w:b/>
                      <w:bCs/>
                      <w:color w:val="000000" w:themeColor="text1"/>
                      <w14:textFill>
                        <w14:solidFill>
                          <w14:schemeClr w14:val="tx1"/>
                        </w14:solidFill>
                      </w14:textFill>
                    </w:rPr>
                  </w:pPr>
                </w:p>
              </w:tc>
              <w:tc>
                <w:tcPr>
                  <w:tcW w:w="828" w:type="pct"/>
                  <w:tcBorders>
                    <w:top w:val="single" w:color="auto" w:sz="4" w:space="0"/>
                    <w:left w:val="single" w:color="auto" w:sz="4" w:space="0"/>
                    <w:bottom w:val="single" w:color="auto" w:sz="4" w:space="0"/>
                    <w:right w:val="single" w:color="auto" w:sz="4" w:space="0"/>
                  </w:tcBorders>
                  <w:vAlign w:val="center"/>
                </w:tcPr>
                <w:p w14:paraId="3B2ED4E6">
                  <w:pPr>
                    <w:pStyle w:val="129"/>
                    <w:pageBreakBefore w:val="0"/>
                    <w:kinsoku/>
                    <w:overflowPunct/>
                    <w:topLinePunct w:val="0"/>
                    <w:bidi w:val="0"/>
                    <w:ind w:left="0" w:leftChars="0" w:right="0" w:rightChars="0" w:firstLine="0" w:firstLine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食堂油烟</w:t>
                  </w:r>
                </w:p>
              </w:tc>
              <w:tc>
                <w:tcPr>
                  <w:tcW w:w="2644" w:type="pct"/>
                  <w:tcBorders>
                    <w:top w:val="single" w:color="auto" w:sz="4" w:space="0"/>
                    <w:left w:val="single" w:color="auto" w:sz="4" w:space="0"/>
                    <w:bottom w:val="single" w:color="auto" w:sz="4" w:space="0"/>
                    <w:right w:val="single" w:color="auto" w:sz="4" w:space="0"/>
                  </w:tcBorders>
                  <w:vAlign w:val="center"/>
                </w:tcPr>
                <w:p w14:paraId="4CEC76A5">
                  <w:pPr>
                    <w:pStyle w:val="129"/>
                    <w:pageBreakBefore w:val="0"/>
                    <w:kinsoku/>
                    <w:overflowPunct/>
                    <w:topLinePunct w:val="0"/>
                    <w:bidi w:val="0"/>
                    <w:ind w:left="0" w:leftChars="0" w:right="0" w:rightChars="0" w:firstLine="0" w:firstLineChars="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新增1台油烟净化器，食堂油烟经油烟净化器处理后排放。</w:t>
                  </w:r>
                </w:p>
              </w:tc>
              <w:tc>
                <w:tcPr>
                  <w:tcW w:w="448" w:type="pct"/>
                  <w:tcBorders>
                    <w:top w:val="single" w:color="auto" w:sz="4" w:space="0"/>
                    <w:left w:val="single" w:color="auto" w:sz="4" w:space="0"/>
                    <w:bottom w:val="single" w:color="auto" w:sz="4" w:space="0"/>
                    <w:right w:val="single" w:color="auto" w:sz="4" w:space="0"/>
                  </w:tcBorders>
                  <w:vAlign w:val="center"/>
                </w:tcPr>
                <w:p w14:paraId="76C10294">
                  <w:pPr>
                    <w:pageBreakBefore w:val="0"/>
                    <w:widowControl/>
                    <w:kinsoku/>
                    <w:overflowPunct/>
                    <w:topLinePunct w:val="0"/>
                    <w:bidi w:val="0"/>
                    <w:ind w:left="0" w:leftChars="0" w:right="0"/>
                    <w:jc w:val="center"/>
                    <w:textAlignment w:val="center"/>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1</w:t>
                  </w:r>
                </w:p>
              </w:tc>
              <w:tc>
                <w:tcPr>
                  <w:tcW w:w="450" w:type="pct"/>
                  <w:tcBorders>
                    <w:top w:val="single" w:color="auto" w:sz="4" w:space="0"/>
                    <w:left w:val="single" w:color="auto" w:sz="4" w:space="0"/>
                    <w:bottom w:val="single" w:color="auto" w:sz="4" w:space="0"/>
                    <w:right w:val="single" w:color="auto" w:sz="4" w:space="0"/>
                  </w:tcBorders>
                  <w:vAlign w:val="center"/>
                </w:tcPr>
                <w:p w14:paraId="7960CFAD">
                  <w:pPr>
                    <w:pageBreakBefore w:val="0"/>
                    <w:kinsoku/>
                    <w:overflowPunct/>
                    <w:topLinePunct w:val="0"/>
                    <w:bidi w:val="0"/>
                    <w:ind w:left="0" w:leftChars="0" w:right="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新增</w:t>
                  </w:r>
                </w:p>
              </w:tc>
            </w:tr>
            <w:tr w14:paraId="442B5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 w:type="pct"/>
                  <w:tcBorders>
                    <w:top w:val="single" w:color="auto" w:sz="4" w:space="0"/>
                    <w:left w:val="single" w:color="auto" w:sz="4" w:space="0"/>
                    <w:bottom w:val="single" w:color="auto" w:sz="4" w:space="0"/>
                    <w:right w:val="single" w:color="auto" w:sz="4" w:space="0"/>
                  </w:tcBorders>
                  <w:vAlign w:val="center"/>
                </w:tcPr>
                <w:p w14:paraId="186361BC">
                  <w:pPr>
                    <w:pStyle w:val="129"/>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cs="Times New Roman"/>
                      <w:color w:val="000000" w:themeColor="text1"/>
                      <w:kern w:val="2"/>
                      <w:sz w:val="21"/>
                      <w:lang w:val="en-US" w:eastAsia="zh-CN" w:bidi="ar-SA"/>
                      <w14:textFill>
                        <w14:solidFill>
                          <w14:schemeClr w14:val="tx1"/>
                        </w14:solidFill>
                      </w14:textFill>
                    </w:rPr>
                    <w:t>9</w:t>
                  </w:r>
                </w:p>
              </w:tc>
              <w:tc>
                <w:tcPr>
                  <w:tcW w:w="293" w:type="pct"/>
                  <w:vMerge w:val="restart"/>
                  <w:tcBorders>
                    <w:left w:val="single" w:color="auto" w:sz="4" w:space="0"/>
                    <w:right w:val="single" w:color="auto" w:sz="4" w:space="0"/>
                  </w:tcBorders>
                  <w:vAlign w:val="center"/>
                </w:tcPr>
                <w:p w14:paraId="591E7A30">
                  <w:pPr>
                    <w:pStyle w:val="129"/>
                    <w:pageBreakBefore w:val="0"/>
                    <w:kinsoku/>
                    <w:overflowPunct/>
                    <w:topLinePunct w:val="0"/>
                    <w:bidi w:val="0"/>
                    <w:ind w:left="0" w:leftChars="0" w:right="0"/>
                    <w:rPr>
                      <w:color w:val="000000" w:themeColor="text1"/>
                      <w14:textFill>
                        <w14:solidFill>
                          <w14:schemeClr w14:val="tx1"/>
                        </w14:solidFill>
                      </w14:textFill>
                    </w:rPr>
                  </w:pPr>
                  <w:r>
                    <w:rPr>
                      <w:rFonts w:hint="eastAsia"/>
                      <w:b/>
                      <w:bCs/>
                      <w:color w:val="000000" w:themeColor="text1"/>
                      <w14:textFill>
                        <w14:solidFill>
                          <w14:schemeClr w14:val="tx1"/>
                        </w14:solidFill>
                      </w14:textFill>
                    </w:rPr>
                    <w:t>固废</w:t>
                  </w:r>
                </w:p>
              </w:tc>
              <w:tc>
                <w:tcPr>
                  <w:tcW w:w="828" w:type="pct"/>
                  <w:tcBorders>
                    <w:top w:val="single" w:color="auto" w:sz="4" w:space="0"/>
                    <w:left w:val="single" w:color="auto" w:sz="4" w:space="0"/>
                    <w:bottom w:val="single" w:color="auto" w:sz="4" w:space="0"/>
                    <w:right w:val="single" w:color="auto" w:sz="4" w:space="0"/>
                  </w:tcBorders>
                  <w:vAlign w:val="center"/>
                </w:tcPr>
                <w:p w14:paraId="24F055DF">
                  <w:pPr>
                    <w:pStyle w:val="129"/>
                    <w:pageBreakBefore w:val="0"/>
                    <w:kinsoku/>
                    <w:overflowPunct/>
                    <w:topLinePunct w:val="0"/>
                    <w:bidi w:val="0"/>
                    <w:ind w:left="0" w:leftChars="0" w:right="0" w:rightChars="0" w:firstLine="0" w:firstLineChars="0"/>
                    <w:rPr>
                      <w:color w:val="000000" w:themeColor="text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堆渣棚</w:t>
                  </w:r>
                </w:p>
              </w:tc>
              <w:tc>
                <w:tcPr>
                  <w:tcW w:w="2644" w:type="pct"/>
                  <w:tcBorders>
                    <w:top w:val="single" w:color="auto" w:sz="4" w:space="0"/>
                    <w:left w:val="single" w:color="auto" w:sz="4" w:space="0"/>
                    <w:bottom w:val="single" w:color="auto" w:sz="4" w:space="0"/>
                    <w:right w:val="single" w:color="auto" w:sz="4" w:space="0"/>
                  </w:tcBorders>
                  <w:vAlign w:val="center"/>
                </w:tcPr>
                <w:p w14:paraId="043B1385">
                  <w:pPr>
                    <w:pStyle w:val="129"/>
                    <w:pageBreakBefore w:val="0"/>
                    <w:kinsoku/>
                    <w:overflowPunct/>
                    <w:topLinePunct w:val="0"/>
                    <w:bidi w:val="0"/>
                    <w:ind w:left="0" w:leftChars="0" w:right="0" w:rightChars="0" w:firstLine="0" w:firstLineChars="0"/>
                    <w:rPr>
                      <w:color w:val="000000" w:themeColor="text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依托</w:t>
                  </w:r>
                  <w:r>
                    <w:rPr>
                      <w:rFonts w:hint="eastAsia" w:cs="Times New Roman"/>
                      <w:color w:val="000000" w:themeColor="text1"/>
                      <w:szCs w:val="21"/>
                      <w:lang w:val="en-US" w:eastAsia="zh-CN"/>
                      <w14:textFill>
                        <w14:solidFill>
                          <w14:schemeClr w14:val="tx1"/>
                        </w14:solidFill>
                      </w14:textFill>
                    </w:rPr>
                    <w:t>现有1个约10m</w:t>
                  </w:r>
                  <w:r>
                    <w:rPr>
                      <w:rFonts w:hint="eastAsia" w:cs="Times New Roman"/>
                      <w:color w:val="000000" w:themeColor="text1"/>
                      <w:szCs w:val="21"/>
                      <w:vertAlign w:val="superscript"/>
                      <w:lang w:val="en-US" w:eastAsia="zh-CN"/>
                      <w14:textFill>
                        <w14:solidFill>
                          <w14:schemeClr w14:val="tx1"/>
                        </w14:solidFill>
                      </w14:textFill>
                    </w:rPr>
                    <w:t>2</w:t>
                  </w:r>
                  <w:r>
                    <w:rPr>
                      <w:rFonts w:hint="eastAsia" w:cs="Times New Roman"/>
                      <w:color w:val="000000" w:themeColor="text1"/>
                      <w:szCs w:val="21"/>
                      <w:lang w:val="en-US" w:eastAsia="zh-CN"/>
                      <w14:textFill>
                        <w14:solidFill>
                          <w14:schemeClr w14:val="tx1"/>
                        </w14:solidFill>
                      </w14:textFill>
                    </w:rPr>
                    <w:t>的堆渣棚</w:t>
                  </w:r>
                </w:p>
              </w:tc>
              <w:tc>
                <w:tcPr>
                  <w:tcW w:w="448" w:type="pct"/>
                  <w:tcBorders>
                    <w:top w:val="single" w:color="auto" w:sz="4" w:space="0"/>
                    <w:left w:val="single" w:color="auto" w:sz="4" w:space="0"/>
                    <w:bottom w:val="single" w:color="auto" w:sz="4" w:space="0"/>
                    <w:right w:val="single" w:color="auto" w:sz="4" w:space="0"/>
                  </w:tcBorders>
                  <w:vAlign w:val="center"/>
                </w:tcPr>
                <w:p w14:paraId="32AD2F45">
                  <w:pPr>
                    <w:pageBreakBefore w:val="0"/>
                    <w:widowControl/>
                    <w:kinsoku/>
                    <w:overflowPunct/>
                    <w:topLinePunct w:val="0"/>
                    <w:bidi w:val="0"/>
                    <w:ind w:left="0" w:leftChars="0" w:right="0"/>
                    <w:jc w:val="center"/>
                    <w:textAlignment w:val="center"/>
                    <w:rPr>
                      <w:rFonts w:hint="eastAsia"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w:t>
                  </w:r>
                </w:p>
              </w:tc>
              <w:tc>
                <w:tcPr>
                  <w:tcW w:w="450" w:type="pct"/>
                  <w:tcBorders>
                    <w:top w:val="single" w:color="auto" w:sz="4" w:space="0"/>
                    <w:left w:val="single" w:color="auto" w:sz="4" w:space="0"/>
                    <w:bottom w:val="single" w:color="auto" w:sz="4" w:space="0"/>
                    <w:right w:val="single" w:color="auto" w:sz="4" w:space="0"/>
                  </w:tcBorders>
                  <w:vAlign w:val="center"/>
                </w:tcPr>
                <w:p w14:paraId="5FB4D6D6">
                  <w:pPr>
                    <w:pStyle w:val="129"/>
                    <w:pageBreakBefore w:val="0"/>
                    <w:kinsoku/>
                    <w:overflowPunct/>
                    <w:topLinePunct w:val="0"/>
                    <w:bidi w:val="0"/>
                    <w:ind w:left="0" w:leftChars="0" w:right="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依托</w:t>
                  </w:r>
                </w:p>
              </w:tc>
            </w:tr>
            <w:tr w14:paraId="698DA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 w:type="pct"/>
                  <w:tcBorders>
                    <w:top w:val="single" w:color="auto" w:sz="4" w:space="0"/>
                    <w:left w:val="single" w:color="auto" w:sz="4" w:space="0"/>
                    <w:bottom w:val="single" w:color="auto" w:sz="4" w:space="0"/>
                    <w:right w:val="single" w:color="auto" w:sz="4" w:space="0"/>
                  </w:tcBorders>
                  <w:vAlign w:val="center"/>
                </w:tcPr>
                <w:p w14:paraId="7EC6A28E">
                  <w:pPr>
                    <w:pStyle w:val="129"/>
                    <w:pageBreakBefore w:val="0"/>
                    <w:kinsoku/>
                    <w:overflowPunct/>
                    <w:topLinePunct w:val="0"/>
                    <w:bidi w:val="0"/>
                    <w:ind w:left="0" w:leftChars="0" w:right="0" w:rightChars="0" w:firstLine="0" w:firstLineChars="0"/>
                    <w:rPr>
                      <w:rFonts w:hint="eastAsia" w:eastAsia="宋体"/>
                      <w:color w:val="000000" w:themeColor="text1"/>
                      <w:lang w:val="en-US" w:eastAsia="zh-CN"/>
                      <w14:textFill>
                        <w14:solidFill>
                          <w14:schemeClr w14:val="tx1"/>
                        </w14:solidFill>
                      </w14:textFill>
                    </w:rPr>
                  </w:pPr>
                  <w:r>
                    <w:rPr>
                      <w:rFonts w:hint="eastAsia" w:cs="Times New Roman"/>
                      <w:color w:val="000000" w:themeColor="text1"/>
                      <w:kern w:val="2"/>
                      <w:sz w:val="21"/>
                      <w:lang w:val="en-US" w:eastAsia="zh-CN" w:bidi="ar-SA"/>
                      <w14:textFill>
                        <w14:solidFill>
                          <w14:schemeClr w14:val="tx1"/>
                        </w14:solidFill>
                      </w14:textFill>
                    </w:rPr>
                    <w:t>10</w:t>
                  </w:r>
                </w:p>
              </w:tc>
              <w:tc>
                <w:tcPr>
                  <w:tcW w:w="293" w:type="pct"/>
                  <w:vMerge w:val="continue"/>
                  <w:tcBorders>
                    <w:left w:val="single" w:color="auto" w:sz="4" w:space="0"/>
                    <w:right w:val="single" w:color="auto" w:sz="4" w:space="0"/>
                  </w:tcBorders>
                  <w:vAlign w:val="center"/>
                </w:tcPr>
                <w:p w14:paraId="7129DDAB">
                  <w:pPr>
                    <w:pStyle w:val="129"/>
                    <w:pageBreakBefore w:val="0"/>
                    <w:kinsoku/>
                    <w:overflowPunct/>
                    <w:topLinePunct w:val="0"/>
                    <w:bidi w:val="0"/>
                    <w:ind w:left="0" w:leftChars="0" w:right="0"/>
                    <w:rPr>
                      <w:rFonts w:hint="eastAsia"/>
                      <w:b/>
                      <w:bCs/>
                      <w:color w:val="000000" w:themeColor="text1"/>
                      <w14:textFill>
                        <w14:solidFill>
                          <w14:schemeClr w14:val="tx1"/>
                        </w14:solidFill>
                      </w14:textFill>
                    </w:rPr>
                  </w:pPr>
                </w:p>
              </w:tc>
              <w:tc>
                <w:tcPr>
                  <w:tcW w:w="828" w:type="pct"/>
                  <w:tcBorders>
                    <w:top w:val="single" w:color="auto" w:sz="4" w:space="0"/>
                    <w:left w:val="single" w:color="auto" w:sz="4" w:space="0"/>
                    <w:bottom w:val="single" w:color="auto" w:sz="4" w:space="0"/>
                    <w:right w:val="single" w:color="auto" w:sz="4" w:space="0"/>
                  </w:tcBorders>
                  <w:vAlign w:val="center"/>
                </w:tcPr>
                <w:p w14:paraId="7334BD8D">
                  <w:pPr>
                    <w:pStyle w:val="129"/>
                    <w:pageBreakBefore w:val="0"/>
                    <w:kinsoku/>
                    <w:overflowPunct/>
                    <w:topLinePunct w:val="0"/>
                    <w:bidi w:val="0"/>
                    <w:ind w:left="0" w:leftChars="0" w:right="0" w:rightChars="0" w:firstLine="0" w:firstLineChars="0"/>
                    <w:rPr>
                      <w:rFonts w:hint="eastAsia"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一般固废暂存区</w:t>
                  </w:r>
                </w:p>
              </w:tc>
              <w:tc>
                <w:tcPr>
                  <w:tcW w:w="2644" w:type="pct"/>
                  <w:tcBorders>
                    <w:top w:val="single" w:color="auto" w:sz="4" w:space="0"/>
                    <w:left w:val="single" w:color="auto" w:sz="4" w:space="0"/>
                    <w:bottom w:val="single" w:color="auto" w:sz="4" w:space="0"/>
                    <w:right w:val="single" w:color="auto" w:sz="4" w:space="0"/>
                  </w:tcBorders>
                  <w:vAlign w:val="center"/>
                </w:tcPr>
                <w:p w14:paraId="16EECF56">
                  <w:pPr>
                    <w:pStyle w:val="129"/>
                    <w:pageBreakBefore w:val="0"/>
                    <w:kinsoku/>
                    <w:overflowPunct/>
                    <w:topLinePunct w:val="0"/>
                    <w:bidi w:val="0"/>
                    <w:ind w:left="0" w:leftChars="0" w:right="0" w:rightChars="0" w:firstLine="0" w:firstLineChars="0"/>
                    <w:rPr>
                      <w:rFonts w:hint="eastAsia"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生产车间内新增设置</w:t>
                  </w:r>
                  <w:r>
                    <w:rPr>
                      <w:rFonts w:hint="eastAsia" w:cs="Times New Roman"/>
                      <w:color w:val="000000" w:themeColor="text1"/>
                      <w:szCs w:val="21"/>
                      <w:lang w:val="en-US" w:eastAsia="zh-CN"/>
                      <w14:textFill>
                        <w14:solidFill>
                          <w14:schemeClr w14:val="tx1"/>
                        </w14:solidFill>
                      </w14:textFill>
                    </w:rPr>
                    <w:t>1个约5m</w:t>
                  </w:r>
                  <w:r>
                    <w:rPr>
                      <w:rFonts w:hint="eastAsia" w:cs="Times New Roman"/>
                      <w:color w:val="000000" w:themeColor="text1"/>
                      <w:szCs w:val="21"/>
                      <w:vertAlign w:val="superscript"/>
                      <w:lang w:val="en-US" w:eastAsia="zh-CN"/>
                      <w14:textFill>
                        <w14:solidFill>
                          <w14:schemeClr w14:val="tx1"/>
                        </w14:solidFill>
                      </w14:textFill>
                    </w:rPr>
                    <w:t>2</w:t>
                  </w:r>
                  <w:r>
                    <w:rPr>
                      <w:rFonts w:hint="eastAsia" w:cs="Times New Roman"/>
                      <w:color w:val="000000" w:themeColor="text1"/>
                      <w:szCs w:val="21"/>
                      <w:lang w:val="en-US" w:eastAsia="zh-CN"/>
                      <w14:textFill>
                        <w14:solidFill>
                          <w14:schemeClr w14:val="tx1"/>
                        </w14:solidFill>
                      </w14:textFill>
                    </w:rPr>
                    <w:t>一般固废暂存区，废包装物，不合格品等一般固废收集存放于一般固废暂存区，定期外售。</w:t>
                  </w:r>
                </w:p>
              </w:tc>
              <w:tc>
                <w:tcPr>
                  <w:tcW w:w="448" w:type="pct"/>
                  <w:tcBorders>
                    <w:top w:val="single" w:color="auto" w:sz="4" w:space="0"/>
                    <w:left w:val="single" w:color="auto" w:sz="4" w:space="0"/>
                    <w:bottom w:val="single" w:color="auto" w:sz="4" w:space="0"/>
                    <w:right w:val="single" w:color="auto" w:sz="4" w:space="0"/>
                  </w:tcBorders>
                  <w:vAlign w:val="center"/>
                </w:tcPr>
                <w:p w14:paraId="4D67EDF4">
                  <w:pPr>
                    <w:pageBreakBefore w:val="0"/>
                    <w:widowControl/>
                    <w:kinsoku/>
                    <w:overflowPunct/>
                    <w:topLinePunct w:val="0"/>
                    <w:bidi w:val="0"/>
                    <w:ind w:left="0" w:leftChars="0" w:right="0"/>
                    <w:jc w:val="center"/>
                    <w:textAlignment w:val="center"/>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1</w:t>
                  </w:r>
                </w:p>
              </w:tc>
              <w:tc>
                <w:tcPr>
                  <w:tcW w:w="450" w:type="pct"/>
                  <w:tcBorders>
                    <w:top w:val="single" w:color="auto" w:sz="4" w:space="0"/>
                    <w:left w:val="single" w:color="auto" w:sz="4" w:space="0"/>
                    <w:bottom w:val="single" w:color="auto" w:sz="4" w:space="0"/>
                    <w:right w:val="single" w:color="auto" w:sz="4" w:space="0"/>
                  </w:tcBorders>
                  <w:vAlign w:val="center"/>
                </w:tcPr>
                <w:p w14:paraId="50D17CDB">
                  <w:pPr>
                    <w:pStyle w:val="129"/>
                    <w:pageBreakBefore w:val="0"/>
                    <w:kinsoku/>
                    <w:overflowPunct/>
                    <w:topLinePunct w:val="0"/>
                    <w:bidi w:val="0"/>
                    <w:ind w:left="0" w:leftChars="0" w:right="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新增</w:t>
                  </w:r>
                </w:p>
              </w:tc>
            </w:tr>
            <w:tr w14:paraId="66AD3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 w:type="pct"/>
                  <w:tcBorders>
                    <w:top w:val="single" w:color="auto" w:sz="4" w:space="0"/>
                    <w:left w:val="single" w:color="auto" w:sz="4" w:space="0"/>
                    <w:bottom w:val="single" w:color="auto" w:sz="4" w:space="0"/>
                    <w:right w:val="single" w:color="auto" w:sz="4" w:space="0"/>
                  </w:tcBorders>
                  <w:vAlign w:val="center"/>
                </w:tcPr>
                <w:p w14:paraId="48EC1DD5">
                  <w:pPr>
                    <w:pStyle w:val="129"/>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11</w:t>
                  </w:r>
                </w:p>
              </w:tc>
              <w:tc>
                <w:tcPr>
                  <w:tcW w:w="293" w:type="pct"/>
                  <w:vMerge w:val="continue"/>
                  <w:tcBorders>
                    <w:left w:val="single" w:color="auto" w:sz="4" w:space="0"/>
                    <w:right w:val="single" w:color="auto" w:sz="4" w:space="0"/>
                  </w:tcBorders>
                  <w:vAlign w:val="center"/>
                </w:tcPr>
                <w:p w14:paraId="00BE632E">
                  <w:pPr>
                    <w:pStyle w:val="129"/>
                    <w:pageBreakBefore w:val="0"/>
                    <w:kinsoku/>
                    <w:overflowPunct/>
                    <w:topLinePunct w:val="0"/>
                    <w:bidi w:val="0"/>
                    <w:ind w:left="0" w:leftChars="0" w:right="0"/>
                    <w:rPr>
                      <w:color w:val="000000" w:themeColor="text1"/>
                      <w14:textFill>
                        <w14:solidFill>
                          <w14:schemeClr w14:val="tx1"/>
                        </w14:solidFill>
                      </w14:textFill>
                    </w:rPr>
                  </w:pPr>
                </w:p>
              </w:tc>
              <w:tc>
                <w:tcPr>
                  <w:tcW w:w="828" w:type="pct"/>
                  <w:tcBorders>
                    <w:top w:val="single" w:color="auto" w:sz="4" w:space="0"/>
                    <w:left w:val="single" w:color="auto" w:sz="4" w:space="0"/>
                    <w:bottom w:val="single" w:color="auto" w:sz="4" w:space="0"/>
                    <w:right w:val="single" w:color="auto" w:sz="4" w:space="0"/>
                  </w:tcBorders>
                  <w:vAlign w:val="center"/>
                </w:tcPr>
                <w:p w14:paraId="76746105">
                  <w:pPr>
                    <w:pStyle w:val="129"/>
                    <w:pageBreakBefore w:val="0"/>
                    <w:kinsoku/>
                    <w:overflowPunct/>
                    <w:topLinePunct w:val="0"/>
                    <w:bidi w:val="0"/>
                    <w:ind w:left="0" w:leftChars="0" w:right="0" w:rightChars="0" w:firstLine="0" w:firstLineChars="0"/>
                    <w:rPr>
                      <w:rFonts w:hint="eastAsia" w:eastAsia="宋体"/>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危废贮存库</w:t>
                  </w:r>
                </w:p>
              </w:tc>
              <w:tc>
                <w:tcPr>
                  <w:tcW w:w="2644" w:type="pct"/>
                  <w:tcBorders>
                    <w:top w:val="single" w:color="auto" w:sz="4" w:space="0"/>
                    <w:left w:val="single" w:color="auto" w:sz="4" w:space="0"/>
                    <w:bottom w:val="single" w:color="auto" w:sz="4" w:space="0"/>
                    <w:right w:val="single" w:color="auto" w:sz="4" w:space="0"/>
                  </w:tcBorders>
                  <w:vAlign w:val="center"/>
                </w:tcPr>
                <w:p w14:paraId="0347F43B">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cs="Times New Roman" w:eastAsiaTheme="minorEastAsia"/>
                      <w:bCs/>
                      <w:color w:val="000000" w:themeColor="text1"/>
                      <w:sz w:val="21"/>
                      <w:szCs w:val="21"/>
                      <w:lang w:val="en-US" w:eastAsia="zh-CN"/>
                      <w14:textFill>
                        <w14:solidFill>
                          <w14:schemeClr w14:val="tx1"/>
                        </w14:solidFill>
                      </w14:textFill>
                    </w:rPr>
                    <w:t>依托现有1间5m</w:t>
                  </w:r>
                  <w:r>
                    <w:rPr>
                      <w:rFonts w:hint="eastAsia" w:cs="Times New Roman" w:eastAsiaTheme="minorEastAsia"/>
                      <w:bCs/>
                      <w:color w:val="000000" w:themeColor="text1"/>
                      <w:sz w:val="21"/>
                      <w:szCs w:val="21"/>
                      <w:vertAlign w:val="superscript"/>
                      <w:lang w:val="en-US" w:eastAsia="zh-CN"/>
                      <w14:textFill>
                        <w14:solidFill>
                          <w14:schemeClr w14:val="tx1"/>
                        </w14:solidFill>
                      </w14:textFill>
                    </w:rPr>
                    <w:t>2</w:t>
                  </w:r>
                  <w:r>
                    <w:rPr>
                      <w:rFonts w:hint="eastAsia" w:cs="Times New Roman" w:eastAsiaTheme="minorEastAsia"/>
                      <w:bCs/>
                      <w:color w:val="000000" w:themeColor="text1"/>
                      <w:sz w:val="21"/>
                      <w:szCs w:val="21"/>
                      <w:lang w:val="en-US" w:eastAsia="zh-CN"/>
                      <w14:textFill>
                        <w14:solidFill>
                          <w14:schemeClr w14:val="tx1"/>
                        </w14:solidFill>
                      </w14:textFill>
                    </w:rPr>
                    <w:t>危废贮存库。</w:t>
                  </w:r>
                </w:p>
                <w:p w14:paraId="4F2171C7">
                  <w:pPr>
                    <w:pStyle w:val="129"/>
                    <w:pageBreakBefore w:val="0"/>
                    <w:kinsoku/>
                    <w:overflowPunct/>
                    <w:topLinePunct w:val="0"/>
                    <w:bidi w:val="0"/>
                    <w:ind w:left="0" w:leftChars="0" w:right="0" w:rightChars="0" w:firstLine="0" w:firstLineChars="0"/>
                    <w:rPr>
                      <w:color w:val="000000" w:themeColor="text1"/>
                      <w14:textFill>
                        <w14:solidFill>
                          <w14:schemeClr w14:val="tx1"/>
                        </w14:solidFill>
                      </w14:textFill>
                    </w:rPr>
                  </w:pPr>
                  <w:r>
                    <w:rPr>
                      <w:rFonts w:hint="eastAsia" w:cs="Times New Roman" w:eastAsiaTheme="minorEastAsia"/>
                      <w:color w:val="000000" w:themeColor="text1"/>
                      <w:sz w:val="21"/>
                      <w:szCs w:val="21"/>
                      <w:lang w:eastAsia="zh-CN"/>
                      <w14:textFill>
                        <w14:solidFill>
                          <w14:schemeClr w14:val="tx1"/>
                        </w14:solidFill>
                      </w14:textFill>
                    </w:rPr>
                    <w:t>根据现场调查情况，本环评要求危废贮存库进行修缮后使用，危废贮存库重新修缮涂刷地面及裙角环氧树脂防渗材料；危废贮存库大门处需设置约</w:t>
                  </w:r>
                  <w:r>
                    <w:rPr>
                      <w:rFonts w:hint="eastAsia" w:cs="Times New Roman" w:eastAsiaTheme="minorEastAsia"/>
                      <w:color w:val="000000" w:themeColor="text1"/>
                      <w:sz w:val="21"/>
                      <w:szCs w:val="21"/>
                      <w:lang w:val="en-US" w:eastAsia="zh-CN"/>
                      <w14:textFill>
                        <w14:solidFill>
                          <w14:schemeClr w14:val="tx1"/>
                        </w14:solidFill>
                      </w14:textFill>
                    </w:rPr>
                    <w:t>20cm围挡</w:t>
                  </w:r>
                  <w:r>
                    <w:rPr>
                      <w:rFonts w:hint="eastAsia" w:cs="Times New Roman" w:eastAsiaTheme="minorEastAsia"/>
                      <w:color w:val="000000" w:themeColor="text1"/>
                      <w:sz w:val="21"/>
                      <w:szCs w:val="21"/>
                      <w:lang w:eastAsia="zh-CN"/>
                      <w14:textFill>
                        <w14:solidFill>
                          <w14:schemeClr w14:val="tx1"/>
                        </w14:solidFill>
                      </w14:textFill>
                    </w:rPr>
                    <w:t>。</w:t>
                  </w:r>
                </w:p>
              </w:tc>
              <w:tc>
                <w:tcPr>
                  <w:tcW w:w="448" w:type="pct"/>
                  <w:tcBorders>
                    <w:top w:val="single" w:color="auto" w:sz="4" w:space="0"/>
                    <w:left w:val="single" w:color="auto" w:sz="4" w:space="0"/>
                    <w:bottom w:val="single" w:color="auto" w:sz="4" w:space="0"/>
                    <w:right w:val="single" w:color="auto" w:sz="4" w:space="0"/>
                  </w:tcBorders>
                  <w:vAlign w:val="center"/>
                </w:tcPr>
                <w:p w14:paraId="6A9B6474">
                  <w:pPr>
                    <w:pageBreakBefore w:val="0"/>
                    <w:widowControl/>
                    <w:kinsoku/>
                    <w:overflowPunct/>
                    <w:topLinePunct w:val="0"/>
                    <w:bidi w:val="0"/>
                    <w:ind w:left="0" w:leftChars="0" w:right="0"/>
                    <w:jc w:val="center"/>
                    <w:textAlignment w:val="center"/>
                    <w:rPr>
                      <w:rFonts w:hint="eastAsia"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1</w:t>
                  </w:r>
                </w:p>
              </w:tc>
              <w:tc>
                <w:tcPr>
                  <w:tcW w:w="450" w:type="pct"/>
                  <w:tcBorders>
                    <w:top w:val="single" w:color="auto" w:sz="4" w:space="0"/>
                    <w:left w:val="single" w:color="auto" w:sz="4" w:space="0"/>
                    <w:bottom w:val="single" w:color="auto" w:sz="4" w:space="0"/>
                    <w:right w:val="single" w:color="auto" w:sz="4" w:space="0"/>
                  </w:tcBorders>
                  <w:vAlign w:val="center"/>
                </w:tcPr>
                <w:p w14:paraId="25F3740A">
                  <w:pPr>
                    <w:pStyle w:val="129"/>
                    <w:pageBreakBefore w:val="0"/>
                    <w:kinsoku/>
                    <w:overflowPunct/>
                    <w:topLinePunct w:val="0"/>
                    <w:bidi w:val="0"/>
                    <w:ind w:left="0" w:leftChars="0" w:right="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现有修缮</w:t>
                  </w:r>
                </w:p>
              </w:tc>
            </w:tr>
            <w:tr w14:paraId="4534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 w:type="pct"/>
                  <w:tcBorders>
                    <w:top w:val="single" w:color="auto" w:sz="4" w:space="0"/>
                    <w:left w:val="single" w:color="auto" w:sz="4" w:space="0"/>
                    <w:bottom w:val="single" w:color="auto" w:sz="4" w:space="0"/>
                    <w:right w:val="single" w:color="auto" w:sz="4" w:space="0"/>
                  </w:tcBorders>
                  <w:vAlign w:val="center"/>
                </w:tcPr>
                <w:p w14:paraId="2EF18C71">
                  <w:pPr>
                    <w:pStyle w:val="129"/>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cs="Times New Roman"/>
                      <w:color w:val="000000" w:themeColor="text1"/>
                      <w:kern w:val="2"/>
                      <w:sz w:val="21"/>
                      <w:lang w:val="en-US" w:eastAsia="zh-CN" w:bidi="ar-SA"/>
                      <w14:textFill>
                        <w14:solidFill>
                          <w14:schemeClr w14:val="tx1"/>
                        </w14:solidFill>
                      </w14:textFill>
                    </w:rPr>
                    <w:t>12</w:t>
                  </w:r>
                </w:p>
              </w:tc>
              <w:tc>
                <w:tcPr>
                  <w:tcW w:w="293" w:type="pct"/>
                  <w:vMerge w:val="continue"/>
                  <w:tcBorders>
                    <w:left w:val="single" w:color="auto" w:sz="4" w:space="0"/>
                    <w:right w:val="single" w:color="auto" w:sz="4" w:space="0"/>
                  </w:tcBorders>
                  <w:vAlign w:val="center"/>
                </w:tcPr>
                <w:p w14:paraId="5A25FF99">
                  <w:pPr>
                    <w:pStyle w:val="129"/>
                    <w:pageBreakBefore w:val="0"/>
                    <w:kinsoku/>
                    <w:overflowPunct/>
                    <w:topLinePunct w:val="0"/>
                    <w:bidi w:val="0"/>
                    <w:ind w:left="0" w:leftChars="0" w:right="0"/>
                    <w:rPr>
                      <w:color w:val="000000" w:themeColor="text1"/>
                      <w14:textFill>
                        <w14:solidFill>
                          <w14:schemeClr w14:val="tx1"/>
                        </w14:solidFill>
                      </w14:textFill>
                    </w:rPr>
                  </w:pPr>
                </w:p>
              </w:tc>
              <w:tc>
                <w:tcPr>
                  <w:tcW w:w="828" w:type="pct"/>
                  <w:tcBorders>
                    <w:top w:val="single" w:color="auto" w:sz="4" w:space="0"/>
                    <w:left w:val="single" w:color="auto" w:sz="4" w:space="0"/>
                    <w:bottom w:val="single" w:color="auto" w:sz="4" w:space="0"/>
                    <w:right w:val="single" w:color="auto" w:sz="4" w:space="0"/>
                  </w:tcBorders>
                  <w:vAlign w:val="center"/>
                </w:tcPr>
                <w:p w14:paraId="60B3D916">
                  <w:pPr>
                    <w:pStyle w:val="129"/>
                    <w:pageBreakBefore w:val="0"/>
                    <w:kinsoku/>
                    <w:overflowPunct/>
                    <w:topLinePunct w:val="0"/>
                    <w:bidi w:val="0"/>
                    <w:ind w:left="0" w:leftChars="0" w:right="0" w:rightChars="0" w:firstLine="0" w:firstLineChars="0"/>
                    <w:rPr>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生活垃圾收集</w:t>
                  </w:r>
                  <w:r>
                    <w:rPr>
                      <w:rFonts w:hint="default" w:ascii="Times New Roman" w:hAnsi="Times New Roman" w:cs="Times New Roman"/>
                      <w:color w:val="000000" w:themeColor="text1"/>
                      <w:szCs w:val="21"/>
                      <w:lang w:eastAsia="zh-CN"/>
                      <w14:textFill>
                        <w14:solidFill>
                          <w14:schemeClr w14:val="tx1"/>
                        </w14:solidFill>
                      </w14:textFill>
                    </w:rPr>
                    <w:t>桶</w:t>
                  </w:r>
                </w:p>
              </w:tc>
              <w:tc>
                <w:tcPr>
                  <w:tcW w:w="2644" w:type="pct"/>
                  <w:tcBorders>
                    <w:top w:val="single" w:color="auto" w:sz="4" w:space="0"/>
                    <w:left w:val="single" w:color="auto" w:sz="4" w:space="0"/>
                    <w:bottom w:val="single" w:color="auto" w:sz="4" w:space="0"/>
                    <w:right w:val="single" w:color="auto" w:sz="4" w:space="0"/>
                  </w:tcBorders>
                  <w:vAlign w:val="center"/>
                </w:tcPr>
                <w:p w14:paraId="4AF2F62A">
                  <w:pPr>
                    <w:pStyle w:val="129"/>
                    <w:pageBreakBefore w:val="0"/>
                    <w:kinsoku/>
                    <w:overflowPunct/>
                    <w:topLinePunct w:val="0"/>
                    <w:bidi w:val="0"/>
                    <w:ind w:left="0" w:leftChars="0" w:right="0" w:rightChars="0" w:firstLine="0" w:firstLineChars="0"/>
                    <w:rPr>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设置</w:t>
                  </w:r>
                  <w:r>
                    <w:rPr>
                      <w:rFonts w:hint="eastAsia" w:cs="Times New Roman"/>
                      <w:color w:val="000000" w:themeColor="text1"/>
                      <w:szCs w:val="21"/>
                      <w:lang w:val="en-US" w:eastAsia="zh-CN"/>
                      <w14:textFill>
                        <w14:solidFill>
                          <w14:schemeClr w14:val="tx1"/>
                        </w14:solidFill>
                      </w14:textFill>
                    </w:rPr>
                    <w:t>1个</w:t>
                  </w:r>
                  <w:r>
                    <w:rPr>
                      <w:rFonts w:hint="default" w:ascii="Times New Roman" w:hAnsi="Times New Roman" w:cs="Times New Roman"/>
                      <w:color w:val="000000" w:themeColor="text1"/>
                      <w:szCs w:val="21"/>
                      <w14:textFill>
                        <w14:solidFill>
                          <w14:schemeClr w14:val="tx1"/>
                        </w14:solidFill>
                      </w14:textFill>
                    </w:rPr>
                    <w:t>垃圾收集桶</w:t>
                  </w:r>
                </w:p>
              </w:tc>
              <w:tc>
                <w:tcPr>
                  <w:tcW w:w="448" w:type="pct"/>
                  <w:tcBorders>
                    <w:top w:val="single" w:color="auto" w:sz="4" w:space="0"/>
                    <w:left w:val="single" w:color="auto" w:sz="4" w:space="0"/>
                    <w:bottom w:val="single" w:color="auto" w:sz="4" w:space="0"/>
                    <w:right w:val="single" w:color="auto" w:sz="4" w:space="0"/>
                  </w:tcBorders>
                  <w:vAlign w:val="center"/>
                </w:tcPr>
                <w:p w14:paraId="674596ED">
                  <w:pPr>
                    <w:pageBreakBefore w:val="0"/>
                    <w:widowControl/>
                    <w:kinsoku/>
                    <w:overflowPunct/>
                    <w:topLinePunct w:val="0"/>
                    <w:bidi w:val="0"/>
                    <w:ind w:left="0" w:leftChars="0" w:right="0"/>
                    <w:jc w:val="center"/>
                    <w:textAlignment w:val="center"/>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w:t>
                  </w:r>
                </w:p>
              </w:tc>
              <w:tc>
                <w:tcPr>
                  <w:tcW w:w="450" w:type="pct"/>
                  <w:tcBorders>
                    <w:top w:val="single" w:color="auto" w:sz="4" w:space="0"/>
                    <w:left w:val="single" w:color="auto" w:sz="4" w:space="0"/>
                    <w:bottom w:val="single" w:color="auto" w:sz="4" w:space="0"/>
                    <w:right w:val="single" w:color="auto" w:sz="4" w:space="0"/>
                  </w:tcBorders>
                  <w:vAlign w:val="center"/>
                </w:tcPr>
                <w:p w14:paraId="5D77991C">
                  <w:pPr>
                    <w:pStyle w:val="129"/>
                    <w:pageBreakBefore w:val="0"/>
                    <w:kinsoku/>
                    <w:overflowPunct/>
                    <w:topLinePunct w:val="0"/>
                    <w:bidi w:val="0"/>
                    <w:ind w:left="0" w:leftChars="0" w:right="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依托</w:t>
                  </w:r>
                </w:p>
              </w:tc>
            </w:tr>
            <w:tr w14:paraId="20B5C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 w:type="pct"/>
                  <w:tcBorders>
                    <w:top w:val="single" w:color="auto" w:sz="4" w:space="0"/>
                    <w:left w:val="single" w:color="auto" w:sz="4" w:space="0"/>
                    <w:bottom w:val="single" w:color="auto" w:sz="4" w:space="0"/>
                    <w:right w:val="single" w:color="auto" w:sz="4" w:space="0"/>
                  </w:tcBorders>
                  <w:vAlign w:val="center"/>
                </w:tcPr>
                <w:p w14:paraId="43A30E07">
                  <w:pPr>
                    <w:pStyle w:val="129"/>
                    <w:pageBreakBefore w:val="0"/>
                    <w:kinsoku/>
                    <w:overflowPunct/>
                    <w:topLinePunct w:val="0"/>
                    <w:bidi w:val="0"/>
                    <w:ind w:left="0" w:leftChars="0" w:right="0" w:rightChars="0"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w:t>
                  </w:r>
                </w:p>
              </w:tc>
              <w:tc>
                <w:tcPr>
                  <w:tcW w:w="1121" w:type="pct"/>
                  <w:gridSpan w:val="2"/>
                  <w:tcBorders>
                    <w:left w:val="single" w:color="auto" w:sz="4" w:space="0"/>
                    <w:right w:val="single" w:color="auto" w:sz="4" w:space="0"/>
                  </w:tcBorders>
                  <w:vAlign w:val="center"/>
                </w:tcPr>
                <w:p w14:paraId="6B4E740D">
                  <w:pPr>
                    <w:pStyle w:val="129"/>
                    <w:pageBreakBefore w:val="0"/>
                    <w:kinsoku/>
                    <w:overflowPunct/>
                    <w:topLinePunct w:val="0"/>
                    <w:bidi w:val="0"/>
                    <w:ind w:left="0" w:leftChars="0" w:right="0" w:rightChars="0" w:firstLine="0" w:firstLineChars="0"/>
                    <w:rPr>
                      <w:rFonts w:hint="eastAsia"/>
                      <w:color w:val="000000" w:themeColor="text1"/>
                      <w:szCs w:val="21"/>
                      <w14:textFill>
                        <w14:solidFill>
                          <w14:schemeClr w14:val="tx1"/>
                        </w14:solidFill>
                      </w14:textFill>
                    </w:rPr>
                  </w:pPr>
                  <w:r>
                    <w:rPr>
                      <w:rFonts w:hint="eastAsia"/>
                      <w:b/>
                      <w:bCs/>
                      <w:color w:val="000000" w:themeColor="text1"/>
                      <w14:textFill>
                        <w14:solidFill>
                          <w14:schemeClr w14:val="tx1"/>
                        </w14:solidFill>
                      </w14:textFill>
                    </w:rPr>
                    <w:t>噪声治理</w:t>
                  </w:r>
                </w:p>
              </w:tc>
              <w:tc>
                <w:tcPr>
                  <w:tcW w:w="2644" w:type="pct"/>
                  <w:tcBorders>
                    <w:top w:val="single" w:color="auto" w:sz="4" w:space="0"/>
                    <w:left w:val="single" w:color="auto" w:sz="4" w:space="0"/>
                    <w:bottom w:val="single" w:color="auto" w:sz="4" w:space="0"/>
                    <w:right w:val="single" w:color="auto" w:sz="4" w:space="0"/>
                  </w:tcBorders>
                  <w:vAlign w:val="center"/>
                </w:tcPr>
                <w:p w14:paraId="0A2F7478">
                  <w:pPr>
                    <w:pStyle w:val="129"/>
                    <w:pageBreakBefore w:val="0"/>
                    <w:kinsoku/>
                    <w:overflowPunct/>
                    <w:topLinePunct w:val="0"/>
                    <w:bidi w:val="0"/>
                    <w:ind w:left="0" w:leftChars="0" w:right="0" w:rightChars="0" w:firstLine="0" w:firstLineChars="0"/>
                    <w:rPr>
                      <w:rFonts w:hint="eastAsia"/>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项目所有生产设备均置于厂房内</w:t>
                  </w:r>
                  <w:r>
                    <w:rPr>
                      <w:rFonts w:hint="eastAsia" w:cs="Times New Roman"/>
                      <w:color w:val="000000" w:themeColor="text1"/>
                      <w:szCs w:val="21"/>
                      <w:lang w:eastAsia="zh-CN"/>
                      <w14:textFill>
                        <w14:solidFill>
                          <w14:schemeClr w14:val="tx1"/>
                        </w14:solidFill>
                      </w14:textFill>
                    </w:rPr>
                    <w:t>、锅炉设置于锅炉房内通过</w:t>
                  </w:r>
                  <w:r>
                    <w:rPr>
                      <w:rFonts w:hint="default" w:ascii="Times New Roman" w:hAnsi="Times New Roman" w:cs="Times New Roman"/>
                      <w:color w:val="000000" w:themeColor="text1"/>
                      <w:sz w:val="21"/>
                      <w:szCs w:val="21"/>
                      <w14:textFill>
                        <w14:solidFill>
                          <w14:schemeClr w14:val="tx1"/>
                        </w14:solidFill>
                      </w14:textFill>
                    </w:rPr>
                    <w:t>厂房隔音</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Cs w:val="21"/>
                      <w:lang w:eastAsia="zh-CN"/>
                      <w14:textFill>
                        <w14:solidFill>
                          <w14:schemeClr w14:val="tx1"/>
                        </w14:solidFill>
                      </w14:textFill>
                    </w:rPr>
                    <w:t>本项目</w:t>
                  </w:r>
                  <w:r>
                    <w:rPr>
                      <w:rFonts w:hint="default" w:ascii="Times New Roman" w:hAnsi="Times New Roman" w:cs="Times New Roman"/>
                      <w:color w:val="000000" w:themeColor="text1"/>
                      <w:sz w:val="21"/>
                      <w:szCs w:val="21"/>
                      <w14:textFill>
                        <w14:solidFill>
                          <w14:schemeClr w14:val="tx1"/>
                        </w14:solidFill>
                      </w14:textFill>
                    </w:rPr>
                    <w:t>选用低噪设备、</w:t>
                  </w:r>
                  <w:r>
                    <w:rPr>
                      <w:rFonts w:hint="eastAsia" w:cs="Times New Roman"/>
                      <w:color w:val="000000" w:themeColor="text1"/>
                      <w:sz w:val="21"/>
                      <w:szCs w:val="21"/>
                      <w:lang w:eastAsia="zh-CN"/>
                      <w14:textFill>
                        <w14:solidFill>
                          <w14:schemeClr w14:val="tx1"/>
                        </w14:solidFill>
                      </w14:textFill>
                    </w:rPr>
                    <w:t>风机、水泵等设备</w:t>
                  </w:r>
                  <w:r>
                    <w:rPr>
                      <w:rFonts w:hint="default" w:ascii="Times New Roman" w:hAnsi="Times New Roman" w:cs="Times New Roman"/>
                      <w:color w:val="000000" w:themeColor="text1"/>
                      <w:sz w:val="21"/>
                      <w:szCs w:val="21"/>
                      <w14:textFill>
                        <w14:solidFill>
                          <w14:schemeClr w14:val="tx1"/>
                        </w14:solidFill>
                      </w14:textFill>
                    </w:rPr>
                    <w:t>安装减震垫</w:t>
                  </w:r>
                  <w:r>
                    <w:rPr>
                      <w:rFonts w:hint="eastAsia" w:cs="Times New Roman"/>
                      <w:color w:val="000000" w:themeColor="text1"/>
                      <w:sz w:val="21"/>
                      <w:szCs w:val="21"/>
                      <w:lang w:eastAsia="zh-CN"/>
                      <w14:textFill>
                        <w14:solidFill>
                          <w14:schemeClr w14:val="tx1"/>
                        </w14:solidFill>
                      </w14:textFill>
                    </w:rPr>
                    <w:t>、消声器等。</w:t>
                  </w:r>
                </w:p>
              </w:tc>
              <w:tc>
                <w:tcPr>
                  <w:tcW w:w="448" w:type="pct"/>
                  <w:tcBorders>
                    <w:top w:val="single" w:color="auto" w:sz="4" w:space="0"/>
                    <w:left w:val="single" w:color="auto" w:sz="4" w:space="0"/>
                    <w:bottom w:val="single" w:color="auto" w:sz="4" w:space="0"/>
                    <w:right w:val="single" w:color="auto" w:sz="4" w:space="0"/>
                  </w:tcBorders>
                  <w:vAlign w:val="center"/>
                </w:tcPr>
                <w:p w14:paraId="214751D1">
                  <w:pPr>
                    <w:pageBreakBefore w:val="0"/>
                    <w:widowControl/>
                    <w:kinsoku/>
                    <w:overflowPunct/>
                    <w:topLinePunct w:val="0"/>
                    <w:bidi w:val="0"/>
                    <w:ind w:left="0" w:leftChars="0" w:right="0"/>
                    <w:jc w:val="center"/>
                    <w:textAlignment w:val="center"/>
                    <w:rPr>
                      <w:rFonts w:hint="default"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1</w:t>
                  </w:r>
                </w:p>
              </w:tc>
              <w:tc>
                <w:tcPr>
                  <w:tcW w:w="450" w:type="pct"/>
                  <w:tcBorders>
                    <w:top w:val="single" w:color="auto" w:sz="4" w:space="0"/>
                    <w:left w:val="single" w:color="auto" w:sz="4" w:space="0"/>
                    <w:bottom w:val="single" w:color="auto" w:sz="4" w:space="0"/>
                    <w:right w:val="single" w:color="auto" w:sz="4" w:space="0"/>
                  </w:tcBorders>
                  <w:vAlign w:val="center"/>
                </w:tcPr>
                <w:p w14:paraId="7A81FFF0">
                  <w:pPr>
                    <w:pStyle w:val="129"/>
                    <w:pageBreakBefore w:val="0"/>
                    <w:kinsoku/>
                    <w:overflowPunct/>
                    <w:topLinePunct w:val="0"/>
                    <w:bidi w:val="0"/>
                    <w:ind w:left="0" w:leftChars="0" w:right="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新增</w:t>
                  </w:r>
                </w:p>
              </w:tc>
            </w:tr>
            <w:tr w14:paraId="6E33E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 w:type="pct"/>
                  <w:tcBorders>
                    <w:top w:val="single" w:color="auto" w:sz="4" w:space="0"/>
                    <w:left w:val="single" w:color="auto" w:sz="4" w:space="0"/>
                    <w:bottom w:val="single" w:color="auto" w:sz="4" w:space="0"/>
                    <w:right w:val="single" w:color="auto" w:sz="4" w:space="0"/>
                  </w:tcBorders>
                  <w:vAlign w:val="center"/>
                </w:tcPr>
                <w:p w14:paraId="34ACEF68">
                  <w:pPr>
                    <w:pStyle w:val="129"/>
                    <w:pageBreakBefore w:val="0"/>
                    <w:kinsoku/>
                    <w:overflowPunct/>
                    <w:topLinePunct w:val="0"/>
                    <w:bidi w:val="0"/>
                    <w:ind w:left="0" w:leftChars="0" w:right="0" w:rightChars="0"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w:t>
                  </w:r>
                </w:p>
              </w:tc>
              <w:tc>
                <w:tcPr>
                  <w:tcW w:w="1121" w:type="pct"/>
                  <w:gridSpan w:val="2"/>
                  <w:tcBorders>
                    <w:left w:val="single" w:color="auto" w:sz="4" w:space="0"/>
                    <w:right w:val="single" w:color="auto" w:sz="4" w:space="0"/>
                  </w:tcBorders>
                  <w:vAlign w:val="center"/>
                </w:tcPr>
                <w:p w14:paraId="341C41DE">
                  <w:pPr>
                    <w:kinsoku/>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土壤及地下水污染防治措施</w:t>
                  </w:r>
                </w:p>
              </w:tc>
              <w:tc>
                <w:tcPr>
                  <w:tcW w:w="2644" w:type="pct"/>
                  <w:tcBorders>
                    <w:top w:val="single" w:color="auto" w:sz="4" w:space="0"/>
                    <w:left w:val="single" w:color="auto" w:sz="4" w:space="0"/>
                    <w:bottom w:val="single" w:color="auto" w:sz="4" w:space="0"/>
                    <w:right w:val="single" w:color="auto" w:sz="4" w:space="0"/>
                  </w:tcBorders>
                  <w:vAlign w:val="center"/>
                </w:tcPr>
                <w:p w14:paraId="59BC8199">
                  <w:pPr>
                    <w:kinsoku/>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000000" w:themeColor="text1"/>
                      <w:sz w:val="21"/>
                      <w:szCs w:val="21"/>
                      <w:lang w:eastAsia="zh-CN"/>
                      <w14:textFill>
                        <w14:solidFill>
                          <w14:schemeClr w14:val="tx1"/>
                        </w14:solidFill>
                      </w14:textFill>
                    </w:rPr>
                  </w:pPr>
                  <w:r>
                    <w:rPr>
                      <w:rFonts w:hint="eastAsia" w:cs="Times New Roman"/>
                      <w:b w:val="0"/>
                      <w:bCs w:val="0"/>
                      <w:color w:val="000000" w:themeColor="text1"/>
                      <w:sz w:val="21"/>
                      <w:szCs w:val="21"/>
                      <w:lang w:eastAsia="zh-CN"/>
                      <w14:textFill>
                        <w14:solidFill>
                          <w14:schemeClr w14:val="tx1"/>
                        </w14:solidFill>
                      </w14:textFill>
                    </w:rPr>
                    <w:t>①本次新增</w:t>
                  </w:r>
                  <w:r>
                    <w:rPr>
                      <w:rFonts w:hint="eastAsia" w:cs="Times New Roman"/>
                      <w:b w:val="0"/>
                      <w:bCs w:val="0"/>
                      <w:color w:val="000000" w:themeColor="text1"/>
                      <w:sz w:val="21"/>
                      <w:szCs w:val="21"/>
                      <w:lang w:val="en-US" w:eastAsia="zh-CN"/>
                      <w14:textFill>
                        <w14:solidFill>
                          <w14:schemeClr w14:val="tx1"/>
                        </w14:solidFill>
                      </w14:textFill>
                    </w:rPr>
                    <w:t>3m</w:t>
                  </w:r>
                  <w:r>
                    <w:rPr>
                      <w:rFonts w:hint="eastAsia" w:cs="Times New Roman"/>
                      <w:b w:val="0"/>
                      <w:bCs w:val="0"/>
                      <w:color w:val="000000" w:themeColor="text1"/>
                      <w:sz w:val="21"/>
                      <w:szCs w:val="21"/>
                      <w:vertAlign w:val="superscript"/>
                      <w:lang w:val="en-US" w:eastAsia="zh-CN"/>
                      <w14:textFill>
                        <w14:solidFill>
                          <w14:schemeClr w14:val="tx1"/>
                        </w14:solidFill>
                      </w14:textFill>
                    </w:rPr>
                    <w:t>2</w:t>
                  </w:r>
                  <w:r>
                    <w:rPr>
                      <w:rFonts w:hint="eastAsia" w:cs="Times New Roman"/>
                      <w:b w:val="0"/>
                      <w:bCs w:val="0"/>
                      <w:color w:val="000000" w:themeColor="text1"/>
                      <w:sz w:val="21"/>
                      <w:szCs w:val="21"/>
                      <w:lang w:eastAsia="zh-CN"/>
                      <w14:textFill>
                        <w14:solidFill>
                          <w14:schemeClr w14:val="tx1"/>
                        </w14:solidFill>
                      </w14:textFill>
                    </w:rPr>
                    <w:t>废水物料暂存区作为重点防渗区，危废贮存库进行修缮。危废贮存库</w:t>
                  </w:r>
                  <w:r>
                    <w:rPr>
                      <w:rFonts w:hint="default" w:ascii="Times New Roman" w:hAnsi="Times New Roman" w:cs="Times New Roman"/>
                      <w:color w:val="000000" w:themeColor="text1"/>
                      <w:sz w:val="21"/>
                      <w:szCs w:val="21"/>
                      <w:lang w:eastAsia="zh-CN"/>
                      <w14:textFill>
                        <w14:solidFill>
                          <w14:schemeClr w14:val="tx1"/>
                        </w14:solidFill>
                      </w14:textFill>
                    </w:rPr>
                    <w:t>区域</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参照执行《危险废物贮存污染控制标准》（GB18597-20</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23</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）相关要求，防渗层为至少1 m厚黏土层（渗透系数不大于10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cm/s），或至少2 mm厚高密度聚乙烯膜等人工防渗材料（渗透系数不大于10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cm/s）。</w:t>
                  </w:r>
                  <w:r>
                    <w:rPr>
                      <w:rFonts w:hint="eastAsia" w:cs="Times New Roman"/>
                      <w:color w:val="000000" w:themeColor="text1"/>
                      <w:szCs w:val="21"/>
                      <w:lang w:eastAsia="zh-CN"/>
                      <w14:textFill>
                        <w14:solidFill>
                          <w14:schemeClr w14:val="tx1"/>
                        </w14:solidFill>
                      </w14:textFill>
                    </w:rPr>
                    <w:t>废水处理物料暂存区参照</w:t>
                  </w:r>
                  <w:r>
                    <w:rPr>
                      <w:rFonts w:hint="eastAsia" w:ascii="Times New Roman" w:hAnsi="Times New Roman" w:eastAsia="宋体" w:cs="Times New Roman"/>
                      <w:color w:val="000000" w:themeColor="text1"/>
                      <w:sz w:val="21"/>
                      <w:szCs w:val="21"/>
                      <w14:textFill>
                        <w14:solidFill>
                          <w14:schemeClr w14:val="tx1"/>
                        </w14:solidFill>
                      </w14:textFill>
                    </w:rPr>
                    <w:t>《环境影响评价技术导则 地下水环境》（HJ610-2016）中</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重点</w:t>
                  </w:r>
                  <w:r>
                    <w:rPr>
                      <w:rFonts w:hint="eastAsia" w:ascii="Times New Roman" w:hAnsi="Times New Roman" w:eastAsia="宋体" w:cs="Times New Roman"/>
                      <w:color w:val="000000" w:themeColor="text1"/>
                      <w:sz w:val="21"/>
                      <w:szCs w:val="21"/>
                      <w14:textFill>
                        <w14:solidFill>
                          <w14:schemeClr w14:val="tx1"/>
                        </w14:solidFill>
                      </w14:textFill>
                    </w:rPr>
                    <w:t>防渗区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进行防渗</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等效黏土防渗层Mb≥6.0m，</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K</w:t>
                  </w:r>
                  <w:r>
                    <w:rPr>
                      <w:rFonts w:hint="eastAsia" w:ascii="Times New Roman" w:hAnsi="Times New Roman" w:eastAsia="宋体" w:cs="Times New Roman"/>
                      <w:color w:val="000000" w:themeColor="text1"/>
                      <w:sz w:val="21"/>
                      <w:szCs w:val="21"/>
                      <w14:textFill>
                        <w14:solidFill>
                          <w14:schemeClr w14:val="tx1"/>
                        </w14:solidFill>
                      </w14:textFill>
                    </w:rPr>
                    <w:t>&lt;1.0×10</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-7</w:t>
                  </w:r>
                  <w:r>
                    <w:rPr>
                      <w:rFonts w:hint="eastAsia" w:ascii="Times New Roman" w:hAnsi="Times New Roman" w:eastAsia="宋体" w:cs="Times New Roman"/>
                      <w:color w:val="000000" w:themeColor="text1"/>
                      <w:sz w:val="21"/>
                      <w:szCs w:val="21"/>
                      <w14:textFill>
                        <w14:solidFill>
                          <w14:schemeClr w14:val="tx1"/>
                        </w14:solidFill>
                      </w14:textFill>
                    </w:rPr>
                    <w:t>cm/s</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或参照GB 18598执行。</w:t>
                  </w:r>
                </w:p>
                <w:p w14:paraId="74FE5CF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color w:val="000000" w:themeColor="text1"/>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②本环评要求锅炉房原有燃煤锅炉拆除、新建生物质锅炉需按照相关要求完善防渗措施。</w:t>
                  </w:r>
                  <w:r>
                    <w:rPr>
                      <w:rFonts w:hint="default" w:ascii="Times New Roman" w:hAnsi="Times New Roman" w:cs="Times New Roman"/>
                      <w:color w:val="000000" w:themeColor="text1"/>
                      <w:sz w:val="21"/>
                      <w:szCs w:val="18"/>
                      <w:highlight w:val="none"/>
                      <w14:textFill>
                        <w14:solidFill>
                          <w14:schemeClr w14:val="tx1"/>
                        </w14:solidFill>
                      </w14:textFill>
                    </w:rPr>
                    <w:t>按照《环境影响评价技术导则 地下水环境》（HJ610-2016）中一般防渗区的防渗要求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进行防渗</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等效黏土防渗层Mb≥</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color w:val="000000" w:themeColor="text1"/>
                      <w:sz w:val="21"/>
                      <w:szCs w:val="21"/>
                      <w14:textFill>
                        <w14:solidFill>
                          <w14:schemeClr w14:val="tx1"/>
                        </w14:solidFill>
                      </w14:textFill>
                    </w:rPr>
                    <w:t>&lt;1.0×10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cm/s</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或参照GB</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16889</w:t>
                  </w:r>
                  <w:r>
                    <w:rPr>
                      <w:rFonts w:hint="default" w:ascii="Times New Roman" w:hAnsi="Times New Roman" w:eastAsia="宋体" w:cs="Times New Roman"/>
                      <w:color w:val="000000" w:themeColor="text1"/>
                      <w:sz w:val="21"/>
                      <w:szCs w:val="21"/>
                      <w14:textFill>
                        <w14:solidFill>
                          <w14:schemeClr w14:val="tx1"/>
                        </w14:solidFill>
                      </w14:textFill>
                    </w:rPr>
                    <w:t>执行</w:t>
                  </w:r>
                  <w:r>
                    <w:rPr>
                      <w:rFonts w:hint="default" w:ascii="Times New Roman" w:hAnsi="Times New Roman" w:cs="Times New Roman"/>
                      <w:color w:val="000000" w:themeColor="text1"/>
                      <w:sz w:val="21"/>
                      <w:szCs w:val="21"/>
                      <w14:textFill>
                        <w14:solidFill>
                          <w14:schemeClr w14:val="tx1"/>
                        </w14:solidFill>
                      </w14:textFill>
                    </w:rPr>
                    <w:t>。</w:t>
                  </w:r>
                </w:p>
                <w:p w14:paraId="4AAB5E77">
                  <w:pPr>
                    <w:kinsoku/>
                    <w:overflowPunct/>
                    <w:topLinePunct w:val="0"/>
                    <w:autoSpaceDE/>
                    <w:autoSpaceDN/>
                    <w:bidi w:val="0"/>
                    <w:adjustRightInd/>
                    <w:snapToGrid/>
                    <w:spacing w:line="240" w:lineRule="auto"/>
                    <w:ind w:firstLine="0" w:firstLineChars="0"/>
                    <w:jc w:val="both"/>
                    <w:textAlignment w:val="auto"/>
                    <w:rPr>
                      <w:rFonts w:hint="eastAsia" w:eastAsia="宋体"/>
                      <w:color w:val="000000" w:themeColor="text1"/>
                      <w:lang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本次不涉及简单防渗区（办公区、车辆运输道路）；一般防渗区（</w:t>
                  </w:r>
                  <w:r>
                    <w:rPr>
                      <w:rFonts w:hint="eastAsia"/>
                      <w:color w:val="000000" w:themeColor="text1"/>
                      <w14:textFill>
                        <w14:solidFill>
                          <w14:schemeClr w14:val="tx1"/>
                        </w14:solidFill>
                      </w14:textFill>
                    </w:rPr>
                    <w:t>生产</w:t>
                  </w:r>
                  <w:r>
                    <w:rPr>
                      <w:rFonts w:hint="eastAsia"/>
                      <w:color w:val="000000" w:themeColor="text1"/>
                      <w:lang w:eastAsia="zh-CN"/>
                      <w14:textFill>
                        <w14:solidFill>
                          <w14:schemeClr w14:val="tx1"/>
                        </w14:solidFill>
                      </w14:textFill>
                    </w:rPr>
                    <w:t>车间、锅炉房、循环池</w:t>
                  </w:r>
                  <w:r>
                    <w:rPr>
                      <w:rFonts w:hint="eastAsia" w:eastAsia="宋体" w:cs="Times New Roman"/>
                      <w:color w:val="000000" w:themeColor="text1"/>
                      <w:sz w:val="21"/>
                      <w:szCs w:val="21"/>
                      <w:lang w:eastAsia="zh-CN"/>
                      <w14:textFill>
                        <w14:solidFill>
                          <w14:schemeClr w14:val="tx1"/>
                        </w14:solidFill>
                      </w14:textFill>
                    </w:rPr>
                    <w:t>）变动</w:t>
                  </w:r>
                  <w:r>
                    <w:rPr>
                      <w:rFonts w:hint="eastAsia"/>
                      <w:color w:val="000000" w:themeColor="text1"/>
                      <w:sz w:val="21"/>
                      <w:szCs w:val="21"/>
                      <w:lang w:eastAsia="zh-CN"/>
                      <w14:textFill>
                        <w14:solidFill>
                          <w14:schemeClr w14:val="tx1"/>
                        </w14:solidFill>
                      </w14:textFill>
                    </w:rPr>
                    <w:t>。</w:t>
                  </w:r>
                </w:p>
              </w:tc>
              <w:tc>
                <w:tcPr>
                  <w:tcW w:w="448" w:type="pct"/>
                  <w:tcBorders>
                    <w:top w:val="single" w:color="auto" w:sz="4" w:space="0"/>
                    <w:left w:val="single" w:color="auto" w:sz="4" w:space="0"/>
                    <w:bottom w:val="single" w:color="auto" w:sz="4" w:space="0"/>
                    <w:right w:val="single" w:color="auto" w:sz="4" w:space="0"/>
                  </w:tcBorders>
                  <w:vAlign w:val="center"/>
                </w:tcPr>
                <w:p w14:paraId="04ACBE23">
                  <w:pPr>
                    <w:pageBreakBefore w:val="0"/>
                    <w:widowControl/>
                    <w:kinsoku/>
                    <w:overflowPunct/>
                    <w:topLinePunct w:val="0"/>
                    <w:bidi w:val="0"/>
                    <w:ind w:left="0" w:leftChars="0" w:right="0"/>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1</w:t>
                  </w:r>
                </w:p>
              </w:tc>
              <w:tc>
                <w:tcPr>
                  <w:tcW w:w="450" w:type="pct"/>
                  <w:tcBorders>
                    <w:top w:val="single" w:color="auto" w:sz="4" w:space="0"/>
                    <w:left w:val="single" w:color="auto" w:sz="4" w:space="0"/>
                    <w:bottom w:val="single" w:color="auto" w:sz="4" w:space="0"/>
                    <w:right w:val="single" w:color="auto" w:sz="4" w:space="0"/>
                  </w:tcBorders>
                  <w:vAlign w:val="center"/>
                </w:tcPr>
                <w:p w14:paraId="491CE4A5">
                  <w:pPr>
                    <w:pStyle w:val="129"/>
                    <w:pageBreakBefore w:val="0"/>
                    <w:kinsoku/>
                    <w:overflowPunct/>
                    <w:topLinePunct w:val="0"/>
                    <w:bidi w:val="0"/>
                    <w:ind w:left="0" w:leftChars="0" w:right="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现有修缮</w:t>
                  </w:r>
                </w:p>
              </w:tc>
            </w:tr>
            <w:tr w14:paraId="7CC5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01" w:type="pct"/>
                  <w:gridSpan w:val="4"/>
                  <w:tcBorders>
                    <w:top w:val="single" w:color="auto" w:sz="4" w:space="0"/>
                    <w:left w:val="single" w:color="auto" w:sz="4" w:space="0"/>
                    <w:bottom w:val="single" w:color="auto" w:sz="4" w:space="0"/>
                    <w:right w:val="single" w:color="auto" w:sz="4" w:space="0"/>
                  </w:tcBorders>
                  <w:vAlign w:val="center"/>
                </w:tcPr>
                <w:p w14:paraId="6A9B06AD">
                  <w:pPr>
                    <w:pStyle w:val="129"/>
                    <w:pageBreakBefore w:val="0"/>
                    <w:kinsoku/>
                    <w:overflowPunct/>
                    <w:topLinePunct w:val="0"/>
                    <w:bidi w:val="0"/>
                    <w:ind w:left="0" w:leftChars="0" w:right="0"/>
                    <w:rPr>
                      <w:color w:val="000000" w:themeColor="text1"/>
                      <w14:textFill>
                        <w14:solidFill>
                          <w14:schemeClr w14:val="tx1"/>
                        </w14:solidFill>
                      </w14:textFill>
                    </w:rPr>
                  </w:pPr>
                  <w:r>
                    <w:rPr>
                      <w:rFonts w:hint="eastAsia"/>
                      <w:b/>
                      <w:bCs/>
                      <w:color w:val="000000" w:themeColor="text1"/>
                      <w14:textFill>
                        <w14:solidFill>
                          <w14:schemeClr w14:val="tx1"/>
                        </w14:solidFill>
                      </w14:textFill>
                    </w:rPr>
                    <w:t>合计</w:t>
                  </w:r>
                </w:p>
              </w:tc>
              <w:tc>
                <w:tcPr>
                  <w:tcW w:w="448" w:type="pct"/>
                  <w:tcBorders>
                    <w:top w:val="single" w:color="auto" w:sz="4" w:space="0"/>
                    <w:left w:val="single" w:color="auto" w:sz="4" w:space="0"/>
                    <w:bottom w:val="single" w:color="auto" w:sz="4" w:space="0"/>
                    <w:right w:val="single" w:color="auto" w:sz="4" w:space="0"/>
                  </w:tcBorders>
                  <w:shd w:val="clear" w:color="auto" w:fill="auto"/>
                  <w:vAlign w:val="center"/>
                </w:tcPr>
                <w:p w14:paraId="131D9EFB">
                  <w:pPr>
                    <w:pageBreakBefore w:val="0"/>
                    <w:widowControl/>
                    <w:kinsoku/>
                    <w:overflowPunct/>
                    <w:topLinePunct w:val="0"/>
                    <w:bidi w:val="0"/>
                    <w:ind w:left="0" w:leftChars="0" w:right="0"/>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3</w:t>
                  </w:r>
                  <w:r>
                    <w:rPr>
                      <w:rFonts w:hint="eastAsia" w:cs="Times New Roman"/>
                      <w:color w:val="000000" w:themeColor="text1"/>
                      <w:kern w:val="0"/>
                      <w:szCs w:val="21"/>
                      <w:lang w:val="en-US" w:eastAsia="zh-CN" w:bidi="ar"/>
                      <w14:textFill>
                        <w14:solidFill>
                          <w14:schemeClr w14:val="tx1"/>
                        </w14:solidFill>
                      </w14:textFill>
                    </w:rPr>
                    <w:t>7</w:t>
                  </w:r>
                </w:p>
              </w:tc>
              <w:tc>
                <w:tcPr>
                  <w:tcW w:w="450" w:type="pct"/>
                  <w:tcBorders>
                    <w:top w:val="single" w:color="auto" w:sz="4" w:space="0"/>
                    <w:left w:val="single" w:color="auto" w:sz="4" w:space="0"/>
                    <w:bottom w:val="single" w:color="auto" w:sz="4" w:space="0"/>
                    <w:right w:val="single" w:color="auto" w:sz="4" w:space="0"/>
                  </w:tcBorders>
                  <w:vAlign w:val="center"/>
                </w:tcPr>
                <w:p w14:paraId="7502890C">
                  <w:pPr>
                    <w:pageBreakBefore w:val="0"/>
                    <w:widowControl/>
                    <w:kinsoku/>
                    <w:overflowPunct/>
                    <w:topLinePunct w:val="0"/>
                    <w:bidi w:val="0"/>
                    <w:ind w:left="0" w:leftChars="0" w:right="0"/>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w:t>
                  </w:r>
                </w:p>
              </w:tc>
            </w:tr>
          </w:tbl>
          <w:p w14:paraId="06B5A5B4">
            <w:pPr>
              <w:pStyle w:val="94"/>
              <w:pageBreakBefore w:val="0"/>
              <w:kinsoku/>
              <w:overflowPunct/>
              <w:topLinePunct w:val="0"/>
              <w:bidi w:val="0"/>
              <w:spacing w:line="360" w:lineRule="auto"/>
              <w:ind w:left="0" w:leftChars="0" w:right="0"/>
              <w:rPr>
                <w:b/>
                <w:bCs/>
                <w:snapToGrid w:val="0"/>
                <w:color w:val="000000" w:themeColor="text1"/>
                <w:sz w:val="21"/>
                <w:szCs w:val="21"/>
                <w14:textFill>
                  <w14:solidFill>
                    <w14:schemeClr w14:val="tx1"/>
                  </w14:solidFill>
                </w14:textFill>
              </w:rPr>
            </w:pPr>
          </w:p>
        </w:tc>
      </w:tr>
      <w:tr w14:paraId="56A368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3" w:type="dxa"/>
            <w:vAlign w:val="center"/>
          </w:tcPr>
          <w:p w14:paraId="16AD3366">
            <w:pPr>
              <w:pStyle w:val="29"/>
              <w:pageBreakBefore w:val="0"/>
              <w:kinsoku/>
              <w:overflowPunct/>
              <w:topLinePunct w:val="0"/>
              <w:bidi w:val="0"/>
              <w:adjustRightInd w:val="0"/>
              <w:snapToGrid w:val="0"/>
              <w:spacing w:before="0" w:beforeAutospacing="0" w:after="0" w:afterAutospacing="0"/>
              <w:ind w:left="0" w:leftChars="0" w:right="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Cs w:val="24"/>
                <w14:textFill>
                  <w14:solidFill>
                    <w14:schemeClr w14:val="tx1"/>
                  </w14:solidFill>
                </w14:textFill>
              </w:rPr>
              <w:t>工艺流程和产排污环节</w:t>
            </w:r>
          </w:p>
        </w:tc>
        <w:tc>
          <w:tcPr>
            <w:tcW w:w="8635" w:type="dxa"/>
          </w:tcPr>
          <w:p w14:paraId="6F242EB3">
            <w:pPr>
              <w:pageBreakBefore w:val="0"/>
              <w:kinsoku/>
              <w:overflowPunct/>
              <w:topLinePunct w:val="0"/>
              <w:bidi w:val="0"/>
              <w:spacing w:line="360" w:lineRule="auto"/>
              <w:ind w:left="0" w:leftChars="0" w:right="0"/>
              <w:rPr>
                <w:b/>
                <w:color w:val="000000" w:themeColor="text1"/>
                <w:sz w:val="24"/>
                <w14:textFill>
                  <w14:solidFill>
                    <w14:schemeClr w14:val="tx1"/>
                  </w14:solidFill>
                </w14:textFill>
              </w:rPr>
            </w:pPr>
            <w:bookmarkStart w:id="6" w:name="_Toc16932"/>
            <w:r>
              <w:rPr>
                <w:b/>
                <w:color w:val="000000" w:themeColor="text1"/>
                <w:sz w:val="24"/>
                <w14:textFill>
                  <w14:solidFill>
                    <w14:schemeClr w14:val="tx1"/>
                  </w14:solidFill>
                </w14:textFill>
              </w:rPr>
              <w:t>一、施工期工艺流程和产排污节点</w:t>
            </w:r>
          </w:p>
          <w:p w14:paraId="0E8CC36D">
            <w:pPr>
              <w:pageBreakBefore w:val="0"/>
              <w:kinsoku/>
              <w:overflowPunct/>
              <w:topLinePunct w:val="0"/>
              <w:bidi w:val="0"/>
              <w:adjustRightInd w:val="0"/>
              <w:snapToGrid w:val="0"/>
              <w:spacing w:line="360" w:lineRule="auto"/>
              <w:ind w:left="0" w:leftChars="0" w:right="0"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根据现场踏勘，项目</w:t>
            </w:r>
            <w:r>
              <w:rPr>
                <w:rFonts w:hint="eastAsia" w:cs="Times New Roman"/>
                <w:color w:val="000000" w:themeColor="text1"/>
                <w:sz w:val="24"/>
                <w:szCs w:val="24"/>
                <w:lang w:eastAsia="zh-CN"/>
                <w14:textFill>
                  <w14:solidFill>
                    <w14:schemeClr w14:val="tx1"/>
                  </w14:solidFill>
                </w14:textFill>
              </w:rPr>
              <w:t>于现有锅炉房内进行建设</w:t>
            </w:r>
            <w:r>
              <w:rPr>
                <w:rFonts w:hint="eastAsia" w:ascii="Times New Roman" w:hAnsi="Times New Roman" w:eastAsia="宋体" w:cs="Times New Roman"/>
                <w:color w:val="000000" w:themeColor="text1"/>
                <w:sz w:val="24"/>
                <w:szCs w:val="24"/>
                <w:lang w:eastAsia="zh-CN"/>
                <w14:textFill>
                  <w14:solidFill>
                    <w14:schemeClr w14:val="tx1"/>
                  </w14:solidFill>
                </w14:textFill>
              </w:rPr>
              <w:t>主要为</w:t>
            </w:r>
            <w:r>
              <w:rPr>
                <w:rFonts w:hint="eastAsia" w:cs="Times New Roman"/>
                <w:color w:val="000000" w:themeColor="text1"/>
                <w:sz w:val="24"/>
                <w:szCs w:val="24"/>
                <w:lang w:eastAsia="zh-CN"/>
                <w14:textFill>
                  <w14:solidFill>
                    <w14:schemeClr w14:val="tx1"/>
                  </w14:solidFill>
                </w14:textFill>
              </w:rPr>
              <w:t>原有设备拆除</w:t>
            </w:r>
            <w:r>
              <w:rPr>
                <w:rFonts w:hint="eastAsia" w:ascii="Times New Roman" w:hAnsi="Times New Roman" w:eastAsia="宋体" w:cs="Times New Roman"/>
                <w:color w:val="000000" w:themeColor="text1"/>
                <w:sz w:val="24"/>
                <w:szCs w:val="24"/>
                <w:lang w:eastAsia="zh-CN"/>
                <w14:textFill>
                  <w14:solidFill>
                    <w14:schemeClr w14:val="tx1"/>
                  </w14:solidFill>
                </w14:textFill>
              </w:rPr>
              <w:t>、设备安装及配套设施建设等，施工期工艺简单，施工时长较短。</w:t>
            </w:r>
          </w:p>
          <w:p w14:paraId="1E5E99BD">
            <w:pPr>
              <w:pageBreakBefore w:val="0"/>
              <w:kinsoku/>
              <w:overflowPunct/>
              <w:topLinePunct w:val="0"/>
              <w:bidi w:val="0"/>
              <w:adjustRightInd w:val="0"/>
              <w:snapToGrid w:val="0"/>
              <w:spacing w:line="360" w:lineRule="auto"/>
              <w:ind w:left="0" w:leftChars="0" w:right="0" w:firstLine="480" w:firstLineChars="200"/>
              <w:rPr>
                <w:b/>
                <w:bCs/>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项目施工期产生的污染物主要为施工废水、扬尘、固废、噪声及施工人员生活污水、生活垃圾等。</w:t>
            </w:r>
          </w:p>
          <w:p w14:paraId="6C9B1423">
            <w:pPr>
              <w:pStyle w:val="51"/>
              <w:pageBreakBefore w:val="0"/>
              <w:kinsoku/>
              <w:overflowPunct/>
              <w:topLinePunct w:val="0"/>
              <w:bidi w:val="0"/>
              <w:ind w:left="0" w:leftChars="0" w:right="0" w:firstLine="48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项目所在地交通方便，项目施工人员预计约为</w:t>
            </w:r>
            <w:r>
              <w:rPr>
                <w:rFonts w:hint="eastAsia"/>
                <w:color w:val="000000" w:themeColor="text1"/>
                <w:sz w:val="24"/>
                <w:szCs w:val="24"/>
                <w:lang w:val="en-US" w:eastAsia="zh-CN"/>
                <w14:textFill>
                  <w14:solidFill>
                    <w14:schemeClr w14:val="tx1"/>
                  </w14:solidFill>
                </w14:textFill>
              </w:rPr>
              <w:t>5</w:t>
            </w:r>
            <w:r>
              <w:rPr>
                <w:rFonts w:hint="eastAsia"/>
                <w:color w:val="000000" w:themeColor="text1"/>
                <w:sz w:val="24"/>
                <w:szCs w:val="24"/>
                <w14:textFill>
                  <w14:solidFill>
                    <w14:schemeClr w14:val="tx1"/>
                  </w14:solidFill>
                </w14:textFill>
              </w:rPr>
              <w:t>人/d，施工区不设施工营地，施工人员为</w:t>
            </w:r>
            <w:r>
              <w:rPr>
                <w:rFonts w:hint="eastAsia"/>
                <w:color w:val="000000" w:themeColor="text1"/>
                <w:sz w:val="24"/>
                <w:szCs w:val="24"/>
                <w:lang w:eastAsia="zh-CN"/>
                <w14:textFill>
                  <w14:solidFill>
                    <w14:schemeClr w14:val="tx1"/>
                  </w14:solidFill>
                </w14:textFill>
              </w:rPr>
              <w:t>设备厂家以及公司员工</w:t>
            </w:r>
            <w:r>
              <w:rPr>
                <w:rFonts w:hint="eastAsia"/>
                <w:color w:val="000000" w:themeColor="text1"/>
                <w:sz w:val="24"/>
                <w:szCs w:val="24"/>
                <w14:textFill>
                  <w14:solidFill>
                    <w14:schemeClr w14:val="tx1"/>
                  </w14:solidFill>
                </w14:textFill>
              </w:rPr>
              <w:t>，</w:t>
            </w:r>
            <w:r>
              <w:rPr>
                <w:rFonts w:hint="eastAsia"/>
                <w:color w:val="000000" w:themeColor="text1"/>
                <w:sz w:val="24"/>
                <w:szCs w:val="24"/>
                <w:lang w:eastAsia="zh-CN"/>
                <w14:textFill>
                  <w14:solidFill>
                    <w14:schemeClr w14:val="tx1"/>
                  </w14:solidFill>
                </w14:textFill>
              </w:rPr>
              <w:t>在厂区内用餐，</w:t>
            </w:r>
            <w:r>
              <w:rPr>
                <w:rFonts w:hint="eastAsia"/>
                <w:color w:val="000000" w:themeColor="text1"/>
                <w:sz w:val="24"/>
                <w:szCs w:val="24"/>
                <w14:textFill>
                  <w14:solidFill>
                    <w14:schemeClr w14:val="tx1"/>
                  </w14:solidFill>
                </w14:textFill>
              </w:rPr>
              <w:t>不在施工场地</w:t>
            </w:r>
            <w:r>
              <w:rPr>
                <w:rFonts w:hint="eastAsia"/>
                <w:color w:val="000000" w:themeColor="text1"/>
                <w:sz w:val="24"/>
                <w:szCs w:val="24"/>
                <w:lang w:eastAsia="zh-CN"/>
                <w14:textFill>
                  <w14:solidFill>
                    <w14:schemeClr w14:val="tx1"/>
                  </w14:solidFill>
                </w14:textFill>
              </w:rPr>
              <w:t>住</w:t>
            </w:r>
            <w:r>
              <w:rPr>
                <w:rFonts w:hint="eastAsia"/>
                <w:color w:val="000000" w:themeColor="text1"/>
                <w:sz w:val="24"/>
                <w:szCs w:val="24"/>
                <w14:textFill>
                  <w14:solidFill>
                    <w14:schemeClr w14:val="tx1"/>
                  </w14:solidFill>
                </w14:textFill>
              </w:rPr>
              <w:t>宿。</w:t>
            </w:r>
          </w:p>
          <w:p w14:paraId="694A68A9">
            <w:pPr>
              <w:pStyle w:val="51"/>
              <w:pageBreakBefore w:val="0"/>
              <w:kinsoku/>
              <w:overflowPunct/>
              <w:topLinePunct w:val="0"/>
              <w:bidi w:val="0"/>
              <w:ind w:left="0" w:leftChars="0" w:right="0" w:firstLine="480"/>
              <w:rPr>
                <w:rFonts w:hint="eastAsia"/>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主要施工流程及产污环节详见图。</w:t>
            </w:r>
            <w:r>
              <w:rPr>
                <w:rFonts w:hint="eastAsia"/>
                <w:b w:val="0"/>
                <w:bCs w:val="0"/>
                <w:color w:val="000000" w:themeColor="text1"/>
                <w14:textFill>
                  <w14:solidFill>
                    <w14:schemeClr w14:val="tx1"/>
                  </w14:solidFill>
                </w14:textFill>
              </w:rPr>
              <w:br w:type="textWrapping"/>
            </w:r>
          </w:p>
          <w:p w14:paraId="317B5FAC">
            <w:pPr>
              <w:pStyle w:val="51"/>
              <w:pageBreakBefore w:val="0"/>
              <w:kinsoku/>
              <w:overflowPunct/>
              <w:topLinePunct w:val="0"/>
              <w:bidi w:val="0"/>
              <w:ind w:left="0" w:leftChars="0" w:right="0" w:firstLine="480"/>
              <w:rPr>
                <w:rFonts w:hint="eastAsia" w:eastAsia="宋体"/>
                <w:b w:val="0"/>
                <w:bCs w:val="0"/>
                <w:color w:val="000000" w:themeColor="text1"/>
                <w:lang w:eastAsia="zh-CN"/>
                <w14:textFill>
                  <w14:solidFill>
                    <w14:schemeClr w14:val="tx1"/>
                  </w14:solidFill>
                </w14:textFill>
              </w:rPr>
            </w:pPr>
            <w:r>
              <w:rPr>
                <w:rFonts w:hint="eastAsia"/>
                <w:b w:val="0"/>
                <w:bCs w:val="0"/>
                <w:color w:val="000000" w:themeColor="text1"/>
                <w:lang w:eastAsia="zh-CN"/>
                <w14:textFill>
                  <w14:solidFill>
                    <w14:schemeClr w14:val="tx1"/>
                  </w14:solidFill>
                </w14:textFill>
              </w:rPr>
              <w:object>
                <v:shape id="_x0000_i1029" o:spt="75" type="#_x0000_t75" style="height:64.5pt;width:374.3pt;" o:ole="t" filled="f" o:preferrelative="t" stroked="f" coordsize="21600,21600">
                  <v:path/>
                  <v:fill on="f" focussize="0,0"/>
                  <v:stroke on="f"/>
                  <v:imagedata r:id="rId15" o:title=""/>
                  <o:lock v:ext="edit" aspectratio="f"/>
                  <w10:wrap type="none"/>
                  <w10:anchorlock/>
                </v:shape>
                <o:OLEObject Type="Embed" ProgID="Visio.Drawing.11" ShapeID="_x0000_i1029" DrawAspect="Content" ObjectID="_1468075729" r:id="rId14">
                  <o:LockedField>false</o:LockedField>
                </o:OLEObject>
              </w:object>
            </w:r>
          </w:p>
          <w:p w14:paraId="0410C502">
            <w:pPr>
              <w:pStyle w:val="127"/>
              <w:pageBreakBefore w:val="0"/>
              <w:widowControl w:val="0"/>
              <w:kinsoku/>
              <w:overflowPunct/>
              <w:topLinePunct w:val="0"/>
              <w:bidi w:val="0"/>
              <w:spacing w:before="0"/>
              <w:ind w:left="0" w:leftChars="0" w:right="0"/>
              <w:rPr>
                <w:color w:val="000000" w:themeColor="text1"/>
                <w14:textFill>
                  <w14:solidFill>
                    <w14:schemeClr w14:val="tx1"/>
                  </w14:solidFill>
                </w14:textFill>
              </w:rPr>
            </w:pPr>
            <w:r>
              <w:rPr>
                <w:rFonts w:hint="eastAsia"/>
                <w:color w:val="000000" w:themeColor="text1"/>
                <w14:textFill>
                  <w14:solidFill>
                    <w14:schemeClr w14:val="tx1"/>
                  </w14:solidFill>
                </w14:textFill>
              </w:rPr>
              <w:t>图2-</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 xml:space="preserve"> 施工期工艺流程图</w:t>
            </w:r>
          </w:p>
          <w:p w14:paraId="6FB418BB">
            <w:pPr>
              <w:pageBreakBefore w:val="0"/>
              <w:kinsoku/>
              <w:overflowPunct/>
              <w:topLinePunct w:val="0"/>
              <w:bidi w:val="0"/>
              <w:spacing w:line="360" w:lineRule="auto"/>
              <w:ind w:left="0" w:leftChars="0" w:right="0"/>
              <w:rPr>
                <w:b/>
                <w:color w:val="000000" w:themeColor="text1"/>
                <w:sz w:val="24"/>
                <w14:textFill>
                  <w14:solidFill>
                    <w14:schemeClr w14:val="tx1"/>
                  </w14:solidFill>
                </w14:textFill>
              </w:rPr>
            </w:pPr>
            <w:r>
              <w:rPr>
                <w:b/>
                <w:color w:val="000000" w:themeColor="text1"/>
                <w:sz w:val="24"/>
                <w14:textFill>
                  <w14:solidFill>
                    <w14:schemeClr w14:val="tx1"/>
                  </w14:solidFill>
                </w14:textFill>
              </w:rPr>
              <w:t>二、运营期工艺流程和产排污节点</w:t>
            </w:r>
          </w:p>
          <w:p w14:paraId="38763E45">
            <w:pPr>
              <w:pStyle w:val="32"/>
              <w:keepNext w:val="0"/>
              <w:keepLines w:val="0"/>
              <w:pageBreakBefore w:val="0"/>
              <w:widowControl w:val="0"/>
              <w:kinsoku/>
              <w:wordWrap/>
              <w:overflowPunct/>
              <w:topLinePunct w:val="0"/>
              <w:autoSpaceDE/>
              <w:autoSpaceDN/>
              <w:bidi w:val="0"/>
              <w:adjustRightInd/>
              <w:snapToGrid/>
              <w:ind w:left="0" w:leftChars="0" w:firstLine="482" w:firstLineChars="200"/>
              <w:textAlignment w:val="auto"/>
              <w:outlineLvl w:val="9"/>
              <w:rPr>
                <w:rFonts w:hint="eastAsia"/>
                <w:b/>
                <w:bCs/>
                <w:color w:val="000000" w:themeColor="text1"/>
                <w:sz w:val="24"/>
                <w:lang w:eastAsia="zh-CN" w:bidi="ar"/>
                <w14:textFill>
                  <w14:solidFill>
                    <w14:schemeClr w14:val="tx1"/>
                  </w14:solidFill>
                </w14:textFill>
              </w:rPr>
            </w:pPr>
            <w:r>
              <w:rPr>
                <w:rFonts w:hint="eastAsia"/>
                <w:b/>
                <w:bCs/>
                <w:color w:val="000000" w:themeColor="text1"/>
                <w:sz w:val="24"/>
                <w:lang w:eastAsia="zh-CN" w:bidi="ar"/>
                <w14:textFill>
                  <w14:solidFill>
                    <w14:schemeClr w14:val="tx1"/>
                  </w14:solidFill>
                </w14:textFill>
              </w:rPr>
              <w:t>（</w:t>
            </w:r>
            <w:r>
              <w:rPr>
                <w:rFonts w:hint="eastAsia"/>
                <w:b/>
                <w:bCs/>
                <w:color w:val="000000" w:themeColor="text1"/>
                <w:sz w:val="24"/>
                <w:lang w:val="en-US" w:eastAsia="zh-CN" w:bidi="ar"/>
                <w14:textFill>
                  <w14:solidFill>
                    <w14:schemeClr w14:val="tx1"/>
                  </w14:solidFill>
                </w14:textFill>
              </w:rPr>
              <w:t>1</w:t>
            </w:r>
            <w:r>
              <w:rPr>
                <w:rFonts w:hint="eastAsia"/>
                <w:b/>
                <w:bCs/>
                <w:color w:val="000000" w:themeColor="text1"/>
                <w:sz w:val="24"/>
                <w:lang w:eastAsia="zh-CN" w:bidi="ar"/>
                <w14:textFill>
                  <w14:solidFill>
                    <w14:schemeClr w14:val="tx1"/>
                  </w14:solidFill>
                </w14:textFill>
              </w:rPr>
              <w:t>）生物质锅炉</w:t>
            </w:r>
          </w:p>
          <w:p w14:paraId="3067CDA8">
            <w:pPr>
              <w:keepNext w:val="0"/>
              <w:keepLines w:val="0"/>
              <w:pageBreakBefore w:val="0"/>
              <w:kinsoku/>
              <w:wordWrap/>
              <w:overflowPunct/>
              <w:topLinePunct w:val="0"/>
              <w:autoSpaceDE/>
              <w:autoSpaceDN/>
              <w:bidi w:val="0"/>
              <w:spacing w:line="360" w:lineRule="auto"/>
              <w:ind w:firstLine="482" w:firstLineChars="200"/>
              <w:textAlignment w:val="auto"/>
              <w:outlineLvl w:val="9"/>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工艺流程简述</w:t>
            </w:r>
            <w:r>
              <w:rPr>
                <w:rFonts w:hint="default" w:ascii="Times New Roman" w:hAnsi="Times New Roman" w:eastAsia="宋体" w:cs="Times New Roman"/>
                <w:b/>
                <w:bCs/>
                <w:color w:val="000000" w:themeColor="text1"/>
                <w:sz w:val="24"/>
                <w:lang w:eastAsia="zh-CN"/>
                <w14:textFill>
                  <w14:solidFill>
                    <w14:schemeClr w14:val="tx1"/>
                  </w14:solidFill>
                </w14:textFill>
              </w:rPr>
              <w:t>：</w:t>
            </w:r>
          </w:p>
          <w:p w14:paraId="6AEA3EF7">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000000" w:themeColor="text1"/>
                <w:kern w:val="0"/>
                <w:sz w:val="24"/>
                <w:lang w:eastAsia="zh-CN"/>
                <w14:textFill>
                  <w14:solidFill>
                    <w14:schemeClr w14:val="tx1"/>
                  </w14:solidFill>
                </w14:textFill>
              </w:rPr>
            </w:pPr>
            <w:r>
              <w:rPr>
                <w:rFonts w:hint="default" w:ascii="Times New Roman" w:hAnsi="Times New Roman" w:eastAsia="宋体" w:cs="Times New Roman"/>
                <w:color w:val="000000" w:themeColor="text1"/>
                <w:kern w:val="0"/>
                <w:sz w:val="24"/>
                <w:lang w:eastAsia="zh-CN"/>
                <w14:textFill>
                  <w14:solidFill>
                    <w14:schemeClr w14:val="tx1"/>
                  </w14:solidFill>
                </w14:textFill>
              </w:rPr>
              <w:t>本项目</w:t>
            </w:r>
            <w:r>
              <w:rPr>
                <w:rFonts w:hint="eastAsia" w:ascii="Times New Roman" w:hAnsi="Times New Roman" w:eastAsia="宋体" w:cs="Times New Roman"/>
                <w:color w:val="000000" w:themeColor="text1"/>
                <w:sz w:val="24"/>
                <w:lang w:val="en-US" w:eastAsia="zh-CN"/>
                <w14:textFill>
                  <w14:solidFill>
                    <w14:schemeClr w14:val="tx1"/>
                  </w14:solidFill>
                </w14:textFill>
              </w:rPr>
              <w:t>为</w:t>
            </w:r>
            <w:r>
              <w:rPr>
                <w:rFonts w:hint="eastAsia"/>
                <w:color w:val="000000" w:themeColor="text1"/>
                <w:sz w:val="24"/>
                <w:lang w:val="en-US" w:eastAsia="zh-CN"/>
                <w14:textFill>
                  <w14:solidFill>
                    <w14:schemeClr w14:val="tx1"/>
                  </w14:solidFill>
                </w14:textFill>
              </w:rPr>
              <w:t>锅炉以及环保设施技改项目</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生物质燃料装卸及储存过程会产生</w:t>
            </w:r>
            <w:r>
              <w:rPr>
                <w:rFonts w:hint="default" w:ascii="Times New Roman" w:hAnsi="Times New Roman" w:cs="Times New Roman"/>
                <w:color w:val="000000" w:themeColor="text1"/>
                <w:sz w:val="24"/>
                <w:lang w:eastAsia="zh-CN"/>
                <w14:textFill>
                  <w14:solidFill>
                    <w14:schemeClr w14:val="tx1"/>
                  </w14:solidFill>
                </w14:textFill>
              </w:rPr>
              <w:t>少量</w:t>
            </w:r>
            <w:r>
              <w:rPr>
                <w:rFonts w:hint="default" w:ascii="Times New Roman" w:hAnsi="Times New Roman" w:cs="Times New Roman"/>
                <w:color w:val="000000" w:themeColor="text1"/>
                <w:sz w:val="24"/>
                <w14:textFill>
                  <w14:solidFill>
                    <w14:schemeClr w14:val="tx1"/>
                  </w14:solidFill>
                </w14:textFill>
              </w:rPr>
              <w:t>粉尘，</w:t>
            </w:r>
            <w:r>
              <w:rPr>
                <w:rFonts w:hint="default" w:ascii="Times New Roman" w:hAnsi="Times New Roman" w:cs="Times New Roman"/>
                <w:color w:val="000000" w:themeColor="text1"/>
                <w:sz w:val="24"/>
                <w:lang w:eastAsia="zh-CN"/>
                <w14:textFill>
                  <w14:solidFill>
                    <w14:schemeClr w14:val="tx1"/>
                  </w14:solidFill>
                </w14:textFill>
              </w:rPr>
              <w:t>通过加强锅炉房内通风呈无组织排放。</w:t>
            </w:r>
          </w:p>
          <w:p w14:paraId="23500A13">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生物质燃料进入炉内，首先被燃气加热干燥，使其中的水分蒸发。这一过程吸收热量，从而降低气体的温度。生物质气化炉的出口温度通常在100至300摄氏度之间。然后燃料通过燃料供给装置均匀进入燃烧机炉膛高温区，通过800℃高温加热将生物质燃料挥发分裂解出来形成一氧化碳等可燃气体，伴随已形成明火的部分高温烟气，经由喷火口通向燃烧室进行二次燃烧，喷火口和燃烧室均布置有供给火焰燃烧的配风装置，使进入燃烧室的高温烟气经多次供氧后充分燃烧。</w:t>
            </w:r>
          </w:p>
          <w:p w14:paraId="45DC0C20">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 xml:space="preserve">燃烧充分的烟气进入原供热系统后灰分少，可有效避免生物质燃烧后对原有设备的损坏和堵塞。由于采用的半气化燃烧方式，负压燃烧，不会产生冒烟、漏气、正压等不安全状况。 </w:t>
            </w:r>
          </w:p>
          <w:p w14:paraId="1036538C">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纯水进入锅炉的加热区域，在汽水系统中加热区域受热面将吸收的热量传递给水，使水加热成一定温度和压力的热水或生成蒸汽，被引出应用。</w:t>
            </w:r>
          </w:p>
          <w:p w14:paraId="4C3578A4">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生物质中剩余炉渣经炉排移动带入燃烧机后部灰仓，经由出渣机或炉渣集箱排出；锅炉管壁上的灰渣定期通过高压脉冲冲击、打掉并自燃掉落到锅炉下面的灰仓排出。</w:t>
            </w:r>
          </w:p>
          <w:p w14:paraId="121D3C33">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炉内燃烧产生的烟气通过尾气引风机进入低氮燃烧器处理，处理后烟气与布置其中的节能器等进行热交换，然后排出锅炉进入布袋除尘器。锅炉烟气通过烟道进入</w:t>
            </w:r>
            <w:r>
              <w:rPr>
                <w:rFonts w:hint="eastAsia" w:cs="Times New Roman"/>
                <w:bCs/>
                <w:color w:val="000000" w:themeColor="text1"/>
                <w:sz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lang w:val="en-US" w:eastAsia="zh-CN"/>
                <w14:textFill>
                  <w14:solidFill>
                    <w14:schemeClr w14:val="tx1"/>
                  </w14:solidFill>
                </w14:textFill>
              </w:rPr>
              <w:t>旋风除尘+布袋除尘</w:t>
            </w:r>
            <w:r>
              <w:rPr>
                <w:rFonts w:hint="eastAsia" w:cs="Times New Roman"/>
                <w:bCs/>
                <w:color w:val="000000" w:themeColor="text1"/>
                <w:sz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lang w:val="en-US" w:eastAsia="zh-CN"/>
                <w14:textFill>
                  <w14:solidFill>
                    <w14:schemeClr w14:val="tx1"/>
                  </w14:solidFill>
                </w14:textFill>
              </w:rPr>
              <w:t>进行除尘，净化后的烟气经引风机加压通过</w:t>
            </w:r>
            <w:r>
              <w:rPr>
                <w:rFonts w:hint="eastAsia" w:cs="Times New Roman"/>
                <w:bCs/>
                <w:color w:val="000000" w:themeColor="text1"/>
                <w:sz w:val="24"/>
                <w:lang w:val="en-US" w:eastAsia="zh-CN"/>
                <w14:textFill>
                  <w14:solidFill>
                    <w14:schemeClr w14:val="tx1"/>
                  </w14:solidFill>
                </w14:textFill>
              </w:rPr>
              <w:t>30m</w:t>
            </w:r>
            <w:r>
              <w:rPr>
                <w:rFonts w:hint="default" w:ascii="Times New Roman" w:hAnsi="Times New Roman" w:eastAsia="宋体" w:cs="Times New Roman"/>
                <w:bCs/>
                <w:color w:val="000000" w:themeColor="text1"/>
                <w:sz w:val="24"/>
                <w:lang w:val="en-US" w:eastAsia="zh-CN"/>
                <w14:textFill>
                  <w14:solidFill>
                    <w14:schemeClr w14:val="tx1"/>
                  </w14:solidFill>
                </w14:textFill>
              </w:rPr>
              <w:t>高的排气筒DA001排入大气。</w:t>
            </w:r>
          </w:p>
          <w:p w14:paraId="3A896EB7">
            <w:pPr>
              <w:keepNext w:val="0"/>
              <w:keepLines w:val="0"/>
              <w:pageBreakBefore w:val="0"/>
              <w:kinsoku/>
              <w:wordWrap/>
              <w:overflowPunct/>
              <w:topLinePunct w:val="0"/>
              <w:autoSpaceDE/>
              <w:autoSpaceDN/>
              <w:bidi w:val="0"/>
              <w:spacing w:line="360" w:lineRule="auto"/>
              <w:ind w:firstLine="482" w:firstLineChars="200"/>
              <w:textAlignment w:val="auto"/>
              <w:outlineLvl w:val="9"/>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lang w:val="en-US" w:eastAsia="zh-CN"/>
                <w14:textFill>
                  <w14:solidFill>
                    <w14:schemeClr w14:val="tx1"/>
                  </w14:solidFill>
                </w14:textFill>
              </w:rPr>
              <w:t>低氮燃烧原理：</w:t>
            </w:r>
            <w:r>
              <w:rPr>
                <w:rFonts w:hint="eastAsia" w:ascii="Times New Roman" w:hAnsi="Times New Roman" w:eastAsia="宋体" w:cs="Times New Roman"/>
                <w:bCs/>
                <w:color w:val="000000" w:themeColor="text1"/>
                <w:sz w:val="24"/>
                <w:lang w:val="en-US" w:eastAsia="zh-CN"/>
                <w14:textFill>
                  <w14:solidFill>
                    <w14:schemeClr w14:val="tx1"/>
                  </w14:solidFill>
                </w14:textFill>
              </w:rPr>
              <w:t>锅炉配套设置低氮燃烧器，锅炉炉排下有分区风道，可控制炉排小面积局部燃烧，配合燃烧器调整进风量可做到缺氧燃烧降低氮氧化物的生成。通过采取分区控风、缺氧燃烧及设置拱形火嘴，降低氮氧化物的生成。</w:t>
            </w:r>
          </w:p>
          <w:p w14:paraId="41F650D0">
            <w:pPr>
              <w:keepNext w:val="0"/>
              <w:keepLines w:val="0"/>
              <w:pageBreakBefore w:val="0"/>
              <w:kinsoku/>
              <w:wordWrap/>
              <w:overflowPunct/>
              <w:topLinePunct w:val="0"/>
              <w:autoSpaceDE/>
              <w:autoSpaceDN/>
              <w:bidi w:val="0"/>
              <w:spacing w:line="360" w:lineRule="auto"/>
              <w:ind w:firstLine="482" w:firstLineChars="200"/>
              <w:textAlignment w:val="auto"/>
              <w:outlineLvl w:val="9"/>
              <w:rPr>
                <w:rFonts w:hint="default" w:ascii="Times New Roman" w:hAnsi="Times New Roman" w:eastAsia="宋体" w:cs="Times New Roman"/>
                <w:b/>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lang w:val="en-US" w:eastAsia="zh-CN"/>
                <w14:textFill>
                  <w14:solidFill>
                    <w14:schemeClr w14:val="tx1"/>
                  </w14:solidFill>
                </w14:textFill>
              </w:rPr>
              <w:t>旋风</w:t>
            </w:r>
            <w:r>
              <w:rPr>
                <w:rFonts w:hint="eastAsia" w:eastAsia="宋体" w:cs="Times New Roman"/>
                <w:b/>
                <w:bCs w:val="0"/>
                <w:color w:val="000000" w:themeColor="text1"/>
                <w:sz w:val="24"/>
                <w:lang w:val="en-US" w:eastAsia="zh-CN"/>
                <w14:textFill>
                  <w14:solidFill>
                    <w14:schemeClr w14:val="tx1"/>
                  </w14:solidFill>
                </w14:textFill>
              </w:rPr>
              <w:t>除尘</w:t>
            </w:r>
            <w:r>
              <w:rPr>
                <w:rFonts w:hint="default" w:ascii="Times New Roman" w:hAnsi="Times New Roman" w:eastAsia="宋体" w:cs="Times New Roman"/>
                <w:b/>
                <w:bCs w:val="0"/>
                <w:color w:val="000000" w:themeColor="text1"/>
                <w:sz w:val="24"/>
                <w:lang w:val="en-US" w:eastAsia="zh-CN"/>
                <w14:textFill>
                  <w14:solidFill>
                    <w14:schemeClr w14:val="tx1"/>
                  </w14:solidFill>
                </w14:textFill>
              </w:rPr>
              <w:t>原理：</w:t>
            </w:r>
            <w:r>
              <w:rPr>
                <w:rFonts w:hint="default" w:ascii="Times New Roman" w:hAnsi="Times New Roman" w:eastAsia="宋体" w:cs="Times New Roman"/>
                <w:bCs/>
                <w:color w:val="000000" w:themeColor="text1"/>
                <w:sz w:val="24"/>
                <w:lang w:val="en-US" w:eastAsia="zh-CN"/>
                <w14:textFill>
                  <w14:solidFill>
                    <w14:schemeClr w14:val="tx1"/>
                  </w14:solidFill>
                </w14:textFill>
              </w:rPr>
              <w:t>含尘气体由总进气管进入气体分布室，随后进入旋风体和导流片之间的环形空隙。导流片使气体由直线运动变为圆周运动，旋转气流的绝大部分沿旋风体自圆筒体呈螺旋形向下，朝锥体流动，含尘气体在旋转过程中产生离心力，将密度大于气体的尘粒甩向筒壁。尘粒在与筒壁接触，便失去惯性力而靠入口速度的动量和向下的重力沿壁面向下落入排灰口进入总灰斗。灰斗排灰可以有多种自动排灰形式。旋转下降的外旋气流到达锥体下端位时，因圆锥体的收缩即以同样的旋转方向在旋风管轴线方向由下而上继续做螺旋形流动（净气），经过旋风体排气管进入排气室，由总排气口排出。</w:t>
            </w:r>
          </w:p>
          <w:p w14:paraId="74792F2C">
            <w:pPr>
              <w:keepNext w:val="0"/>
              <w:keepLines w:val="0"/>
              <w:pageBreakBefore w:val="0"/>
              <w:kinsoku/>
              <w:wordWrap/>
              <w:overflowPunct/>
              <w:topLinePunct w:val="0"/>
              <w:autoSpaceDE/>
              <w:autoSpaceDN/>
              <w:bidi w:val="0"/>
              <w:spacing w:line="360" w:lineRule="auto"/>
              <w:ind w:firstLine="482" w:firstLineChars="200"/>
              <w:textAlignment w:val="auto"/>
              <w:outlineLvl w:val="9"/>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lang w:val="en-US" w:eastAsia="zh-CN"/>
                <w14:textFill>
                  <w14:solidFill>
                    <w14:schemeClr w14:val="tx1"/>
                  </w14:solidFill>
                </w14:textFill>
              </w:rPr>
              <w:t>布袋除尘器工作原理：</w:t>
            </w:r>
            <w:r>
              <w:rPr>
                <w:rFonts w:hint="default" w:ascii="Times New Roman" w:hAnsi="Times New Roman" w:eastAsia="宋体" w:cs="Times New Roman"/>
                <w:bCs/>
                <w:color w:val="000000" w:themeColor="text1"/>
                <w:sz w:val="24"/>
                <w:lang w:val="en-US" w:eastAsia="zh-CN"/>
                <w14:textFill>
                  <w14:solidFill>
                    <w14:schemeClr w14:val="tx1"/>
                  </w14:solidFill>
                </w14:textFill>
              </w:rPr>
              <w:t>袋式除尘器是一种干式滤尘装置。它适用于捕集细小、干燥、非纤维性粉尘。滤袋采用纺织的滤布或非纺织的毡制成，利用纤维织物的过滤作用对含尘气体进行过滤，当含尘气体进入袋式除尘器后，颗粒大、比重大的粉尘，由于重力的作用沉降下来，落入灰斗，含有较细小粉尘的气体在通过滤料时，粉尘被阻留，使气体得到净化。</w:t>
            </w:r>
          </w:p>
          <w:p w14:paraId="59F14A06">
            <w:pPr>
              <w:pStyle w:val="32"/>
              <w:keepNext w:val="0"/>
              <w:keepLines w:val="0"/>
              <w:pageBreakBefore w:val="0"/>
              <w:kinsoku/>
              <w:wordWrap/>
              <w:overflowPunct/>
              <w:topLinePunct w:val="0"/>
              <w:autoSpaceDE/>
              <w:autoSpaceDN/>
              <w:bidi w:val="0"/>
              <w:ind w:left="0" w:leftChars="0" w:firstLine="0" w:firstLineChars="0"/>
              <w:textAlignment w:val="auto"/>
              <w:outlineLvl w:val="9"/>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object>
                <v:shape id="_x0000_i1030" o:spt="75" type="#_x0000_t75" style="height:193.5pt;width:402pt;" o:ole="t" filled="f" o:preferrelative="t" stroked="f" coordsize="21600,21600">
                  <v:path/>
                  <v:fill on="f" focussize="0,0"/>
                  <v:stroke on="f"/>
                  <v:imagedata r:id="rId17" o:title=""/>
                  <o:lock v:ext="edit" aspectratio="f"/>
                  <w10:wrap type="none"/>
                  <w10:anchorlock/>
                </v:shape>
                <o:OLEObject Type="Embed" ProgID="Visio.Drawing.11" ShapeID="_x0000_i1030" DrawAspect="Content" ObjectID="_1468075730" r:id="rId16">
                  <o:LockedField>false</o:LockedField>
                </o:OLEObject>
              </w:object>
            </w:r>
          </w:p>
          <w:p w14:paraId="7F66D2E9">
            <w:pPr>
              <w:keepNext w:val="0"/>
              <w:keepLines w:val="0"/>
              <w:pageBreakBefore w:val="0"/>
              <w:kinsoku/>
              <w:wordWrap/>
              <w:overflowPunct/>
              <w:topLinePunct w:val="0"/>
              <w:autoSpaceDE/>
              <w:autoSpaceDN/>
              <w:bidi w:val="0"/>
              <w:spacing w:line="360" w:lineRule="auto"/>
              <w:jc w:val="center"/>
              <w:textAlignment w:val="auto"/>
              <w:outlineLvl w:val="9"/>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图2-</w:t>
            </w:r>
            <w:r>
              <w:rPr>
                <w:rFonts w:hint="eastAsia" w:cs="Times New Roman"/>
                <w:b/>
                <w:bCs/>
                <w:color w:val="000000" w:themeColor="text1"/>
                <w:sz w:val="21"/>
                <w:szCs w:val="21"/>
                <w:lang w:val="en-US" w:eastAsia="zh-CN"/>
                <w14:textFill>
                  <w14:solidFill>
                    <w14:schemeClr w14:val="tx1"/>
                  </w14:solidFill>
                </w14:textFill>
              </w:rPr>
              <w:t>5</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eastAsia" w:eastAsia="宋体" w:cs="Times New Roman"/>
                <w:b/>
                <w:bCs/>
                <w:color w:val="000000" w:themeColor="text1"/>
                <w:sz w:val="21"/>
                <w:szCs w:val="21"/>
                <w:lang w:val="en-US" w:eastAsia="zh-CN"/>
                <w14:textFill>
                  <w14:solidFill>
                    <w14:schemeClr w14:val="tx1"/>
                  </w14:solidFill>
                </w14:textFill>
              </w:rPr>
              <w:t>本项目新增</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生物质锅炉生产工艺流程图</w:t>
            </w:r>
          </w:p>
          <w:p w14:paraId="1A760C4E">
            <w:pPr>
              <w:keepNext w:val="0"/>
              <w:keepLines w:val="0"/>
              <w:pageBreakBefore w:val="0"/>
              <w:widowControl w:val="0"/>
              <w:kinsoku/>
              <w:wordWrap/>
              <w:overflowPunct/>
              <w:topLinePunct w:val="0"/>
              <w:autoSpaceDE/>
              <w:autoSpaceDN/>
              <w:bidi w:val="0"/>
              <w:adjustRightInd w:val="0"/>
              <w:snapToGrid w:val="0"/>
              <w:spacing w:line="360" w:lineRule="auto"/>
              <w:ind w:right="0" w:firstLine="482" w:firstLineChars="200"/>
              <w:jc w:val="left"/>
              <w:textAlignment w:val="auto"/>
              <w:outlineLvl w:val="9"/>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（2）软水制备设施</w:t>
            </w:r>
          </w:p>
          <w:p w14:paraId="73584910">
            <w:pPr>
              <w:keepNext w:val="0"/>
              <w:keepLines w:val="0"/>
              <w:pageBreakBefore w:val="0"/>
              <w:kinsoku/>
              <w:wordWrap/>
              <w:overflowPunct/>
              <w:topLinePunct w:val="0"/>
              <w:autoSpaceDE/>
              <w:autoSpaceDN/>
              <w:bidi w:val="0"/>
              <w:spacing w:line="360" w:lineRule="auto"/>
              <w:ind w:firstLine="482" w:firstLineChars="200"/>
              <w:textAlignment w:val="auto"/>
              <w:outlineLvl w:val="9"/>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工艺流程简述</w:t>
            </w:r>
            <w:r>
              <w:rPr>
                <w:rFonts w:hint="default" w:ascii="Times New Roman" w:hAnsi="Times New Roman" w:eastAsia="宋体" w:cs="Times New Roman"/>
                <w:b/>
                <w:bCs/>
                <w:color w:val="000000" w:themeColor="text1"/>
                <w:sz w:val="24"/>
                <w:lang w:eastAsia="zh-CN"/>
                <w14:textFill>
                  <w14:solidFill>
                    <w14:schemeClr w14:val="tx1"/>
                  </w14:solidFill>
                </w14:textFill>
              </w:rPr>
              <w:t>：</w:t>
            </w:r>
          </w:p>
          <w:p w14:paraId="7A8987E0">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left"/>
              <w:textAlignment w:val="auto"/>
              <w:outlineLvl w:val="9"/>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软化水制备利用离子交换原理，将新鲜水中的钙、镁离子置换出去。</w:t>
            </w:r>
          </w:p>
          <w:p w14:paraId="57362B8C">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left"/>
              <w:textAlignment w:val="auto"/>
              <w:outlineLvl w:val="9"/>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当含有硬度离子的原水通过交换器内树脂层时，水中的钙、镁离子便与树脂吸附的钠离子发生置换，树脂吸附了钙、镁离子而钠离子进入水中，这样从交换器内流出的水就是去掉了硬度的</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kern w:val="0"/>
                <w:sz w:val="24"/>
                <w:lang w:val="en-US" w:eastAsia="zh-CN"/>
                <w14:textFill>
                  <w14:solidFill>
                    <w14:schemeClr w14:val="tx1"/>
                  </w14:solidFill>
                </w14:textFill>
              </w:rPr>
              <w:instrText xml:space="preserve"> HYPERLINK "https://baike.baidu.com/item/%E8%BD%AF%E5%8C%96%E6%B0%B4/3333408?fromModule=lemma_inlink" \t "https://baike.baidu.com/item/%E8%BD%AF%E5%8C%96%E6%B0%B4%E5%A4%84%E7%90%86%E7%B3%BB%E7%BB%9F/_blank" </w:instrText>
            </w:r>
            <w:r>
              <w:rPr>
                <w:rFonts w:hint="default" w:ascii="Times New Roman" w:hAnsi="Times New Roman" w:eastAsia="宋体" w:cs="Times New Roman"/>
                <w:color w:val="000000" w:themeColor="text1"/>
                <w:kern w:val="0"/>
                <w:sz w:val="24"/>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kern w:val="0"/>
                <w:sz w:val="24"/>
                <w:lang w:val="en-US" w:eastAsia="zh-CN"/>
                <w14:textFill>
                  <w14:solidFill>
                    <w14:schemeClr w14:val="tx1"/>
                  </w14:solidFill>
                </w14:textFill>
              </w:rPr>
              <w:t>软化水</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r>
              <w:rPr>
                <w:rFonts w:hint="eastAsia" w:cs="Times New Roman"/>
                <w:color w:val="000000" w:themeColor="text1"/>
                <w:kern w:val="0"/>
                <w:sz w:val="24"/>
                <w:lang w:val="en-US" w:eastAsia="zh-CN"/>
                <w14:textFill>
                  <w14:solidFill>
                    <w14:schemeClr w14:val="tx1"/>
                  </w14:solidFill>
                </w14:textFill>
              </w:rPr>
              <w:t>其交换过程原理如下：</w:t>
            </w:r>
          </w:p>
          <w:p w14:paraId="5141D74F">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jc w:val="center"/>
              <w:textAlignment w:val="auto"/>
              <w:outlineLvl w:val="9"/>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800225" cy="523875"/>
                  <wp:effectExtent l="0" t="0" r="9525" b="9525"/>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18"/>
                          <a:stretch>
                            <a:fillRect/>
                          </a:stretch>
                        </pic:blipFill>
                        <pic:spPr>
                          <a:xfrm>
                            <a:off x="0" y="0"/>
                            <a:ext cx="1800225" cy="523875"/>
                          </a:xfrm>
                          <a:prstGeom prst="rect">
                            <a:avLst/>
                          </a:prstGeom>
                          <a:noFill/>
                          <a:ln>
                            <a:noFill/>
                          </a:ln>
                        </pic:spPr>
                      </pic:pic>
                    </a:graphicData>
                  </a:graphic>
                </wp:inline>
              </w:drawing>
            </w:r>
          </w:p>
          <w:p w14:paraId="7F088CC2">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left"/>
              <w:textAlignment w:val="auto"/>
              <w:outlineLvl w:val="9"/>
              <w:rPr>
                <w:rFonts w:hint="eastAsia"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当树脂吸收一定量的离子之后，</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水中的</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Ca2+</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Mg2+</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被置换成</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Na+</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。当钠离子交换树脂失效之后，为恢复其交换能力，就要进行再生处理。</w:t>
            </w:r>
          </w:p>
          <w:p w14:paraId="59B3923B">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left"/>
              <w:textAlignment w:val="auto"/>
              <w:outlineLvl w:val="9"/>
              <w:rPr>
                <w:rFonts w:hint="eastAsia"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再生过程就是用盐箱中的食盐水冲洗树脂层，</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利用饱和</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NaCl</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溶液进行再生，再生后再进行反冲洗，</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把树脂上的硬度离子在置换出来，随再生废液排出罐外，树脂就又恢复了软化交换功能。</w:t>
            </w:r>
            <w:r>
              <w:rPr>
                <w:rFonts w:hint="eastAsia" w:cs="Times New Roman"/>
                <w:color w:val="000000" w:themeColor="text1"/>
                <w:kern w:val="0"/>
                <w:sz w:val="24"/>
                <w:lang w:val="en-US" w:eastAsia="zh-CN"/>
                <w14:textFill>
                  <w14:solidFill>
                    <w14:schemeClr w14:val="tx1"/>
                  </w14:solidFill>
                </w14:textFill>
              </w:rPr>
              <w:t>再生反应过程如下：</w:t>
            </w:r>
          </w:p>
          <w:p w14:paraId="2C1E7F4F">
            <w:pPr>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outlineLvl w:val="9"/>
              <w:rPr>
                <w:rFonts w:hint="eastAsia" w:ascii="Times New Roman" w:hAnsi="Times New Roman" w:eastAsia="宋体" w:cs="Times New Roman"/>
                <w:color w:val="000000" w:themeColor="text1"/>
                <w:kern w:val="0"/>
                <w:sz w:val="24"/>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2162175" cy="628650"/>
                  <wp:effectExtent l="0" t="0" r="9525" b="0"/>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19"/>
                          <a:stretch>
                            <a:fillRect/>
                          </a:stretch>
                        </pic:blipFill>
                        <pic:spPr>
                          <a:xfrm>
                            <a:off x="0" y="0"/>
                            <a:ext cx="2162175" cy="628650"/>
                          </a:xfrm>
                          <a:prstGeom prst="rect">
                            <a:avLst/>
                          </a:prstGeom>
                          <a:noFill/>
                          <a:ln>
                            <a:noFill/>
                          </a:ln>
                        </pic:spPr>
                      </pic:pic>
                    </a:graphicData>
                  </a:graphic>
                </wp:inline>
              </w:drawing>
            </w:r>
          </w:p>
          <w:p w14:paraId="38752382">
            <w:pPr>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outlineLvl w:val="9"/>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2396490" cy="2600960"/>
                  <wp:effectExtent l="0" t="0" r="3810" b="8890"/>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20"/>
                          <a:stretch>
                            <a:fillRect/>
                          </a:stretch>
                        </pic:blipFill>
                        <pic:spPr>
                          <a:xfrm>
                            <a:off x="0" y="0"/>
                            <a:ext cx="2396490" cy="2600960"/>
                          </a:xfrm>
                          <a:prstGeom prst="rect">
                            <a:avLst/>
                          </a:prstGeom>
                          <a:noFill/>
                          <a:ln>
                            <a:noFill/>
                          </a:ln>
                        </pic:spPr>
                      </pic:pic>
                    </a:graphicData>
                  </a:graphic>
                </wp:inline>
              </w:drawing>
            </w:r>
          </w:p>
          <w:p w14:paraId="4CC3B47E">
            <w:pPr>
              <w:pStyle w:val="32"/>
              <w:keepNext w:val="0"/>
              <w:keepLines w:val="0"/>
              <w:pageBreakBefore w:val="0"/>
              <w:kinsoku/>
              <w:wordWrap/>
              <w:overflowPunct/>
              <w:topLinePunct w:val="0"/>
              <w:autoSpaceDE/>
              <w:autoSpaceDN/>
              <w:bidi w:val="0"/>
              <w:ind w:left="0" w:leftChars="0" w:firstLine="0" w:firstLineChars="0"/>
              <w:jc w:val="center"/>
              <w:textAlignment w:val="auto"/>
              <w:outlineLvl w:val="9"/>
              <w:rPr>
                <w:rFonts w:hint="default"/>
                <w:b/>
                <w:bCs/>
                <w:color w:val="000000" w:themeColor="text1"/>
                <w:sz w:val="24"/>
                <w:lang w:val="en-US" w:eastAsia="zh-CN" w:bidi="ar"/>
                <w14:textFill>
                  <w14:solidFill>
                    <w14:schemeClr w14:val="tx1"/>
                  </w14:solidFill>
                </w14:textFill>
              </w:rPr>
            </w:pPr>
            <w:r>
              <w:rPr>
                <w:rFonts w:hint="eastAsia"/>
                <w:b/>
                <w:bCs/>
                <w:color w:val="000000" w:themeColor="text1"/>
                <w:sz w:val="24"/>
                <w:lang w:val="en-US" w:eastAsia="zh-CN" w:bidi="ar"/>
                <w14:textFill>
                  <w14:solidFill>
                    <w14:schemeClr w14:val="tx1"/>
                  </w14:solidFill>
                </w14:textFill>
              </w:rPr>
              <w:t>图2-6软水制备结构设备示意图</w:t>
            </w:r>
          </w:p>
          <w:p w14:paraId="378DC812">
            <w:pPr>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outlineLvl w:val="9"/>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object>
                <v:shape id="_x0000_i1031" o:spt="75" type="#_x0000_t75" style="height:126.75pt;width:294pt;" o:ole="t" filled="f" o:preferrelative="t" stroked="f" coordsize="21600,21600">
                  <v:path/>
                  <v:fill on="f" focussize="0,0"/>
                  <v:stroke on="f"/>
                  <v:imagedata r:id="rId22" o:title=""/>
                  <o:lock v:ext="edit" aspectratio="f"/>
                  <w10:wrap type="none"/>
                  <w10:anchorlock/>
                </v:shape>
                <o:OLEObject Type="Embed" ProgID="Visio.Drawing.11" ShapeID="_x0000_i1031" DrawAspect="Content" ObjectID="_1468075731" r:id="rId21">
                  <o:LockedField>false</o:LockedField>
                </o:OLEObject>
              </w:object>
            </w:r>
          </w:p>
          <w:p w14:paraId="5DD4E350">
            <w:pPr>
              <w:pStyle w:val="32"/>
              <w:keepNext w:val="0"/>
              <w:keepLines w:val="0"/>
              <w:pageBreakBefore w:val="0"/>
              <w:kinsoku/>
              <w:wordWrap/>
              <w:overflowPunct/>
              <w:topLinePunct w:val="0"/>
              <w:autoSpaceDE/>
              <w:autoSpaceDN/>
              <w:bidi w:val="0"/>
              <w:ind w:left="0" w:leftChars="0" w:firstLine="0" w:firstLineChars="0"/>
              <w:jc w:val="center"/>
              <w:textAlignment w:val="auto"/>
              <w:outlineLvl w:val="9"/>
              <w:rPr>
                <w:rFonts w:hint="eastAsia"/>
                <w:b/>
                <w:bCs/>
                <w:color w:val="000000" w:themeColor="text1"/>
                <w:sz w:val="24"/>
                <w:lang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图2-</w:t>
            </w:r>
            <w:r>
              <w:rPr>
                <w:rFonts w:hint="eastAsia" w:cs="Times New Roman"/>
                <w:b/>
                <w:bCs/>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软水制备设施生产工艺流程图</w:t>
            </w:r>
          </w:p>
          <w:p w14:paraId="3DA77601">
            <w:pPr>
              <w:pStyle w:val="32"/>
              <w:keepNext w:val="0"/>
              <w:keepLines w:val="0"/>
              <w:pageBreakBefore w:val="0"/>
              <w:kinsoku/>
              <w:wordWrap/>
              <w:overflowPunct/>
              <w:topLinePunct w:val="0"/>
              <w:autoSpaceDE/>
              <w:autoSpaceDN/>
              <w:bidi w:val="0"/>
              <w:textAlignment w:val="auto"/>
              <w:outlineLvl w:val="9"/>
              <w:rPr>
                <w:rFonts w:hint="eastAsia"/>
                <w:b/>
                <w:bCs/>
                <w:color w:val="000000" w:themeColor="text1"/>
                <w:sz w:val="24"/>
                <w:lang w:eastAsia="zh-CN" w:bidi="ar"/>
                <w14:textFill>
                  <w14:solidFill>
                    <w14:schemeClr w14:val="tx1"/>
                  </w14:solidFill>
                </w14:textFill>
              </w:rPr>
            </w:pPr>
          </w:p>
          <w:p w14:paraId="01B45BD1">
            <w:pPr>
              <w:pStyle w:val="32"/>
              <w:keepNext w:val="0"/>
              <w:keepLines w:val="0"/>
              <w:pageBreakBefore w:val="0"/>
              <w:kinsoku/>
              <w:wordWrap/>
              <w:overflowPunct/>
              <w:topLinePunct w:val="0"/>
              <w:autoSpaceDE/>
              <w:autoSpaceDN/>
              <w:bidi w:val="0"/>
              <w:textAlignment w:val="auto"/>
              <w:outlineLvl w:val="9"/>
              <w:rPr>
                <w:rFonts w:hint="eastAsia"/>
                <w:b/>
                <w:bCs/>
                <w:color w:val="000000" w:themeColor="text1"/>
                <w:sz w:val="24"/>
                <w:lang w:eastAsia="zh-CN" w:bidi="ar"/>
                <w14:textFill>
                  <w14:solidFill>
                    <w14:schemeClr w14:val="tx1"/>
                  </w14:solidFill>
                </w14:textFill>
              </w:rPr>
            </w:pPr>
            <w:r>
              <w:rPr>
                <w:rFonts w:hint="eastAsia"/>
                <w:b/>
                <w:bCs/>
                <w:color w:val="000000" w:themeColor="text1"/>
                <w:sz w:val="24"/>
                <w:lang w:eastAsia="zh-CN" w:bidi="ar"/>
                <w14:textFill>
                  <w14:solidFill>
                    <w14:schemeClr w14:val="tx1"/>
                  </w14:solidFill>
                </w14:textFill>
              </w:rPr>
              <w:t>（</w:t>
            </w:r>
            <w:r>
              <w:rPr>
                <w:rFonts w:hint="eastAsia"/>
                <w:b/>
                <w:bCs/>
                <w:color w:val="000000" w:themeColor="text1"/>
                <w:sz w:val="24"/>
                <w:lang w:val="en-US" w:eastAsia="zh-CN" w:bidi="ar"/>
                <w14:textFill>
                  <w14:solidFill>
                    <w14:schemeClr w14:val="tx1"/>
                  </w14:solidFill>
                </w14:textFill>
              </w:rPr>
              <w:t>3</w:t>
            </w:r>
            <w:r>
              <w:rPr>
                <w:rFonts w:hint="eastAsia"/>
                <w:b/>
                <w:bCs/>
                <w:color w:val="000000" w:themeColor="text1"/>
                <w:sz w:val="24"/>
                <w:lang w:eastAsia="zh-CN" w:bidi="ar"/>
                <w14:textFill>
                  <w14:solidFill>
                    <w14:schemeClr w14:val="tx1"/>
                  </w14:solidFill>
                </w14:textFill>
              </w:rPr>
              <w:t>）一体化污水处理设施</w:t>
            </w:r>
          </w:p>
          <w:p w14:paraId="0417A7EB">
            <w:pPr>
              <w:pStyle w:val="133"/>
              <w:rPr>
                <w:color w:val="000000" w:themeColor="text1"/>
                <w14:textFill>
                  <w14:solidFill>
                    <w14:schemeClr w14:val="tx1"/>
                  </w14:solidFill>
                </w14:textFill>
              </w:rPr>
            </w:pPr>
            <w:r>
              <w:rPr>
                <w:color w:val="000000" w:themeColor="text1"/>
                <w14:textFill>
                  <w14:solidFill>
                    <w14:schemeClr w14:val="tx1"/>
                  </w14:solidFill>
                </w14:textFill>
              </w:rPr>
              <w:object>
                <v:shape id="_x0000_i1032" o:spt="75" type="#_x0000_t75" style="height:75.75pt;width:383.75pt;" o:ole="t" filled="f" o:preferrelative="t" stroked="f" coordsize="21600,21600">
                  <v:path/>
                  <v:fill on="f" focussize="0,0"/>
                  <v:stroke on="f"/>
                  <v:imagedata r:id="rId24" croptop="6683f" cropbottom="8479f" o:title=""/>
                  <o:lock v:ext="edit" grouping="f" rotation="f" text="f" aspectratio="t"/>
                  <w10:wrap type="none"/>
                  <w10:anchorlock/>
                </v:shape>
                <o:OLEObject Type="Embed" ProgID="Visio.Drawing.11" ShapeID="_x0000_i1032" DrawAspect="Content" ObjectID="_1468075732" r:id="rId23">
                  <o:LockedField>false</o:LockedField>
                </o:OLEObject>
              </w:object>
            </w:r>
          </w:p>
          <w:p w14:paraId="1B0066A8">
            <w:pPr>
              <w:pStyle w:val="133"/>
              <w:rPr>
                <w:rFonts w:hint="eastAsia"/>
                <w:b/>
                <w:bCs/>
                <w:color w:val="000000" w:themeColor="text1"/>
                <w:sz w:val="24"/>
                <w:lang w:eastAsia="zh-CN" w:bidi="ar"/>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lang w:val="en-US" w:eastAsia="zh-CN"/>
                <w14:textFill>
                  <w14:solidFill>
                    <w14:schemeClr w14:val="tx1"/>
                  </w14:solidFill>
                </w14:textFill>
              </w:rPr>
              <w:t>2-8</w:t>
            </w:r>
            <w:r>
              <w:rPr>
                <w:rFonts w:hint="eastAsia"/>
                <w:color w:val="000000" w:themeColor="text1"/>
                <w14:textFill>
                  <w14:solidFill>
                    <w14:schemeClr w14:val="tx1"/>
                  </w14:solidFill>
                </w14:textFill>
              </w:rPr>
              <w:t xml:space="preserve"> 一体化污水处理设备</w:t>
            </w:r>
            <w:r>
              <w:rPr>
                <w:color w:val="000000" w:themeColor="text1"/>
                <w14:textFill>
                  <w14:solidFill>
                    <w14:schemeClr w14:val="tx1"/>
                  </w14:solidFill>
                </w14:textFill>
              </w:rPr>
              <w:t>工艺流程图</w:t>
            </w:r>
          </w:p>
          <w:p w14:paraId="03BE650C">
            <w:pPr>
              <w:keepNext w:val="0"/>
              <w:keepLines w:val="0"/>
              <w:pageBreakBefore w:val="0"/>
              <w:kinsoku/>
              <w:wordWrap/>
              <w:overflowPunct/>
              <w:topLinePunct w:val="0"/>
              <w:autoSpaceDE/>
              <w:autoSpaceDN/>
              <w:bidi w:val="0"/>
              <w:spacing w:line="360" w:lineRule="auto"/>
              <w:ind w:firstLine="482" w:firstLineChars="200"/>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工艺流程简述</w:t>
            </w:r>
            <w:r>
              <w:rPr>
                <w:rFonts w:hint="default" w:ascii="Times New Roman" w:hAnsi="Times New Roman" w:eastAsia="宋体" w:cs="Times New Roman"/>
                <w:b/>
                <w:bCs/>
                <w:color w:val="000000" w:themeColor="text1"/>
                <w:sz w:val="24"/>
                <w:lang w:eastAsia="zh-CN"/>
                <w14:textFill>
                  <w14:solidFill>
                    <w14:schemeClr w14:val="tx1"/>
                  </w14:solidFill>
                </w14:textFill>
              </w:rPr>
              <w:t>：</w:t>
            </w:r>
          </w:p>
          <w:p w14:paraId="6796765D">
            <w:pPr>
              <w:pStyle w:val="18"/>
              <w:autoSpaceDE/>
              <w:autoSpaceDN/>
              <w:adjustRightInd/>
              <w:spacing w:line="360" w:lineRule="auto"/>
              <w:ind w:firstLine="480" w:firstLineChars="200"/>
              <w:rPr>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本环评建议项目采取一体化污水处理设施进行处理，采用</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A/O法生物处理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+消毒</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工艺。A级是缺氧生物处理，兼氧微生物利用有机碳源作为电子供体，能将污水中的NO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-N、NO</w:t>
            </w:r>
            <w:r>
              <w:rPr>
                <w:rFonts w:hint="default" w:ascii="Times New Roman" w:hAnsi="Times New Roman" w:eastAsia="宋体" w:cs="Times New Roman"/>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-N转化成N</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达到脱氮的目的，从而消除了氮的富营养化污染，同时又去除了部分有机物。通常厌氧消化对生化性较好的废水中的COD去除率可达60%左右。O级是好氧生物处理，是为了使有机物得到进一步氧化分解，同时在碳化作用趋于完成的情况下，使硝化作用能顺利进行，在O级池中主要存在好氧微生物和自养型细菌（硝化菌）。其中好氧微生物将有机物分解成C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和H</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O；自养型细菌（硝化菌）能将污水中NH</w:t>
            </w:r>
            <w:r>
              <w:rPr>
                <w:rFonts w:hint="default" w:ascii="Times New Roman" w:hAnsi="Times New Roman" w:eastAsia="宋体" w:cs="Times New Roman"/>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-N转化为NO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-N、NO</w:t>
            </w:r>
            <w:r>
              <w:rPr>
                <w:rFonts w:hint="default" w:ascii="Times New Roman" w:hAnsi="Times New Roman" w:eastAsia="宋体" w:cs="Times New Roman"/>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-N。O级池的出水部分回流到A级，为A级池提供电子接受体，通过硝化作用最终消除氮污染</w:t>
            </w:r>
            <w:r>
              <w:rPr>
                <w:rFonts w:hint="eastAsia" w:ascii="Times New Roman" w:hAnsi="Times New Roman" w:eastAsia="宋体" w:cs="Times New Roman"/>
                <w:color w:val="000000" w:themeColor="text1"/>
                <w:sz w:val="24"/>
                <w:szCs w:val="24"/>
                <w:lang w:eastAsia="zh-CN"/>
                <w14:textFill>
                  <w14:solidFill>
                    <w14:schemeClr w14:val="tx1"/>
                  </w14:solidFill>
                </w14:textFill>
              </w:rPr>
              <w:t>，经投加消毒剂（建议采用次氯酸钠）消毒后即可回用于绿化或场地浇洒使用。</w:t>
            </w:r>
            <w:r>
              <w:rPr>
                <w:rFonts w:hint="eastAsia"/>
                <w:color w:val="000000" w:themeColor="text1"/>
                <w14:textFill>
                  <w14:solidFill>
                    <w14:schemeClr w14:val="tx1"/>
                  </w14:solidFill>
                </w14:textFill>
              </w:rPr>
              <w:t>该</w:t>
            </w:r>
            <w:r>
              <w:rPr>
                <w:color w:val="000000" w:themeColor="text1"/>
                <w14:textFill>
                  <w14:solidFill>
                    <w14:schemeClr w14:val="tx1"/>
                  </w14:solidFill>
                </w14:textFill>
              </w:rPr>
              <w:t>设备投资和运行费用低廉；系统控制自动化程度高，操作简单，出水水质高且水质稳定。</w:t>
            </w:r>
          </w:p>
          <w:p w14:paraId="22081CF1">
            <w:pPr>
              <w:pStyle w:val="32"/>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outlineLvl w:val="9"/>
              <w:rPr>
                <w:rFonts w:hint="eastAsia"/>
                <w:b/>
                <w:bCs/>
                <w:color w:val="000000" w:themeColor="text1"/>
                <w:sz w:val="24"/>
                <w:lang w:eastAsia="zh-CN" w:bidi="ar"/>
                <w14:textFill>
                  <w14:solidFill>
                    <w14:schemeClr w14:val="tx1"/>
                  </w14:solidFill>
                </w14:textFill>
              </w:rPr>
            </w:pPr>
            <w:r>
              <w:rPr>
                <w:rFonts w:hint="eastAsia"/>
                <w:b/>
                <w:bCs/>
                <w:color w:val="000000" w:themeColor="text1"/>
                <w:sz w:val="24"/>
                <w:lang w:eastAsia="zh-CN" w:bidi="ar"/>
                <w14:textFill>
                  <w14:solidFill>
                    <w14:schemeClr w14:val="tx1"/>
                  </w14:solidFill>
                </w14:textFill>
              </w:rPr>
              <w:t>（</w:t>
            </w:r>
            <w:r>
              <w:rPr>
                <w:rFonts w:hint="eastAsia"/>
                <w:b/>
                <w:bCs/>
                <w:color w:val="000000" w:themeColor="text1"/>
                <w:sz w:val="24"/>
                <w:lang w:val="en-US" w:eastAsia="zh-CN" w:bidi="ar"/>
                <w14:textFill>
                  <w14:solidFill>
                    <w14:schemeClr w14:val="tx1"/>
                  </w14:solidFill>
                </w14:textFill>
              </w:rPr>
              <w:t>4</w:t>
            </w:r>
            <w:r>
              <w:rPr>
                <w:rFonts w:hint="eastAsia"/>
                <w:b/>
                <w:bCs/>
                <w:color w:val="000000" w:themeColor="text1"/>
                <w:sz w:val="24"/>
                <w:lang w:eastAsia="zh-CN" w:bidi="ar"/>
                <w14:textFill>
                  <w14:solidFill>
                    <w14:schemeClr w14:val="tx1"/>
                  </w14:solidFill>
                </w14:textFill>
              </w:rPr>
              <w:t>）本次改建工艺流程与现有项目工艺流程对照</w:t>
            </w:r>
          </w:p>
          <w:p w14:paraId="2DCDE3B5">
            <w:pPr>
              <w:pStyle w:val="3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本项目改建部分与</w:t>
            </w:r>
            <w:r>
              <w:rPr>
                <w:rFonts w:hint="eastAsia" w:cs="Times New Roman"/>
                <w:color w:val="000000" w:themeColor="text1"/>
                <w:sz w:val="24"/>
                <w:szCs w:val="24"/>
                <w:lang w:eastAsia="zh-CN"/>
                <w14:textFill>
                  <w14:solidFill>
                    <w14:schemeClr w14:val="tx1"/>
                  </w14:solidFill>
                </w14:textFill>
              </w:rPr>
              <w:t>现有项目</w:t>
            </w:r>
            <w:r>
              <w:rPr>
                <w:rFonts w:hint="eastAsia" w:ascii="Times New Roman" w:hAnsi="Times New Roman" w:eastAsia="宋体" w:cs="Times New Roman"/>
                <w:color w:val="000000" w:themeColor="text1"/>
                <w:sz w:val="24"/>
                <w:szCs w:val="24"/>
                <w:lang w:eastAsia="zh-CN"/>
                <w14:textFill>
                  <w14:solidFill>
                    <w14:schemeClr w14:val="tx1"/>
                  </w14:solidFill>
                </w14:textFill>
              </w:rPr>
              <w:t>工艺流程对照如下图所示。</w:t>
            </w:r>
            <w:r>
              <w:rPr>
                <w:rFonts w:hint="eastAsia" w:ascii="Times New Roman" w:hAnsi="Times New Roman" w:eastAsia="宋体" w:cs="Times New Roman"/>
                <w:color w:val="000000" w:themeColor="text1"/>
                <w:sz w:val="24"/>
                <w:szCs w:val="24"/>
                <w:lang w:eastAsia="zh-CN"/>
                <w14:textFill>
                  <w14:solidFill>
                    <w14:schemeClr w14:val="tx1"/>
                  </w14:solidFill>
                </w14:textFill>
              </w:rPr>
              <w:br w:type="textWrapping"/>
            </w:r>
            <w:r>
              <w:rPr>
                <w:rFonts w:hint="eastAsia" w:ascii="Times New Roman" w:hAnsi="Times New Roman" w:eastAsia="宋体" w:cs="Times New Roman"/>
                <w:color w:val="000000" w:themeColor="text1"/>
                <w:sz w:val="24"/>
                <w:szCs w:val="24"/>
                <w:lang w:eastAsia="zh-CN"/>
                <w14:textFill>
                  <w14:solidFill>
                    <w14:schemeClr w14:val="tx1"/>
                  </w14:solidFill>
                </w14:textFill>
              </w:rPr>
              <w:br w:type="textWrapping"/>
            </w:r>
            <w:r>
              <w:rPr>
                <w:rFonts w:hint="eastAsia" w:ascii="Times New Roman" w:hAnsi="Times New Roman" w:eastAsia="宋体" w:cs="Times New Roman"/>
                <w:color w:val="000000" w:themeColor="text1"/>
                <w:sz w:val="24"/>
                <w:szCs w:val="24"/>
                <w:lang w:eastAsia="zh-CN"/>
                <w14:textFill>
                  <w14:solidFill>
                    <w14:schemeClr w14:val="tx1"/>
                  </w14:solidFill>
                </w14:textFill>
              </w:rPr>
              <w:br w:type="textWrapping"/>
            </w:r>
            <w:r>
              <w:rPr>
                <w:rFonts w:hint="eastAsia" w:ascii="Times New Roman" w:hAnsi="Times New Roman" w:eastAsia="宋体" w:cs="Times New Roman"/>
                <w:color w:val="000000" w:themeColor="text1"/>
                <w:sz w:val="24"/>
                <w:szCs w:val="24"/>
                <w:lang w:eastAsia="zh-CN"/>
                <w14:textFill>
                  <w14:solidFill>
                    <w14:schemeClr w14:val="tx1"/>
                  </w14:solidFill>
                </w14:textFill>
              </w:rPr>
              <w:br w:type="textWrapping"/>
            </w:r>
            <w:r>
              <w:rPr>
                <w:rFonts w:hint="eastAsia" w:ascii="Times New Roman" w:hAnsi="Times New Roman" w:eastAsia="宋体" w:cs="Times New Roman"/>
                <w:color w:val="000000" w:themeColor="text1"/>
                <w:sz w:val="24"/>
                <w:szCs w:val="24"/>
                <w:lang w:eastAsia="zh-CN"/>
                <w14:textFill>
                  <w14:solidFill>
                    <w14:schemeClr w14:val="tx1"/>
                  </w14:solidFill>
                </w14:textFill>
              </w:rPr>
              <w:br w:type="textWrapping"/>
            </w:r>
            <w:r>
              <w:rPr>
                <w:rFonts w:hint="eastAsia" w:ascii="Times New Roman" w:hAnsi="Times New Roman" w:eastAsia="宋体" w:cs="Times New Roman"/>
                <w:color w:val="000000" w:themeColor="text1"/>
                <w:sz w:val="24"/>
                <w:szCs w:val="24"/>
                <w:lang w:eastAsia="zh-CN"/>
                <w14:textFill>
                  <w14:solidFill>
                    <w14:schemeClr w14:val="tx1"/>
                  </w14:solidFill>
                </w14:textFill>
              </w:rPr>
              <w:br w:type="textWrapping"/>
            </w:r>
            <w:r>
              <w:rPr>
                <w:rFonts w:hint="eastAsia" w:ascii="Times New Roman" w:hAnsi="Times New Roman" w:eastAsia="宋体" w:cs="Times New Roman"/>
                <w:color w:val="000000" w:themeColor="text1"/>
                <w:sz w:val="24"/>
                <w:szCs w:val="24"/>
                <w:lang w:eastAsia="zh-CN"/>
                <w14:textFill>
                  <w14:solidFill>
                    <w14:schemeClr w14:val="tx1"/>
                  </w14:solidFill>
                </w14:textFill>
              </w:rPr>
              <w:br w:type="textWrapping"/>
            </w:r>
            <w:r>
              <w:rPr>
                <w:rFonts w:hint="eastAsia" w:ascii="Times New Roman" w:hAnsi="Times New Roman" w:eastAsia="宋体" w:cs="Times New Roman"/>
                <w:color w:val="000000" w:themeColor="text1"/>
                <w:sz w:val="24"/>
                <w:szCs w:val="24"/>
                <w:lang w:eastAsia="zh-CN"/>
                <w14:textFill>
                  <w14:solidFill>
                    <w14:schemeClr w14:val="tx1"/>
                  </w14:solidFill>
                </w14:textFill>
              </w:rPr>
              <w:br w:type="textWrapping"/>
            </w:r>
            <w:r>
              <w:rPr>
                <w:rFonts w:hint="eastAsia" w:ascii="Times New Roman" w:hAnsi="Times New Roman" w:eastAsia="宋体" w:cs="Times New Roman"/>
                <w:color w:val="000000" w:themeColor="text1"/>
                <w:sz w:val="24"/>
                <w:szCs w:val="24"/>
                <w:lang w:eastAsia="zh-CN"/>
                <w14:textFill>
                  <w14:solidFill>
                    <w14:schemeClr w14:val="tx1"/>
                  </w14:solidFill>
                </w14:textFill>
              </w:rPr>
              <w:br w:type="textWrapping"/>
            </w:r>
            <w:r>
              <w:rPr>
                <w:rFonts w:hint="eastAsia" w:ascii="Times New Roman" w:hAnsi="Times New Roman" w:eastAsia="宋体" w:cs="Times New Roman"/>
                <w:color w:val="000000" w:themeColor="text1"/>
                <w:sz w:val="24"/>
                <w:szCs w:val="24"/>
                <w:lang w:eastAsia="zh-CN"/>
                <w14:textFill>
                  <w14:solidFill>
                    <w14:schemeClr w14:val="tx1"/>
                  </w14:solidFill>
                </w14:textFill>
              </w:rPr>
              <w:br w:type="textWrapping"/>
            </w:r>
            <w:r>
              <w:rPr>
                <w:rFonts w:hint="eastAsia" w:ascii="Times New Roman" w:hAnsi="Times New Roman" w:eastAsia="宋体" w:cs="Times New Roman"/>
                <w:color w:val="000000" w:themeColor="text1"/>
                <w:sz w:val="24"/>
                <w:szCs w:val="24"/>
                <w:lang w:eastAsia="zh-CN"/>
                <w14:textFill>
                  <w14:solidFill>
                    <w14:schemeClr w14:val="tx1"/>
                  </w14:solidFill>
                </w14:textFill>
              </w:rPr>
              <w:br w:type="textWrapping"/>
            </w:r>
            <w:r>
              <w:rPr>
                <w:rFonts w:hint="eastAsia" w:ascii="Times New Roman" w:hAnsi="Times New Roman" w:eastAsia="宋体" w:cs="Times New Roman"/>
                <w:color w:val="000000" w:themeColor="text1"/>
                <w:sz w:val="24"/>
                <w:szCs w:val="24"/>
                <w:lang w:eastAsia="zh-CN"/>
                <w14:textFill>
                  <w14:solidFill>
                    <w14:schemeClr w14:val="tx1"/>
                  </w14:solidFill>
                </w14:textFill>
              </w:rPr>
              <w:br w:type="textWrapping"/>
            </w:r>
            <w:r>
              <w:rPr>
                <w:rFonts w:hint="eastAsia" w:ascii="Times New Roman" w:hAnsi="Times New Roman" w:eastAsia="宋体" w:cs="Times New Roman"/>
                <w:color w:val="000000" w:themeColor="text1"/>
                <w:sz w:val="24"/>
                <w:szCs w:val="24"/>
                <w:lang w:eastAsia="zh-CN"/>
                <w14:textFill>
                  <w14:solidFill>
                    <w14:schemeClr w14:val="tx1"/>
                  </w14:solidFill>
                </w14:textFill>
              </w:rPr>
              <w:br w:type="textWrapping"/>
            </w:r>
            <w:r>
              <w:rPr>
                <w:rFonts w:hint="eastAsia" w:ascii="Times New Roman" w:hAnsi="Times New Roman" w:eastAsia="宋体" w:cs="Times New Roman"/>
                <w:color w:val="000000" w:themeColor="text1"/>
                <w:sz w:val="24"/>
                <w:szCs w:val="24"/>
                <w:lang w:eastAsia="zh-CN"/>
                <w14:textFill>
                  <w14:solidFill>
                    <w14:schemeClr w14:val="tx1"/>
                  </w14:solidFill>
                </w14:textFill>
              </w:rPr>
              <w:br w:type="textWrapping"/>
            </w:r>
            <w:r>
              <w:rPr>
                <w:rFonts w:hint="eastAsia" w:ascii="Times New Roman" w:hAnsi="Times New Roman" w:eastAsia="宋体" w:cs="Times New Roman"/>
                <w:color w:val="000000" w:themeColor="text1"/>
                <w:sz w:val="24"/>
                <w:szCs w:val="24"/>
                <w:lang w:eastAsia="zh-CN"/>
                <w14:textFill>
                  <w14:solidFill>
                    <w14:schemeClr w14:val="tx1"/>
                  </w14:solidFill>
                </w14:textFill>
              </w:rPr>
              <w:br w:type="textWrapping"/>
            </w:r>
            <w:r>
              <w:rPr>
                <w:rFonts w:hint="eastAsia" w:ascii="Times New Roman" w:hAnsi="Times New Roman" w:eastAsia="宋体" w:cs="Times New Roman"/>
                <w:color w:val="000000" w:themeColor="text1"/>
                <w:sz w:val="24"/>
                <w:szCs w:val="24"/>
                <w:lang w:eastAsia="zh-CN"/>
                <w14:textFill>
                  <w14:solidFill>
                    <w14:schemeClr w14:val="tx1"/>
                  </w14:solidFill>
                </w14:textFill>
              </w:rPr>
              <w:br w:type="textWrapping"/>
            </w:r>
          </w:p>
          <w:p w14:paraId="6A6B190A">
            <w:pPr>
              <w:pStyle w:val="133"/>
              <w:pageBreakBefore w:val="0"/>
              <w:kinsoku/>
              <w:overflowPunct/>
              <w:topLinePunct w:val="0"/>
              <w:bidi w:val="0"/>
              <w:spacing w:after="0"/>
              <w:ind w:left="0" w:leftChars="0" w:right="0"/>
              <w:rPr>
                <w:rFonts w:hint="eastAsia"/>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object>
                <v:shape id="_x0000_i1033" o:spt="75" type="#_x0000_t75" style="height:492.75pt;width:382.5pt;" o:ole="t" filled="f" o:preferrelative="t" stroked="f" coordsize="21600,21600">
                  <v:path/>
                  <v:fill on="f" focussize="0,0"/>
                  <v:stroke on="f"/>
                  <v:imagedata r:id="rId26" o:title=""/>
                  <o:lock v:ext="edit" aspectratio="f"/>
                  <w10:wrap type="none"/>
                  <w10:anchorlock/>
                </v:shape>
                <o:OLEObject Type="Embed" ProgID="Visio.Drawing.11" ShapeID="_x0000_i1033" DrawAspect="Content" ObjectID="_1468075733" r:id="rId25">
                  <o:LockedField>false</o:LockedField>
                </o:OLEObject>
              </w:object>
            </w:r>
          </w:p>
          <w:p w14:paraId="0F52ABCC">
            <w:pPr>
              <w:pStyle w:val="133"/>
              <w:pageBreakBefore w:val="0"/>
              <w:kinsoku/>
              <w:overflowPunct/>
              <w:topLinePunct w:val="0"/>
              <w:bidi w:val="0"/>
              <w:spacing w:after="0"/>
              <w:ind w:left="0" w:leftChars="0" w:right="0"/>
              <w:rPr>
                <w:color w:val="000000" w:themeColor="text1"/>
                <w14:textFill>
                  <w14:solidFill>
                    <w14:schemeClr w14:val="tx1"/>
                  </w14:solidFill>
                </w14:textFill>
              </w:rPr>
            </w:pPr>
            <w:r>
              <w:rPr>
                <w:color w:val="000000" w:themeColor="text1"/>
                <w14:textFill>
                  <w14:solidFill>
                    <w14:schemeClr w14:val="tx1"/>
                  </w14:solidFill>
                </w14:textFill>
              </w:rPr>
              <w:t>图2-</w:t>
            </w:r>
            <w:r>
              <w:rPr>
                <w:rFonts w:hint="eastAsia"/>
                <w:color w:val="000000" w:themeColor="text1"/>
                <w:lang w:val="en-US" w:eastAsia="zh-CN"/>
                <w14:textFill>
                  <w14:solidFill>
                    <w14:schemeClr w14:val="tx1"/>
                  </w14:solidFill>
                </w14:textFill>
              </w:rPr>
              <w:t>9</w:t>
            </w:r>
            <w:r>
              <w:rPr>
                <w:color w:val="000000" w:themeColor="text1"/>
                <w14:textFill>
                  <w14:solidFill>
                    <w14:schemeClr w14:val="tx1"/>
                  </w14:solidFill>
                </w14:textFill>
              </w:rPr>
              <w:t xml:space="preserve">  </w:t>
            </w:r>
            <w:r>
              <w:rPr>
                <w:rFonts w:hint="eastAsia"/>
                <w:color w:val="000000" w:themeColor="text1"/>
                <w:lang w:eastAsia="zh-CN"/>
                <w14:textFill>
                  <w14:solidFill>
                    <w14:schemeClr w14:val="tx1"/>
                  </w14:solidFill>
                </w14:textFill>
              </w:rPr>
              <w:t>现有项目</w:t>
            </w:r>
            <w:r>
              <w:rPr>
                <w:color w:val="000000" w:themeColor="text1"/>
                <w14:textFill>
                  <w14:solidFill>
                    <w14:schemeClr w14:val="tx1"/>
                  </w14:solidFill>
                </w14:textFill>
              </w:rPr>
              <w:t>生产工艺流程</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产污节点</w:t>
            </w:r>
            <w:r>
              <w:rPr>
                <w:rFonts w:hint="eastAsia"/>
                <w:color w:val="000000" w:themeColor="text1"/>
                <w:lang w:eastAsia="zh-CN"/>
                <w14:textFill>
                  <w14:solidFill>
                    <w14:schemeClr w14:val="tx1"/>
                  </w14:solidFill>
                </w14:textFill>
              </w:rPr>
              <w:t>以及本项目改建部分</w:t>
            </w:r>
            <w:r>
              <w:rPr>
                <w:color w:val="000000" w:themeColor="text1"/>
                <w14:textFill>
                  <w14:solidFill>
                    <w14:schemeClr w14:val="tx1"/>
                  </w14:solidFill>
                </w14:textFill>
              </w:rPr>
              <w:t>示意图</w:t>
            </w:r>
            <w:bookmarkEnd w:id="6"/>
          </w:p>
          <w:p w14:paraId="4B1ED366">
            <w:pPr>
              <w:pStyle w:val="46"/>
              <w:ind w:left="0" w:leftChars="0" w:firstLine="0" w:firstLineChars="0"/>
              <w:jc w:val="both"/>
              <w:rPr>
                <w:color w:val="000000" w:themeColor="text1"/>
                <w14:textFill>
                  <w14:solidFill>
                    <w14:schemeClr w14:val="tx1"/>
                  </w14:solidFill>
                </w14:textFill>
              </w:rPr>
            </w:pP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p>
        </w:tc>
      </w:tr>
      <w:tr w14:paraId="13AB04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56" w:hRule="atLeast"/>
          <w:jc w:val="center"/>
        </w:trPr>
        <w:tc>
          <w:tcPr>
            <w:tcW w:w="723" w:type="dxa"/>
            <w:vAlign w:val="center"/>
          </w:tcPr>
          <w:p w14:paraId="55911430">
            <w:pPr>
              <w:pStyle w:val="29"/>
              <w:keepNext w:val="0"/>
              <w:keepLines w:val="0"/>
              <w:pageBreakBefore w:val="0"/>
              <w:widowControl w:val="0"/>
              <w:kinsoku/>
              <w:wordWrap w:val="0"/>
              <w:overflowPunct/>
              <w:topLinePunct w:val="0"/>
              <w:autoSpaceDE/>
              <w:autoSpaceDN/>
              <w:bidi w:val="0"/>
              <w:adjustRightInd w:val="0"/>
              <w:snapToGrid w:val="0"/>
              <w:spacing w:before="0" w:beforeAutospacing="0" w:after="0" w:afterAutospacing="0"/>
              <w:ind w:left="0" w:leftChars="0" w:right="0"/>
              <w:jc w:val="center"/>
              <w:textAlignment w:val="auto"/>
              <w:rPr>
                <w:rFonts w:ascii="Times New Roman" w:hAnsi="Times New Roman"/>
                <w:bCs/>
                <w:color w:val="000000" w:themeColor="text1"/>
                <w:kern w:val="2"/>
                <w:szCs w:val="24"/>
                <w14:textFill>
                  <w14:solidFill>
                    <w14:schemeClr w14:val="tx1"/>
                  </w14:solidFill>
                </w14:textFill>
              </w:rPr>
            </w:pPr>
          </w:p>
          <w:p w14:paraId="41434308">
            <w:pPr>
              <w:pStyle w:val="29"/>
              <w:keepNext w:val="0"/>
              <w:keepLines w:val="0"/>
              <w:pageBreakBefore w:val="0"/>
              <w:widowControl w:val="0"/>
              <w:kinsoku/>
              <w:wordWrap w:val="0"/>
              <w:overflowPunct/>
              <w:topLinePunct w:val="0"/>
              <w:autoSpaceDE/>
              <w:autoSpaceDN/>
              <w:bidi w:val="0"/>
              <w:adjustRightInd w:val="0"/>
              <w:snapToGrid w:val="0"/>
              <w:spacing w:before="0" w:beforeAutospacing="0" w:after="0" w:afterAutospacing="0"/>
              <w:ind w:left="0" w:leftChars="0" w:right="0"/>
              <w:jc w:val="center"/>
              <w:textAlignment w:val="auto"/>
              <w:rPr>
                <w:rFonts w:ascii="Times New Roman" w:hAnsi="Times New Roman"/>
                <w:bCs/>
                <w:color w:val="000000" w:themeColor="text1"/>
                <w:kern w:val="2"/>
                <w:szCs w:val="24"/>
                <w14:textFill>
                  <w14:solidFill>
                    <w14:schemeClr w14:val="tx1"/>
                  </w14:solidFill>
                </w14:textFill>
              </w:rPr>
            </w:pPr>
          </w:p>
          <w:p w14:paraId="510CB125">
            <w:pPr>
              <w:pStyle w:val="29"/>
              <w:keepNext w:val="0"/>
              <w:keepLines w:val="0"/>
              <w:pageBreakBefore w:val="0"/>
              <w:widowControl w:val="0"/>
              <w:kinsoku/>
              <w:wordWrap w:val="0"/>
              <w:overflowPunct/>
              <w:topLinePunct w:val="0"/>
              <w:autoSpaceDE/>
              <w:autoSpaceDN/>
              <w:bidi w:val="0"/>
              <w:adjustRightInd w:val="0"/>
              <w:snapToGrid w:val="0"/>
              <w:spacing w:before="0" w:beforeAutospacing="0" w:after="0" w:afterAutospacing="0"/>
              <w:ind w:left="0" w:leftChars="0" w:right="0"/>
              <w:jc w:val="center"/>
              <w:textAlignment w:val="auto"/>
              <w:rPr>
                <w:rFonts w:ascii="Times New Roman" w:hAnsi="Times New Roman"/>
                <w:bCs/>
                <w:color w:val="000000" w:themeColor="text1"/>
                <w:kern w:val="2"/>
                <w:szCs w:val="24"/>
                <w14:textFill>
                  <w14:solidFill>
                    <w14:schemeClr w14:val="tx1"/>
                  </w14:solidFill>
                </w14:textFill>
              </w:rPr>
            </w:pPr>
          </w:p>
          <w:p w14:paraId="793083E1">
            <w:pPr>
              <w:pStyle w:val="29"/>
              <w:keepNext w:val="0"/>
              <w:keepLines w:val="0"/>
              <w:pageBreakBefore w:val="0"/>
              <w:widowControl w:val="0"/>
              <w:kinsoku/>
              <w:wordWrap w:val="0"/>
              <w:overflowPunct/>
              <w:topLinePunct w:val="0"/>
              <w:autoSpaceDE/>
              <w:autoSpaceDN/>
              <w:bidi w:val="0"/>
              <w:adjustRightInd w:val="0"/>
              <w:snapToGrid w:val="0"/>
              <w:spacing w:before="0" w:beforeAutospacing="0" w:after="0" w:afterAutospacing="0"/>
              <w:ind w:left="0" w:leftChars="0" w:right="0"/>
              <w:jc w:val="center"/>
              <w:textAlignment w:val="auto"/>
              <w:rPr>
                <w:rFonts w:ascii="Times New Roman" w:hAnsi="Times New Roman"/>
                <w:bCs/>
                <w:color w:val="000000" w:themeColor="text1"/>
                <w:kern w:val="2"/>
                <w:szCs w:val="24"/>
                <w14:textFill>
                  <w14:solidFill>
                    <w14:schemeClr w14:val="tx1"/>
                  </w14:solidFill>
                </w14:textFill>
              </w:rPr>
            </w:pPr>
          </w:p>
          <w:p w14:paraId="13D8436F">
            <w:pPr>
              <w:pStyle w:val="29"/>
              <w:keepNext w:val="0"/>
              <w:keepLines w:val="0"/>
              <w:pageBreakBefore w:val="0"/>
              <w:widowControl w:val="0"/>
              <w:kinsoku/>
              <w:wordWrap w:val="0"/>
              <w:overflowPunct/>
              <w:topLinePunct w:val="0"/>
              <w:autoSpaceDE/>
              <w:autoSpaceDN/>
              <w:bidi w:val="0"/>
              <w:adjustRightInd w:val="0"/>
              <w:snapToGrid w:val="0"/>
              <w:spacing w:before="0" w:beforeAutospacing="0" w:after="0" w:afterAutospacing="0"/>
              <w:ind w:left="0" w:leftChars="0" w:right="0"/>
              <w:jc w:val="center"/>
              <w:textAlignment w:val="auto"/>
              <w:rPr>
                <w:rFonts w:ascii="Times New Roman" w:hAnsi="Times New Roman"/>
                <w:color w:val="000000" w:themeColor="text1"/>
                <w:sz w:val="21"/>
                <w:szCs w:val="21"/>
                <w14:textFill>
                  <w14:solidFill>
                    <w14:schemeClr w14:val="tx1"/>
                  </w14:solidFill>
                </w14:textFill>
              </w:rPr>
            </w:pPr>
            <w:r>
              <w:rPr>
                <w:rFonts w:ascii="Times New Roman" w:hAnsi="Times New Roman"/>
                <w:bCs/>
                <w:color w:val="000000" w:themeColor="text1"/>
                <w:kern w:val="2"/>
                <w:szCs w:val="24"/>
                <w14:textFill>
                  <w14:solidFill>
                    <w14:schemeClr w14:val="tx1"/>
                  </w14:solidFill>
                </w14:textFill>
              </w:rPr>
              <w:t>与项目有关的原有环境污染问题</w:t>
            </w:r>
          </w:p>
        </w:tc>
        <w:tc>
          <w:tcPr>
            <w:tcW w:w="8635" w:type="dxa"/>
          </w:tcPr>
          <w:p w14:paraId="773FE2DE">
            <w:pPr>
              <w:pStyle w:val="51"/>
              <w:pageBreakBefore w:val="0"/>
              <w:kinsoku/>
              <w:overflowPunct/>
              <w:topLinePunct w:val="0"/>
              <w:bidi w:val="0"/>
              <w:ind w:left="0" w:leftChars="0" w:right="0" w:firstLine="48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峨山县文邦</w:t>
            </w:r>
            <w:r>
              <w:rPr>
                <w:rFonts w:hint="default" w:cs="Times New Roman"/>
                <w:color w:val="000000" w:themeColor="text1"/>
                <w:lang w:val="en-US" w:eastAsia="zh-CN"/>
                <w14:textFill>
                  <w14:solidFill>
                    <w14:schemeClr w14:val="tx1"/>
                  </w14:solidFill>
                </w14:textFill>
              </w:rPr>
              <w:t>包装制品有限公司</w:t>
            </w:r>
            <w:r>
              <w:rPr>
                <w:rFonts w:hint="eastAsia" w:cs="Times New Roman"/>
                <w:color w:val="000000" w:themeColor="text1"/>
                <w:lang w:val="en-US" w:eastAsia="zh-CN"/>
                <w14:textFill>
                  <w14:solidFill>
                    <w14:schemeClr w14:val="tx1"/>
                  </w14:solidFill>
                </w14:textFill>
              </w:rPr>
              <w:t>成立于2013年01月18日，位于峨山县双江街道办事处石花村，公司现有《峨山县文邦</w:t>
            </w:r>
            <w:r>
              <w:rPr>
                <w:rFonts w:hint="default" w:cs="Times New Roman"/>
                <w:color w:val="000000" w:themeColor="text1"/>
                <w:lang w:val="en-US" w:eastAsia="zh-CN"/>
                <w14:textFill>
                  <w14:solidFill>
                    <w14:schemeClr w14:val="tx1"/>
                  </w14:solidFill>
                </w14:textFill>
              </w:rPr>
              <w:t>包装制品有限公司</w:t>
            </w:r>
            <w:r>
              <w:rPr>
                <w:rFonts w:hint="eastAsia" w:cs="Times New Roman"/>
                <w:color w:val="000000" w:themeColor="text1"/>
                <w:lang w:val="en-US" w:eastAsia="zh-CN"/>
                <w14:textFill>
                  <w14:solidFill>
                    <w14:schemeClr w14:val="tx1"/>
                  </w14:solidFill>
                </w14:textFill>
              </w:rPr>
              <w:t>年产8万立方米建筑泡沫板材、50万件（套）泡沫包装制品技改搬迁项目》（以下简称“现有项目”）。</w:t>
            </w:r>
          </w:p>
          <w:p w14:paraId="70B6005A">
            <w:pPr>
              <w:pStyle w:val="51"/>
              <w:pageBreakBefore w:val="0"/>
              <w:kinsoku/>
              <w:overflowPunct/>
              <w:topLinePunct w:val="0"/>
              <w:bidi w:val="0"/>
              <w:ind w:left="0" w:leftChars="0" w:right="0" w:firstLine="48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根据调查，“现有项目”于2017年7月26日取得峨山县工业商贸和科技信息局《投资项目备案证》（备案项目编码：175304262920012），并于2017年12月15日取得峨山县环境保护局（现玉溪市生态环境局峨山分局）《关于峨山县文邦</w:t>
            </w:r>
            <w:r>
              <w:rPr>
                <w:rFonts w:hint="default" w:cs="Times New Roman"/>
                <w:color w:val="000000" w:themeColor="text1"/>
                <w:lang w:val="en-US" w:eastAsia="zh-CN"/>
                <w14:textFill>
                  <w14:solidFill>
                    <w14:schemeClr w14:val="tx1"/>
                  </w14:solidFill>
                </w14:textFill>
              </w:rPr>
              <w:t>包装制品有限公司</w:t>
            </w:r>
            <w:r>
              <w:rPr>
                <w:rFonts w:hint="eastAsia" w:cs="Times New Roman"/>
                <w:color w:val="000000" w:themeColor="text1"/>
                <w:lang w:val="en-US" w:eastAsia="zh-CN"/>
                <w14:textFill>
                  <w14:solidFill>
                    <w14:schemeClr w14:val="tx1"/>
                  </w14:solidFill>
                </w14:textFill>
              </w:rPr>
              <w:t>年产8万立方米建筑泡沫板材、50万件（套）泡沫包装制品技改搬迁项目环境影响报告表的批复》（</w:t>
            </w:r>
            <w:r>
              <w:rPr>
                <w:rFonts w:hint="eastAsia"/>
                <w:color w:val="000000" w:themeColor="text1"/>
                <w:sz w:val="24"/>
                <w:lang w:val="en-US" w:eastAsia="zh-CN"/>
                <w14:textFill>
                  <w14:solidFill>
                    <w14:schemeClr w14:val="tx1"/>
                  </w14:solidFill>
                </w14:textFill>
              </w:rPr>
              <w:t>峨山彝族自治县环境保护局文件，峨环审〔2017〕25号</w:t>
            </w:r>
            <w:r>
              <w:rPr>
                <w:rFonts w:hint="eastAsia" w:cs="Times New Roman"/>
                <w:color w:val="000000" w:themeColor="text1"/>
                <w:lang w:val="en-US" w:eastAsia="zh-CN"/>
                <w14:textFill>
                  <w14:solidFill>
                    <w14:schemeClr w14:val="tx1"/>
                  </w14:solidFill>
                </w14:textFill>
              </w:rPr>
              <w:t>）。“现有项目”委托编制《峨山县文邦</w:t>
            </w:r>
            <w:r>
              <w:rPr>
                <w:rFonts w:hint="default" w:cs="Times New Roman"/>
                <w:color w:val="000000" w:themeColor="text1"/>
                <w:lang w:val="en-US" w:eastAsia="zh-CN"/>
                <w14:textFill>
                  <w14:solidFill>
                    <w14:schemeClr w14:val="tx1"/>
                  </w14:solidFill>
                </w14:textFill>
              </w:rPr>
              <w:t>包装制品有限公司</w:t>
            </w:r>
            <w:r>
              <w:rPr>
                <w:rFonts w:hint="eastAsia" w:cs="Times New Roman"/>
                <w:color w:val="000000" w:themeColor="text1"/>
                <w:lang w:val="en-US" w:eastAsia="zh-CN"/>
                <w14:textFill>
                  <w14:solidFill>
                    <w14:schemeClr w14:val="tx1"/>
                  </w14:solidFill>
                </w14:textFill>
              </w:rPr>
              <w:t>年产8万立方米建筑泡沫板材、50万件（套）泡沫包装制品技改搬迁项目竣工环境保护验收监测报告表》，</w:t>
            </w:r>
            <w:r>
              <w:rPr>
                <w:rFonts w:hint="eastAsia"/>
                <w:color w:val="000000" w:themeColor="text1"/>
                <w:sz w:val="24"/>
                <w:lang w:val="en-US" w:eastAsia="zh-CN"/>
                <w14:textFill>
                  <w14:solidFill>
                    <w14:schemeClr w14:val="tx1"/>
                  </w14:solidFill>
                </w14:textFill>
              </w:rPr>
              <w:t>公司于2021年3月10日取得验收意见，并于2021年3月19日进行竣工环境保护验收公示后填报全国建设项目竣工环境保护验收信息系统，完成自主验收</w:t>
            </w:r>
            <w:r>
              <w:rPr>
                <w:rFonts w:hint="eastAsia" w:cs="Times New Roman"/>
                <w:color w:val="000000" w:themeColor="text1"/>
                <w:lang w:val="en-US" w:eastAsia="zh-CN"/>
                <w14:textFill>
                  <w14:solidFill>
                    <w14:schemeClr w14:val="tx1"/>
                  </w14:solidFill>
                </w14:textFill>
              </w:rPr>
              <w:t>（建设单位由于市场原因，仅建设泡沫板材生产线，泡沫包装制品生产线未建设，验收仅针对进行泡沫板材生产线验收）。“现有项目”于2025年4月15日于全国排污许可证管理信息平台-公开端完成登记延续并取得《固定污染源排污许可登记回执》（登记编号：91530426059499870K001X）。并于2024年完成应急预案修编并于2024年7月11日取得《企业事业单位突发环境事件应急预案备案表》（备案编号530426-2024-020-L）。</w:t>
            </w:r>
          </w:p>
          <w:p w14:paraId="6B38C5F0">
            <w:pPr>
              <w:pStyle w:val="51"/>
              <w:pageBreakBefore w:val="0"/>
              <w:kinsoku/>
              <w:overflowPunct/>
              <w:topLinePunct w:val="0"/>
              <w:bidi w:val="0"/>
              <w:ind w:left="0" w:leftChars="0" w:right="0" w:firstLine="48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现有项目各项环保手续完备。</w:t>
            </w:r>
          </w:p>
          <w:p w14:paraId="34D181C6">
            <w:pPr>
              <w:adjustRightIn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w:t>
            </w:r>
            <w:r>
              <w:rPr>
                <w:rFonts w:hint="eastAsia"/>
                <w:b/>
                <w:color w:val="000000" w:themeColor="text1"/>
                <w:sz w:val="24"/>
                <w:lang w:eastAsia="zh-CN"/>
                <w14:textFill>
                  <w14:solidFill>
                    <w14:schemeClr w14:val="tx1"/>
                  </w14:solidFill>
                </w14:textFill>
              </w:rPr>
              <w:t>现有项目</w:t>
            </w:r>
            <w:r>
              <w:rPr>
                <w:b/>
                <w:color w:val="000000" w:themeColor="text1"/>
                <w:sz w:val="24"/>
                <w14:textFill>
                  <w14:solidFill>
                    <w14:schemeClr w14:val="tx1"/>
                  </w14:solidFill>
                </w14:textFill>
              </w:rPr>
              <w:t>主要工程内容</w:t>
            </w:r>
          </w:p>
          <w:p w14:paraId="1E4B3AB4">
            <w:pPr>
              <w:widowControl/>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公司</w:t>
            </w:r>
            <w:r>
              <w:rPr>
                <w:rFonts w:hint="eastAsia"/>
                <w:color w:val="000000" w:themeColor="text1"/>
                <w:sz w:val="24"/>
                <w:lang w:eastAsia="zh-CN"/>
                <w14:textFill>
                  <w14:solidFill>
                    <w14:schemeClr w14:val="tx1"/>
                  </w14:solidFill>
                </w14:textFill>
              </w:rPr>
              <w:t>现有项目</w:t>
            </w:r>
            <w:r>
              <w:rPr>
                <w:bCs/>
                <w:color w:val="000000" w:themeColor="text1"/>
                <w:sz w:val="24"/>
                <w14:textFill>
                  <w14:solidFill>
                    <w14:schemeClr w14:val="tx1"/>
                  </w14:solidFill>
                </w14:textFill>
              </w:rPr>
              <w:t>建设内容见</w:t>
            </w:r>
            <w:r>
              <w:rPr>
                <w:rFonts w:hint="eastAsia"/>
                <w:bCs/>
                <w:color w:val="000000" w:themeColor="text1"/>
                <w:sz w:val="24"/>
                <w:lang w:eastAsia="zh-CN"/>
                <w14:textFill>
                  <w14:solidFill>
                    <w14:schemeClr w14:val="tx1"/>
                  </w14:solidFill>
                </w14:textFill>
              </w:rPr>
              <w:t>上</w:t>
            </w:r>
            <w:r>
              <w:rPr>
                <w:bCs/>
                <w:color w:val="000000" w:themeColor="text1"/>
                <w:sz w:val="24"/>
                <w14:textFill>
                  <w14:solidFill>
                    <w14:schemeClr w14:val="tx1"/>
                  </w14:solidFill>
                </w14:textFill>
              </w:rPr>
              <w:t>表</w:t>
            </w:r>
            <w:r>
              <w:rPr>
                <w:rFonts w:hint="eastAsia"/>
                <w:bCs/>
                <w:color w:val="000000" w:themeColor="text1"/>
                <w:sz w:val="24"/>
                <w:lang w:val="en-US" w:eastAsia="zh-CN"/>
                <w14:textFill>
                  <w14:solidFill>
                    <w14:schemeClr w14:val="tx1"/>
                  </w14:solidFill>
                </w14:textFill>
              </w:rPr>
              <w:t>2-2</w:t>
            </w:r>
            <w:r>
              <w:rPr>
                <w:bCs/>
                <w:color w:val="000000" w:themeColor="text1"/>
                <w:sz w:val="24"/>
                <w14:textFill>
                  <w14:solidFill>
                    <w14:schemeClr w14:val="tx1"/>
                  </w14:solidFill>
                </w14:textFill>
              </w:rPr>
              <w:t>。</w:t>
            </w:r>
          </w:p>
          <w:p w14:paraId="7DEEE10F">
            <w:pPr>
              <w:widowControl/>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3</w:t>
            </w:r>
            <w:r>
              <w:rPr>
                <w:b/>
                <w:color w:val="000000" w:themeColor="text1"/>
                <w:sz w:val="24"/>
                <w14:textFill>
                  <w14:solidFill>
                    <w14:schemeClr w14:val="tx1"/>
                  </w14:solidFill>
                </w14:textFill>
              </w:rPr>
              <w:t>、产品方案</w:t>
            </w:r>
          </w:p>
          <w:p w14:paraId="46F86E1D">
            <w:pPr>
              <w:spacing w:line="360" w:lineRule="auto"/>
              <w:ind w:firstLine="585"/>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现有项目年产</w:t>
            </w:r>
            <w:r>
              <w:rPr>
                <w:rFonts w:hint="eastAsia"/>
                <w:color w:val="000000" w:themeColor="text1"/>
                <w:sz w:val="24"/>
                <w:lang w:val="en-US" w:eastAsia="zh-CN"/>
                <w14:textFill>
                  <w14:solidFill>
                    <w14:schemeClr w14:val="tx1"/>
                  </w14:solidFill>
                </w14:textFill>
              </w:rPr>
              <w:t>8万立方米建筑泡沫板材</w:t>
            </w:r>
            <w:r>
              <w:rPr>
                <w:color w:val="000000" w:themeColor="text1"/>
                <w:sz w:val="24"/>
                <w14:textFill>
                  <w14:solidFill>
                    <w14:schemeClr w14:val="tx1"/>
                  </w14:solidFill>
                </w14:textFill>
              </w:rPr>
              <w:t>。</w:t>
            </w:r>
          </w:p>
          <w:p w14:paraId="35FBF5C6">
            <w:pPr>
              <w:spacing w:line="360" w:lineRule="auto"/>
              <w:ind w:firstLine="585"/>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建设单位由于市场原因，仅建设泡沫板材生产线，泡沫包装制品生产线未建设。</w:t>
            </w:r>
          </w:p>
          <w:p w14:paraId="4CCA4292">
            <w:pPr>
              <w:spacing w:line="360" w:lineRule="auto"/>
              <w:ind w:firstLine="585"/>
              <w:rPr>
                <w:b/>
                <w:color w:val="000000" w:themeColor="text1"/>
                <w:sz w:val="24"/>
                <w14:textFill>
                  <w14:solidFill>
                    <w14:schemeClr w14:val="tx1"/>
                  </w14:solidFill>
                </w14:textFill>
              </w:rPr>
            </w:pPr>
            <w:r>
              <w:rPr>
                <w:color w:val="000000" w:themeColor="text1"/>
                <w:sz w:val="24"/>
                <w14:textFill>
                  <w14:solidFill>
                    <w14:schemeClr w14:val="tx1"/>
                  </w14:solidFill>
                </w14:textFill>
              </w:rPr>
              <w:t>项目产品方案见</w:t>
            </w:r>
            <w:r>
              <w:rPr>
                <w:rFonts w:hint="eastAsia"/>
                <w:color w:val="000000" w:themeColor="text1"/>
                <w:sz w:val="24"/>
                <w:lang w:eastAsia="zh-CN"/>
                <w14:textFill>
                  <w14:solidFill>
                    <w14:schemeClr w14:val="tx1"/>
                  </w14:solidFill>
                </w14:textFill>
              </w:rPr>
              <w:t>下</w:t>
            </w:r>
            <w:r>
              <w:rPr>
                <w:color w:val="000000" w:themeColor="text1"/>
                <w:sz w:val="24"/>
                <w14:textFill>
                  <w14:solidFill>
                    <w14:schemeClr w14:val="tx1"/>
                  </w14:solidFill>
                </w14:textFill>
              </w:rPr>
              <w:t>表。</w:t>
            </w:r>
          </w:p>
          <w:p w14:paraId="307C940F">
            <w:pPr>
              <w:autoSpaceDE w:val="0"/>
              <w:autoSpaceDN w:val="0"/>
              <w:adjustRightInd w:val="0"/>
              <w:ind w:firstLine="422" w:firstLineChars="20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表2-</w:t>
            </w:r>
            <w:r>
              <w:rPr>
                <w:rFonts w:hint="eastAsia"/>
                <w:b/>
                <w:color w:val="000000" w:themeColor="text1"/>
                <w:szCs w:val="21"/>
                <w:lang w:val="en-US" w:eastAsia="zh-CN"/>
                <w14:textFill>
                  <w14:solidFill>
                    <w14:schemeClr w14:val="tx1"/>
                  </w14:solidFill>
                </w14:textFill>
              </w:rPr>
              <w:t>9</w:t>
            </w:r>
            <w:r>
              <w:rPr>
                <w:b/>
                <w:color w:val="000000" w:themeColor="text1"/>
                <w:szCs w:val="21"/>
                <w14:textFill>
                  <w14:solidFill>
                    <w14:schemeClr w14:val="tx1"/>
                  </w14:solidFill>
                </w14:textFill>
              </w:rPr>
              <w:t xml:space="preserve">   项目产品方案</w:t>
            </w:r>
          </w:p>
          <w:tbl>
            <w:tblPr>
              <w:tblStyle w:val="33"/>
              <w:tblW w:w="4999"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3670"/>
              <w:gridCol w:w="4739"/>
            </w:tblGrid>
            <w:tr w14:paraId="6A4250D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182" w:type="pct"/>
                  <w:tcBorders>
                    <w:tl2br w:val="nil"/>
                    <w:tr2bl w:val="nil"/>
                  </w:tcBorders>
                  <w:noWrap w:val="0"/>
                  <w:vAlign w:val="center"/>
                </w:tcPr>
                <w:p w14:paraId="6E29C4A1">
                  <w:pPr>
                    <w:pStyle w:val="170"/>
                    <w:spacing w:line="240" w:lineRule="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主要产品类别</w:t>
                  </w:r>
                </w:p>
              </w:tc>
              <w:tc>
                <w:tcPr>
                  <w:tcW w:w="2817" w:type="pct"/>
                  <w:tcBorders>
                    <w:tl2br w:val="nil"/>
                    <w:tr2bl w:val="nil"/>
                  </w:tcBorders>
                  <w:noWrap w:val="0"/>
                  <w:vAlign w:val="center"/>
                </w:tcPr>
                <w:p w14:paraId="0AE0E77D">
                  <w:pPr>
                    <w:pStyle w:val="170"/>
                    <w:spacing w:line="240" w:lineRule="auto"/>
                    <w:rPr>
                      <w:rFonts w:hint="eastAsia" w:eastAsia="宋体"/>
                      <w:bCs/>
                      <w:color w:val="000000" w:themeColor="text1"/>
                      <w:sz w:val="21"/>
                      <w:szCs w:val="21"/>
                      <w:lang w:eastAsia="zh-CN"/>
                      <w14:textFill>
                        <w14:solidFill>
                          <w14:schemeClr w14:val="tx1"/>
                        </w14:solidFill>
                      </w14:textFill>
                    </w:rPr>
                  </w:pPr>
                  <w:r>
                    <w:rPr>
                      <w:bCs/>
                      <w:color w:val="000000" w:themeColor="text1"/>
                      <w:sz w:val="21"/>
                      <w:szCs w:val="21"/>
                      <w14:textFill>
                        <w14:solidFill>
                          <w14:schemeClr w14:val="tx1"/>
                        </w14:solidFill>
                      </w14:textFill>
                    </w:rPr>
                    <w:t>产品</w:t>
                  </w:r>
                  <w:r>
                    <w:rPr>
                      <w:rFonts w:hint="eastAsia"/>
                      <w:bCs/>
                      <w:color w:val="000000" w:themeColor="text1"/>
                      <w:sz w:val="21"/>
                      <w:szCs w:val="21"/>
                      <w:lang w:eastAsia="zh-CN"/>
                      <w14:textFill>
                        <w14:solidFill>
                          <w14:schemeClr w14:val="tx1"/>
                        </w14:solidFill>
                      </w14:textFill>
                    </w:rPr>
                    <w:t>产量</w:t>
                  </w:r>
                </w:p>
              </w:tc>
            </w:tr>
            <w:tr w14:paraId="1EB4B37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2182" w:type="pct"/>
                  <w:tcBorders>
                    <w:tl2br w:val="nil"/>
                    <w:tr2bl w:val="nil"/>
                  </w:tcBorders>
                  <w:noWrap w:val="0"/>
                  <w:vAlign w:val="center"/>
                </w:tcPr>
                <w:p w14:paraId="23EC2D17">
                  <w:pPr>
                    <w:pStyle w:val="170"/>
                    <w:spacing w:line="240" w:lineRule="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建筑泡沫板材</w:t>
                  </w:r>
                </w:p>
              </w:tc>
              <w:tc>
                <w:tcPr>
                  <w:tcW w:w="2817" w:type="pct"/>
                  <w:tcBorders>
                    <w:tl2br w:val="nil"/>
                    <w:tr2bl w:val="nil"/>
                  </w:tcBorders>
                  <w:noWrap w:val="0"/>
                  <w:vAlign w:val="center"/>
                </w:tcPr>
                <w:p w14:paraId="7BAB9464">
                  <w:pPr>
                    <w:pStyle w:val="170"/>
                    <w:spacing w:line="240" w:lineRule="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8万立方米/年（约150t）</w:t>
                  </w:r>
                </w:p>
              </w:tc>
            </w:tr>
          </w:tbl>
          <w:p w14:paraId="28E564F5">
            <w:pPr>
              <w:widowControl/>
              <w:spacing w:line="360" w:lineRule="auto"/>
              <w:ind w:firstLine="482" w:firstLineChars="200"/>
              <w:rPr>
                <w:b/>
                <w:bCs/>
                <w:color w:val="000000" w:themeColor="text1"/>
                <w:sz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4、生产设备</w:t>
            </w:r>
          </w:p>
          <w:p w14:paraId="5EDBB427">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现有项目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主要生产设备</w:t>
            </w:r>
            <w:r>
              <w:rPr>
                <w:rFonts w:hint="eastAsia" w:cs="Times New Roman"/>
                <w:color w:val="000000" w:themeColor="text1"/>
                <w:sz w:val="24"/>
                <w:szCs w:val="24"/>
                <w:lang w:val="en-US" w:eastAsia="zh-CN"/>
                <w14:textFill>
                  <w14:solidFill>
                    <w14:schemeClr w14:val="tx1"/>
                  </w14:solidFill>
                </w14:textFill>
              </w:rPr>
              <w:t>详见表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1101FCF2">
            <w:pPr>
              <w:pStyle w:val="17"/>
              <w:pageBreakBefore w:val="0"/>
              <w:kinsoku/>
              <w:overflowPunct/>
              <w:topLinePunct w:val="0"/>
              <w:bidi w:val="0"/>
              <w:snapToGrid w:val="0"/>
              <w:ind w:left="0" w:leftChars="0" w:right="0"/>
              <w:jc w:val="center"/>
              <w:rPr>
                <w:rFonts w:hint="eastAsia"/>
                <w:color w:val="000000" w:themeColor="text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表2-</w:t>
            </w:r>
            <w:r>
              <w:rPr>
                <w:rFonts w:hint="eastAsia" w:ascii="Times New Roman" w:hAnsi="Times New Roman"/>
                <w:b/>
                <w:bCs/>
                <w:color w:val="000000" w:themeColor="text1"/>
                <w:szCs w:val="21"/>
                <w:lang w:val="en-US" w:eastAsia="zh-CN"/>
                <w14:textFill>
                  <w14:solidFill>
                    <w14:schemeClr w14:val="tx1"/>
                  </w14:solidFill>
                </w14:textFill>
              </w:rPr>
              <w:t>10</w:t>
            </w:r>
            <w:r>
              <w:rPr>
                <w:rFonts w:ascii="Times New Roman" w:hAnsi="Times New Roman"/>
                <w:b/>
                <w:bCs/>
                <w:color w:val="000000" w:themeColor="text1"/>
                <w:szCs w:val="21"/>
                <w14:textFill>
                  <w14:solidFill>
                    <w14:schemeClr w14:val="tx1"/>
                  </w14:solidFill>
                </w14:textFill>
              </w:rPr>
              <w:t xml:space="preserve"> 项目主要生产设备及设施一览表</w:t>
            </w:r>
          </w:p>
          <w:tbl>
            <w:tblPr>
              <w:tblStyle w:val="33"/>
              <w:tblW w:w="4997" w:type="pct"/>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2145"/>
              <w:gridCol w:w="2347"/>
              <w:gridCol w:w="1375"/>
              <w:gridCol w:w="1883"/>
            </w:tblGrid>
            <w:tr w14:paraId="5AF7EC1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398" w:type="pct"/>
                  <w:tcBorders>
                    <w:tl2br w:val="nil"/>
                    <w:tr2bl w:val="nil"/>
                  </w:tcBorders>
                  <w:noWrap w:val="0"/>
                  <w:vAlign w:val="center"/>
                </w:tcPr>
                <w:p w14:paraId="7AD8841C">
                  <w:pPr>
                    <w:pStyle w:val="129"/>
                    <w:keepNext w:val="0"/>
                    <w:keepLines w:val="0"/>
                    <w:pageBreakBefore w:val="0"/>
                    <w:kinsoku/>
                    <w:wordWrap/>
                    <w:overflowPunct/>
                    <w:topLinePunct w:val="0"/>
                    <w:autoSpaceDE/>
                    <w:autoSpaceDN/>
                    <w:bidi w:val="0"/>
                    <w:adjustRightInd/>
                    <w:snapToGrid/>
                    <w:ind w:left="0" w:leftChars="0" w:right="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序号</w:t>
                  </w:r>
                </w:p>
              </w:tc>
              <w:tc>
                <w:tcPr>
                  <w:tcW w:w="1273" w:type="pct"/>
                  <w:tcBorders>
                    <w:tl2br w:val="nil"/>
                    <w:tr2bl w:val="nil"/>
                  </w:tcBorders>
                  <w:noWrap w:val="0"/>
                  <w:vAlign w:val="center"/>
                </w:tcPr>
                <w:p w14:paraId="6BF60B25">
                  <w:pPr>
                    <w:pStyle w:val="129"/>
                    <w:keepNext w:val="0"/>
                    <w:keepLines w:val="0"/>
                    <w:pageBreakBefore w:val="0"/>
                    <w:kinsoku/>
                    <w:wordWrap/>
                    <w:overflowPunct/>
                    <w:topLinePunct w:val="0"/>
                    <w:autoSpaceDE/>
                    <w:autoSpaceDN/>
                    <w:bidi w:val="0"/>
                    <w:adjustRightInd/>
                    <w:snapToGrid/>
                    <w:ind w:left="0" w:leftChars="0" w:right="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设备名称</w:t>
                  </w:r>
                </w:p>
              </w:tc>
              <w:tc>
                <w:tcPr>
                  <w:tcW w:w="1393" w:type="pct"/>
                  <w:tcBorders>
                    <w:tl2br w:val="nil"/>
                    <w:tr2bl w:val="nil"/>
                  </w:tcBorders>
                  <w:noWrap w:val="0"/>
                  <w:vAlign w:val="center"/>
                </w:tcPr>
                <w:p w14:paraId="2712C03B">
                  <w:pPr>
                    <w:pStyle w:val="129"/>
                    <w:keepNext w:val="0"/>
                    <w:keepLines w:val="0"/>
                    <w:pageBreakBefore w:val="0"/>
                    <w:kinsoku/>
                    <w:wordWrap/>
                    <w:overflowPunct/>
                    <w:topLinePunct w:val="0"/>
                    <w:autoSpaceDE/>
                    <w:autoSpaceDN/>
                    <w:bidi w:val="0"/>
                    <w:adjustRightInd/>
                    <w:snapToGrid/>
                    <w:ind w:left="0" w:leftChars="0" w:right="0"/>
                    <w:textAlignment w:val="auto"/>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型号</w:t>
                  </w:r>
                </w:p>
              </w:tc>
              <w:tc>
                <w:tcPr>
                  <w:tcW w:w="816" w:type="pct"/>
                  <w:tcBorders>
                    <w:tl2br w:val="nil"/>
                    <w:tr2bl w:val="nil"/>
                  </w:tcBorders>
                  <w:noWrap w:val="0"/>
                  <w:vAlign w:val="center"/>
                </w:tcPr>
                <w:p w14:paraId="43E261ED">
                  <w:pPr>
                    <w:pStyle w:val="129"/>
                    <w:keepNext w:val="0"/>
                    <w:keepLines w:val="0"/>
                    <w:pageBreakBefore w:val="0"/>
                    <w:kinsoku/>
                    <w:wordWrap/>
                    <w:overflowPunct/>
                    <w:topLinePunct w:val="0"/>
                    <w:autoSpaceDE/>
                    <w:autoSpaceDN/>
                    <w:bidi w:val="0"/>
                    <w:adjustRightInd/>
                    <w:snapToGrid/>
                    <w:ind w:left="0" w:leftChars="0" w:right="0"/>
                    <w:textAlignment w:val="auto"/>
                    <w:rPr>
                      <w:rFonts w:hint="eastAsia" w:eastAsia="宋体"/>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现有数量</w:t>
                  </w:r>
                </w:p>
              </w:tc>
              <w:tc>
                <w:tcPr>
                  <w:tcW w:w="1117" w:type="pct"/>
                  <w:tcBorders>
                    <w:tl2br w:val="nil"/>
                    <w:tr2bl w:val="nil"/>
                  </w:tcBorders>
                  <w:noWrap w:val="0"/>
                  <w:vAlign w:val="center"/>
                </w:tcPr>
                <w:p w14:paraId="0F7EDED3">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eastAsia"/>
                      <w:b/>
                      <w:bCs/>
                      <w:color w:val="000000" w:themeColor="text1"/>
                      <w:sz w:val="21"/>
                      <w:szCs w:val="21"/>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本次项目建设完成后变化情况</w:t>
                  </w:r>
                </w:p>
              </w:tc>
            </w:tr>
            <w:tr w14:paraId="1E15992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8" w:type="pct"/>
                  <w:tcBorders>
                    <w:tl2br w:val="nil"/>
                    <w:tr2bl w:val="nil"/>
                  </w:tcBorders>
                  <w:noWrap w:val="0"/>
                  <w:vAlign w:val="center"/>
                </w:tcPr>
                <w:p w14:paraId="6819777D">
                  <w:pPr>
                    <w:pStyle w:val="129"/>
                    <w:keepNext w:val="0"/>
                    <w:keepLines w:val="0"/>
                    <w:pageBreakBefore w:val="0"/>
                    <w:kinsoku/>
                    <w:wordWrap/>
                    <w:overflowPunct/>
                    <w:topLinePunct w:val="0"/>
                    <w:autoSpaceDE/>
                    <w:autoSpaceDN/>
                    <w:bidi w:val="0"/>
                    <w:adjustRightInd/>
                    <w:snapToGrid/>
                    <w:ind w:left="0" w:leftChars="0" w:right="0"/>
                    <w:textAlignment w:val="auto"/>
                    <w:rPr>
                      <w:rFonts w:hint="eastAsia"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1</w:t>
                  </w:r>
                </w:p>
              </w:tc>
              <w:tc>
                <w:tcPr>
                  <w:tcW w:w="1273" w:type="pct"/>
                  <w:tcBorders>
                    <w:tl2br w:val="nil"/>
                    <w:tr2bl w:val="nil"/>
                  </w:tcBorders>
                  <w:noWrap w:val="0"/>
                  <w:vAlign w:val="center"/>
                </w:tcPr>
                <w:p w14:paraId="54908807">
                  <w:pPr>
                    <w:pStyle w:val="170"/>
                    <w:keepNext w:val="0"/>
                    <w:keepLines w:val="0"/>
                    <w:pageBreakBefore w:val="0"/>
                    <w:kinsoku/>
                    <w:wordWrap/>
                    <w:overflowPunct/>
                    <w:topLinePunct w:val="0"/>
                    <w:autoSpaceDE/>
                    <w:autoSpaceDN/>
                    <w:bidi w:val="0"/>
                    <w:adjustRightInd/>
                    <w:snapToGrid/>
                    <w:spacing w:line="240" w:lineRule="auto"/>
                    <w:textAlignment w:val="auto"/>
                    <w:rPr>
                      <w:b/>
                      <w:b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B间歇式发料机</w:t>
                  </w:r>
                </w:p>
              </w:tc>
              <w:tc>
                <w:tcPr>
                  <w:tcW w:w="1393" w:type="pct"/>
                  <w:tcBorders>
                    <w:tl2br w:val="nil"/>
                    <w:tr2bl w:val="nil"/>
                  </w:tcBorders>
                  <w:noWrap w:val="0"/>
                  <w:vAlign w:val="center"/>
                </w:tcPr>
                <w:p w14:paraId="2C2780A9">
                  <w:pPr>
                    <w:pStyle w:val="170"/>
                    <w:keepNext w:val="0"/>
                    <w:keepLines w:val="0"/>
                    <w:pageBreakBefore w:val="0"/>
                    <w:kinsoku/>
                    <w:wordWrap/>
                    <w:overflowPunct/>
                    <w:topLinePunct w:val="0"/>
                    <w:autoSpaceDE/>
                    <w:autoSpaceDN/>
                    <w:bidi w:val="0"/>
                    <w:adjustRightInd/>
                    <w:snapToGrid/>
                    <w:spacing w:line="240" w:lineRule="auto"/>
                    <w:textAlignment w:val="auto"/>
                    <w:rPr>
                      <w:rFonts w:hint="eastAsia"/>
                      <w:b/>
                      <w:b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DS-1100B</w:t>
                  </w:r>
                </w:p>
              </w:tc>
              <w:tc>
                <w:tcPr>
                  <w:tcW w:w="816" w:type="pct"/>
                  <w:tcBorders>
                    <w:tl2br w:val="nil"/>
                    <w:tr2bl w:val="nil"/>
                  </w:tcBorders>
                  <w:noWrap w:val="0"/>
                  <w:vAlign w:val="center"/>
                </w:tcPr>
                <w:p w14:paraId="55060E4D">
                  <w:pPr>
                    <w:pStyle w:val="170"/>
                    <w:keepNext w:val="0"/>
                    <w:keepLines w:val="0"/>
                    <w:pageBreakBefore w:val="0"/>
                    <w:kinsoku/>
                    <w:wordWrap/>
                    <w:overflowPunct/>
                    <w:topLinePunct w:val="0"/>
                    <w:autoSpaceDE/>
                    <w:autoSpaceDN/>
                    <w:bidi w:val="0"/>
                    <w:adjustRightInd/>
                    <w:snapToGrid/>
                    <w:spacing w:line="240" w:lineRule="auto"/>
                    <w:textAlignment w:val="auto"/>
                    <w:rPr>
                      <w:rFonts w:hint="eastAsia"/>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t>台</w:t>
                  </w:r>
                </w:p>
              </w:tc>
              <w:tc>
                <w:tcPr>
                  <w:tcW w:w="1117" w:type="pct"/>
                  <w:tcBorders>
                    <w:tl2br w:val="nil"/>
                    <w:tr2bl w:val="nil"/>
                  </w:tcBorders>
                  <w:noWrap w:val="0"/>
                  <w:vAlign w:val="center"/>
                </w:tcPr>
                <w:p w14:paraId="12372482">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eastAsia" w:eastAsia="宋体"/>
                      <w:b w:val="0"/>
                      <w:bCs w:val="0"/>
                      <w:color w:val="000000" w:themeColor="text1"/>
                      <w:sz w:val="21"/>
                      <w:szCs w:val="21"/>
                      <w:lang w:eastAsia="zh-CN"/>
                      <w14:textFill>
                        <w14:solidFill>
                          <w14:schemeClr w14:val="tx1"/>
                        </w14:solidFill>
                      </w14:textFill>
                    </w:rPr>
                  </w:pPr>
                  <w:r>
                    <w:rPr>
                      <w:rFonts w:hint="eastAsia"/>
                      <w:b w:val="0"/>
                      <w:bCs w:val="0"/>
                      <w:color w:val="000000" w:themeColor="text1"/>
                      <w:sz w:val="21"/>
                      <w:szCs w:val="21"/>
                      <w:lang w:eastAsia="zh-CN"/>
                      <w14:textFill>
                        <w14:solidFill>
                          <w14:schemeClr w14:val="tx1"/>
                        </w14:solidFill>
                      </w14:textFill>
                    </w:rPr>
                    <w:t>不变</w:t>
                  </w:r>
                </w:p>
              </w:tc>
            </w:tr>
            <w:tr w14:paraId="2A4851B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8" w:type="pct"/>
                  <w:tcBorders>
                    <w:tl2br w:val="nil"/>
                    <w:tr2bl w:val="nil"/>
                  </w:tcBorders>
                  <w:noWrap w:val="0"/>
                  <w:vAlign w:val="center"/>
                </w:tcPr>
                <w:p w14:paraId="4E0D69CC">
                  <w:pPr>
                    <w:pStyle w:val="129"/>
                    <w:keepNext w:val="0"/>
                    <w:keepLines w:val="0"/>
                    <w:pageBreakBefore w:val="0"/>
                    <w:kinsoku/>
                    <w:wordWrap/>
                    <w:overflowPunct/>
                    <w:topLinePunct w:val="0"/>
                    <w:autoSpaceDE/>
                    <w:autoSpaceDN/>
                    <w:bidi w:val="0"/>
                    <w:adjustRightInd/>
                    <w:snapToGrid/>
                    <w:ind w:left="0" w:leftChars="0" w:right="0"/>
                    <w:textAlignment w:val="auto"/>
                    <w:rPr>
                      <w:rFonts w:hint="eastAsia"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2</w:t>
                  </w:r>
                </w:p>
              </w:tc>
              <w:tc>
                <w:tcPr>
                  <w:tcW w:w="1273" w:type="pct"/>
                  <w:tcBorders>
                    <w:tl2br w:val="nil"/>
                    <w:tr2bl w:val="nil"/>
                  </w:tcBorders>
                  <w:noWrap w:val="0"/>
                  <w:vAlign w:val="center"/>
                </w:tcPr>
                <w:p w14:paraId="646B55DA">
                  <w:pPr>
                    <w:pStyle w:val="170"/>
                    <w:keepNext w:val="0"/>
                    <w:keepLines w:val="0"/>
                    <w:pageBreakBefore w:val="0"/>
                    <w:kinsoku/>
                    <w:wordWrap/>
                    <w:overflowPunct/>
                    <w:topLinePunct w:val="0"/>
                    <w:autoSpaceDE/>
                    <w:autoSpaceDN/>
                    <w:bidi w:val="0"/>
                    <w:adjustRightInd/>
                    <w:snapToGrid/>
                    <w:spacing w:line="240" w:lineRule="auto"/>
                    <w:textAlignment w:val="auto"/>
                    <w:rPr>
                      <w:b/>
                      <w:b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二次专用连续式发料机</w:t>
                  </w:r>
                </w:p>
              </w:tc>
              <w:tc>
                <w:tcPr>
                  <w:tcW w:w="1393" w:type="pct"/>
                  <w:tcBorders>
                    <w:tl2br w:val="nil"/>
                    <w:tr2bl w:val="nil"/>
                  </w:tcBorders>
                  <w:noWrap w:val="0"/>
                  <w:vAlign w:val="center"/>
                </w:tcPr>
                <w:p w14:paraId="7E85FCCE">
                  <w:pPr>
                    <w:pStyle w:val="170"/>
                    <w:keepNext w:val="0"/>
                    <w:keepLines w:val="0"/>
                    <w:pageBreakBefore w:val="0"/>
                    <w:kinsoku/>
                    <w:wordWrap/>
                    <w:overflowPunct/>
                    <w:topLinePunct w:val="0"/>
                    <w:autoSpaceDE/>
                    <w:autoSpaceDN/>
                    <w:bidi w:val="0"/>
                    <w:adjustRightInd/>
                    <w:snapToGrid/>
                    <w:spacing w:line="240" w:lineRule="auto"/>
                    <w:textAlignment w:val="auto"/>
                    <w:rPr>
                      <w:rFonts w:hint="eastAsia"/>
                      <w:b/>
                      <w:b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DS-SPY-900Ⅱ</w:t>
                  </w:r>
                </w:p>
              </w:tc>
              <w:tc>
                <w:tcPr>
                  <w:tcW w:w="816" w:type="pct"/>
                  <w:tcBorders>
                    <w:tl2br w:val="nil"/>
                    <w:tr2bl w:val="nil"/>
                  </w:tcBorders>
                  <w:noWrap w:val="0"/>
                  <w:vAlign w:val="center"/>
                </w:tcPr>
                <w:p w14:paraId="7710F25B">
                  <w:pPr>
                    <w:pStyle w:val="170"/>
                    <w:keepNext w:val="0"/>
                    <w:keepLines w:val="0"/>
                    <w:pageBreakBefore w:val="0"/>
                    <w:kinsoku/>
                    <w:wordWrap/>
                    <w:overflowPunct/>
                    <w:topLinePunct w:val="0"/>
                    <w:autoSpaceDE/>
                    <w:autoSpaceDN/>
                    <w:bidi w:val="0"/>
                    <w:adjustRightInd/>
                    <w:snapToGrid/>
                    <w:spacing w:line="240" w:lineRule="auto"/>
                    <w:textAlignment w:val="auto"/>
                    <w:rPr>
                      <w:rFonts w:hint="eastAsia"/>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t>台</w:t>
                  </w:r>
                </w:p>
              </w:tc>
              <w:tc>
                <w:tcPr>
                  <w:tcW w:w="1117" w:type="pct"/>
                  <w:tcBorders>
                    <w:tl2br w:val="nil"/>
                    <w:tr2bl w:val="nil"/>
                  </w:tcBorders>
                  <w:noWrap w:val="0"/>
                  <w:vAlign w:val="center"/>
                </w:tcPr>
                <w:p w14:paraId="6178BB18">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eastAsia" w:eastAsia="宋体"/>
                      <w:b w:val="0"/>
                      <w:bCs w:val="0"/>
                      <w:color w:val="000000" w:themeColor="text1"/>
                      <w:sz w:val="21"/>
                      <w:szCs w:val="21"/>
                      <w:lang w:eastAsia="zh-CN"/>
                      <w14:textFill>
                        <w14:solidFill>
                          <w14:schemeClr w14:val="tx1"/>
                        </w14:solidFill>
                      </w14:textFill>
                    </w:rPr>
                  </w:pPr>
                  <w:r>
                    <w:rPr>
                      <w:rFonts w:hint="eastAsia" w:eastAsia="宋体"/>
                      <w:b w:val="0"/>
                      <w:bCs w:val="0"/>
                      <w:color w:val="000000" w:themeColor="text1"/>
                      <w:sz w:val="21"/>
                      <w:szCs w:val="21"/>
                      <w:lang w:eastAsia="zh-CN"/>
                      <w14:textFill>
                        <w14:solidFill>
                          <w14:schemeClr w14:val="tx1"/>
                        </w14:solidFill>
                      </w14:textFill>
                    </w:rPr>
                    <w:t>不变</w:t>
                  </w:r>
                </w:p>
              </w:tc>
            </w:tr>
            <w:tr w14:paraId="71C3FBD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8" w:type="pct"/>
                  <w:tcBorders>
                    <w:tl2br w:val="nil"/>
                    <w:tr2bl w:val="nil"/>
                  </w:tcBorders>
                  <w:noWrap w:val="0"/>
                  <w:vAlign w:val="center"/>
                </w:tcPr>
                <w:p w14:paraId="6060CEB2">
                  <w:pPr>
                    <w:pStyle w:val="129"/>
                    <w:keepNext w:val="0"/>
                    <w:keepLines w:val="0"/>
                    <w:pageBreakBefore w:val="0"/>
                    <w:kinsoku/>
                    <w:wordWrap/>
                    <w:overflowPunct/>
                    <w:topLinePunct w:val="0"/>
                    <w:autoSpaceDE/>
                    <w:autoSpaceDN/>
                    <w:bidi w:val="0"/>
                    <w:adjustRightInd/>
                    <w:snapToGrid/>
                    <w:ind w:left="0" w:leftChars="0" w:right="0"/>
                    <w:textAlignment w:val="auto"/>
                    <w:rPr>
                      <w:rFonts w:hint="eastAsia"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3</w:t>
                  </w:r>
                </w:p>
              </w:tc>
              <w:tc>
                <w:tcPr>
                  <w:tcW w:w="1273" w:type="pct"/>
                  <w:tcBorders>
                    <w:tl2br w:val="nil"/>
                    <w:tr2bl w:val="nil"/>
                  </w:tcBorders>
                  <w:noWrap w:val="0"/>
                  <w:vAlign w:val="center"/>
                </w:tcPr>
                <w:p w14:paraId="04448913">
                  <w:pPr>
                    <w:pStyle w:val="170"/>
                    <w:keepNext w:val="0"/>
                    <w:keepLines w:val="0"/>
                    <w:pageBreakBefore w:val="0"/>
                    <w:kinsoku/>
                    <w:wordWrap/>
                    <w:overflowPunct/>
                    <w:topLinePunct w:val="0"/>
                    <w:autoSpaceDE/>
                    <w:autoSpaceDN/>
                    <w:bidi w:val="0"/>
                    <w:adjustRightInd/>
                    <w:snapToGrid/>
                    <w:spacing w:line="240" w:lineRule="auto"/>
                    <w:textAlignment w:val="auto"/>
                    <w:rPr>
                      <w:b/>
                      <w:b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流化干燥床</w:t>
                  </w:r>
                </w:p>
              </w:tc>
              <w:tc>
                <w:tcPr>
                  <w:tcW w:w="1393" w:type="pct"/>
                  <w:tcBorders>
                    <w:tl2br w:val="nil"/>
                    <w:tr2bl w:val="nil"/>
                  </w:tcBorders>
                  <w:noWrap w:val="0"/>
                  <w:vAlign w:val="center"/>
                </w:tcPr>
                <w:p w14:paraId="03ED13CF">
                  <w:pPr>
                    <w:pStyle w:val="170"/>
                    <w:keepNext w:val="0"/>
                    <w:keepLines w:val="0"/>
                    <w:pageBreakBefore w:val="0"/>
                    <w:kinsoku/>
                    <w:wordWrap/>
                    <w:overflowPunct/>
                    <w:topLinePunct w:val="0"/>
                    <w:autoSpaceDE/>
                    <w:autoSpaceDN/>
                    <w:bidi w:val="0"/>
                    <w:adjustRightInd/>
                    <w:snapToGrid/>
                    <w:spacing w:line="240" w:lineRule="auto"/>
                    <w:textAlignment w:val="auto"/>
                    <w:rPr>
                      <w:rFonts w:hint="eastAsia"/>
                      <w:b/>
                      <w:bCs/>
                      <w:color w:val="000000" w:themeColor="text1"/>
                      <w:sz w:val="21"/>
                      <w:szCs w:val="21"/>
                      <w14:textFill>
                        <w14:solidFill>
                          <w14:schemeClr w14:val="tx1"/>
                        </w14:solidFill>
                      </w14:textFill>
                    </w:rPr>
                  </w:pPr>
                </w:p>
              </w:tc>
              <w:tc>
                <w:tcPr>
                  <w:tcW w:w="816" w:type="pct"/>
                  <w:tcBorders>
                    <w:tl2br w:val="nil"/>
                    <w:tr2bl w:val="nil"/>
                  </w:tcBorders>
                  <w:noWrap w:val="0"/>
                  <w:vAlign w:val="center"/>
                </w:tcPr>
                <w:p w14:paraId="527213BE">
                  <w:pPr>
                    <w:pStyle w:val="170"/>
                    <w:keepNext w:val="0"/>
                    <w:keepLines w:val="0"/>
                    <w:pageBreakBefore w:val="0"/>
                    <w:kinsoku/>
                    <w:wordWrap/>
                    <w:overflowPunct/>
                    <w:topLinePunct w:val="0"/>
                    <w:autoSpaceDE/>
                    <w:autoSpaceDN/>
                    <w:bidi w:val="0"/>
                    <w:adjustRightInd/>
                    <w:snapToGrid/>
                    <w:spacing w:line="240" w:lineRule="auto"/>
                    <w:textAlignment w:val="auto"/>
                    <w:rPr>
                      <w:rFonts w:hint="eastAsia"/>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t>台</w:t>
                  </w:r>
                </w:p>
              </w:tc>
              <w:tc>
                <w:tcPr>
                  <w:tcW w:w="1117" w:type="pct"/>
                  <w:tcBorders>
                    <w:tl2br w:val="nil"/>
                    <w:tr2bl w:val="nil"/>
                  </w:tcBorders>
                  <w:noWrap w:val="0"/>
                  <w:vAlign w:val="center"/>
                </w:tcPr>
                <w:p w14:paraId="6ABC4DBA">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eastAsia" w:eastAsia="宋体"/>
                      <w:b w:val="0"/>
                      <w:bCs w:val="0"/>
                      <w:color w:val="000000" w:themeColor="text1"/>
                      <w:sz w:val="21"/>
                      <w:szCs w:val="21"/>
                      <w:lang w:eastAsia="zh-CN"/>
                      <w14:textFill>
                        <w14:solidFill>
                          <w14:schemeClr w14:val="tx1"/>
                        </w14:solidFill>
                      </w14:textFill>
                    </w:rPr>
                  </w:pPr>
                  <w:r>
                    <w:rPr>
                      <w:rFonts w:hint="eastAsia" w:eastAsia="宋体"/>
                      <w:b w:val="0"/>
                      <w:bCs w:val="0"/>
                      <w:color w:val="000000" w:themeColor="text1"/>
                      <w:sz w:val="21"/>
                      <w:szCs w:val="21"/>
                      <w:lang w:eastAsia="zh-CN"/>
                      <w14:textFill>
                        <w14:solidFill>
                          <w14:schemeClr w14:val="tx1"/>
                        </w14:solidFill>
                      </w14:textFill>
                    </w:rPr>
                    <w:t>不变</w:t>
                  </w:r>
                </w:p>
              </w:tc>
            </w:tr>
            <w:tr w14:paraId="52B2F86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8" w:type="pct"/>
                  <w:tcBorders>
                    <w:tl2br w:val="nil"/>
                    <w:tr2bl w:val="nil"/>
                  </w:tcBorders>
                  <w:noWrap w:val="0"/>
                  <w:vAlign w:val="center"/>
                </w:tcPr>
                <w:p w14:paraId="3272E152">
                  <w:pPr>
                    <w:pStyle w:val="129"/>
                    <w:keepNext w:val="0"/>
                    <w:keepLines w:val="0"/>
                    <w:pageBreakBefore w:val="0"/>
                    <w:kinsoku/>
                    <w:wordWrap/>
                    <w:overflowPunct/>
                    <w:topLinePunct w:val="0"/>
                    <w:autoSpaceDE/>
                    <w:autoSpaceDN/>
                    <w:bidi w:val="0"/>
                    <w:adjustRightInd/>
                    <w:snapToGrid/>
                    <w:ind w:left="0" w:leftChars="0" w:right="0"/>
                    <w:textAlignment w:val="auto"/>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4</w:t>
                  </w:r>
                </w:p>
              </w:tc>
              <w:tc>
                <w:tcPr>
                  <w:tcW w:w="1273" w:type="pct"/>
                  <w:tcBorders>
                    <w:tl2br w:val="nil"/>
                    <w:tr2bl w:val="nil"/>
                  </w:tcBorders>
                  <w:noWrap w:val="0"/>
                  <w:vAlign w:val="center"/>
                </w:tcPr>
                <w:p w14:paraId="609BB12B">
                  <w:pPr>
                    <w:pStyle w:val="170"/>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熟化仓</w:t>
                  </w:r>
                </w:p>
              </w:tc>
              <w:tc>
                <w:tcPr>
                  <w:tcW w:w="1393" w:type="pct"/>
                  <w:tcBorders>
                    <w:tl2br w:val="nil"/>
                    <w:tr2bl w:val="nil"/>
                  </w:tcBorders>
                  <w:noWrap w:val="0"/>
                  <w:vAlign w:val="center"/>
                </w:tcPr>
                <w:p w14:paraId="5B2A6E58">
                  <w:pPr>
                    <w:pStyle w:val="170"/>
                    <w:keepNext w:val="0"/>
                    <w:keepLines w:val="0"/>
                    <w:pageBreakBefore w:val="0"/>
                    <w:kinsoku/>
                    <w:wordWrap/>
                    <w:overflowPunct/>
                    <w:topLinePunct w:val="0"/>
                    <w:autoSpaceDE/>
                    <w:autoSpaceDN/>
                    <w:bidi w:val="0"/>
                    <w:adjustRightInd/>
                    <w:snapToGrid/>
                    <w:spacing w:line="240" w:lineRule="auto"/>
                    <w:textAlignment w:val="auto"/>
                    <w:rPr>
                      <w:rFonts w:hint="default" w:eastAsia="宋体"/>
                      <w:b/>
                      <w:bCs/>
                      <w:color w:val="000000" w:themeColor="text1"/>
                      <w:sz w:val="21"/>
                      <w:szCs w:val="21"/>
                      <w:vertAlign w:val="superscript"/>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每个容积约10m</w:t>
                  </w:r>
                  <w:r>
                    <w:rPr>
                      <w:rFonts w:hint="eastAsia"/>
                      <w:b w:val="0"/>
                      <w:bCs w:val="0"/>
                      <w:color w:val="000000" w:themeColor="text1"/>
                      <w:sz w:val="21"/>
                      <w:szCs w:val="21"/>
                      <w:vertAlign w:val="superscript"/>
                      <w:lang w:val="en-US" w:eastAsia="zh-CN"/>
                      <w14:textFill>
                        <w14:solidFill>
                          <w14:schemeClr w14:val="tx1"/>
                        </w14:solidFill>
                      </w14:textFill>
                    </w:rPr>
                    <w:t>3</w:t>
                  </w:r>
                </w:p>
              </w:tc>
              <w:tc>
                <w:tcPr>
                  <w:tcW w:w="816" w:type="pct"/>
                  <w:tcBorders>
                    <w:tl2br w:val="nil"/>
                    <w:tr2bl w:val="nil"/>
                  </w:tcBorders>
                  <w:noWrap w:val="0"/>
                  <w:vAlign w:val="center"/>
                </w:tcPr>
                <w:p w14:paraId="118629E8">
                  <w:pPr>
                    <w:pStyle w:val="170"/>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16个</w:t>
                  </w:r>
                </w:p>
              </w:tc>
              <w:tc>
                <w:tcPr>
                  <w:tcW w:w="1117" w:type="pct"/>
                  <w:tcBorders>
                    <w:tl2br w:val="nil"/>
                    <w:tr2bl w:val="nil"/>
                  </w:tcBorders>
                  <w:noWrap w:val="0"/>
                  <w:vAlign w:val="center"/>
                </w:tcPr>
                <w:p w14:paraId="5D775C01">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eastAsia" w:eastAsia="宋体"/>
                      <w:b w:val="0"/>
                      <w:bCs w:val="0"/>
                      <w:color w:val="000000" w:themeColor="text1"/>
                      <w:sz w:val="21"/>
                      <w:szCs w:val="21"/>
                      <w:lang w:eastAsia="zh-CN"/>
                      <w14:textFill>
                        <w14:solidFill>
                          <w14:schemeClr w14:val="tx1"/>
                        </w14:solidFill>
                      </w14:textFill>
                    </w:rPr>
                  </w:pPr>
                  <w:r>
                    <w:rPr>
                      <w:rFonts w:hint="eastAsia" w:eastAsia="宋体"/>
                      <w:b w:val="0"/>
                      <w:bCs w:val="0"/>
                      <w:color w:val="000000" w:themeColor="text1"/>
                      <w:sz w:val="21"/>
                      <w:szCs w:val="21"/>
                      <w:lang w:eastAsia="zh-CN"/>
                      <w14:textFill>
                        <w14:solidFill>
                          <w14:schemeClr w14:val="tx1"/>
                        </w14:solidFill>
                      </w14:textFill>
                    </w:rPr>
                    <w:t>不变</w:t>
                  </w:r>
                </w:p>
              </w:tc>
            </w:tr>
            <w:tr w14:paraId="0034768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8" w:type="pct"/>
                  <w:tcBorders>
                    <w:tl2br w:val="nil"/>
                    <w:tr2bl w:val="nil"/>
                  </w:tcBorders>
                  <w:noWrap w:val="0"/>
                  <w:vAlign w:val="center"/>
                </w:tcPr>
                <w:p w14:paraId="580E892E">
                  <w:pPr>
                    <w:pStyle w:val="129"/>
                    <w:keepNext w:val="0"/>
                    <w:keepLines w:val="0"/>
                    <w:pageBreakBefore w:val="0"/>
                    <w:kinsoku/>
                    <w:wordWrap/>
                    <w:overflowPunct/>
                    <w:topLinePunct w:val="0"/>
                    <w:autoSpaceDE/>
                    <w:autoSpaceDN/>
                    <w:bidi w:val="0"/>
                    <w:adjustRightInd/>
                    <w:snapToGrid/>
                    <w:ind w:left="0" w:leftChars="0" w:right="0"/>
                    <w:textAlignment w:val="auto"/>
                    <w:rPr>
                      <w:rFonts w:hint="default"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5</w:t>
                  </w:r>
                </w:p>
              </w:tc>
              <w:tc>
                <w:tcPr>
                  <w:tcW w:w="1273" w:type="pct"/>
                  <w:tcBorders>
                    <w:tl2br w:val="nil"/>
                    <w:tr2bl w:val="nil"/>
                  </w:tcBorders>
                  <w:noWrap w:val="0"/>
                  <w:vAlign w:val="center"/>
                </w:tcPr>
                <w:p w14:paraId="6202E4EB">
                  <w:pPr>
                    <w:pStyle w:val="170"/>
                    <w:keepNext w:val="0"/>
                    <w:keepLines w:val="0"/>
                    <w:pageBreakBefore w:val="0"/>
                    <w:kinsoku/>
                    <w:wordWrap/>
                    <w:overflowPunct/>
                    <w:topLinePunct w:val="0"/>
                    <w:autoSpaceDE/>
                    <w:autoSpaceDN/>
                    <w:bidi w:val="0"/>
                    <w:adjustRightInd/>
                    <w:snapToGrid/>
                    <w:spacing w:line="240" w:lineRule="auto"/>
                    <w:textAlignment w:val="auto"/>
                    <w:rPr>
                      <w:b/>
                      <w:bCs/>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成型机</w:t>
                  </w:r>
                </w:p>
              </w:tc>
              <w:tc>
                <w:tcPr>
                  <w:tcW w:w="1393" w:type="pct"/>
                  <w:tcBorders>
                    <w:tl2br w:val="nil"/>
                    <w:tr2bl w:val="nil"/>
                  </w:tcBorders>
                  <w:noWrap w:val="0"/>
                  <w:vAlign w:val="center"/>
                </w:tcPr>
                <w:p w14:paraId="659DA9F8">
                  <w:pPr>
                    <w:pStyle w:val="170"/>
                    <w:keepNext w:val="0"/>
                    <w:keepLines w:val="0"/>
                    <w:pageBreakBefore w:val="0"/>
                    <w:kinsoku/>
                    <w:wordWrap/>
                    <w:overflowPunct/>
                    <w:topLinePunct w:val="0"/>
                    <w:autoSpaceDE/>
                    <w:autoSpaceDN/>
                    <w:bidi w:val="0"/>
                    <w:adjustRightInd/>
                    <w:snapToGrid/>
                    <w:spacing w:line="240" w:lineRule="auto"/>
                    <w:textAlignment w:val="auto"/>
                    <w:rPr>
                      <w:rFonts w:hint="eastAsia"/>
                      <w:b/>
                      <w:b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DS-SPB6000A</w:t>
                  </w:r>
                </w:p>
              </w:tc>
              <w:tc>
                <w:tcPr>
                  <w:tcW w:w="816" w:type="pct"/>
                  <w:tcBorders>
                    <w:tl2br w:val="nil"/>
                    <w:tr2bl w:val="nil"/>
                  </w:tcBorders>
                  <w:noWrap w:val="0"/>
                  <w:vAlign w:val="center"/>
                </w:tcPr>
                <w:p w14:paraId="1A854872">
                  <w:pPr>
                    <w:pStyle w:val="170"/>
                    <w:keepNext w:val="0"/>
                    <w:keepLines w:val="0"/>
                    <w:pageBreakBefore w:val="0"/>
                    <w:kinsoku/>
                    <w:wordWrap/>
                    <w:overflowPunct/>
                    <w:topLinePunct w:val="0"/>
                    <w:autoSpaceDE/>
                    <w:autoSpaceDN/>
                    <w:bidi w:val="0"/>
                    <w:adjustRightInd/>
                    <w:snapToGrid/>
                    <w:spacing w:line="240" w:lineRule="auto"/>
                    <w:textAlignment w:val="auto"/>
                    <w:rPr>
                      <w:rFonts w:hint="eastAsia"/>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t>台</w:t>
                  </w:r>
                </w:p>
              </w:tc>
              <w:tc>
                <w:tcPr>
                  <w:tcW w:w="1117" w:type="pct"/>
                  <w:tcBorders>
                    <w:tl2br w:val="nil"/>
                    <w:tr2bl w:val="nil"/>
                  </w:tcBorders>
                  <w:noWrap w:val="0"/>
                  <w:vAlign w:val="center"/>
                </w:tcPr>
                <w:p w14:paraId="4F3FC577">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eastAsia" w:eastAsia="宋体"/>
                      <w:b w:val="0"/>
                      <w:bCs w:val="0"/>
                      <w:color w:val="000000" w:themeColor="text1"/>
                      <w:sz w:val="21"/>
                      <w:szCs w:val="21"/>
                      <w:lang w:eastAsia="zh-CN"/>
                      <w14:textFill>
                        <w14:solidFill>
                          <w14:schemeClr w14:val="tx1"/>
                        </w14:solidFill>
                      </w14:textFill>
                    </w:rPr>
                  </w:pPr>
                  <w:r>
                    <w:rPr>
                      <w:rFonts w:hint="eastAsia" w:eastAsia="宋体"/>
                      <w:b w:val="0"/>
                      <w:bCs w:val="0"/>
                      <w:color w:val="000000" w:themeColor="text1"/>
                      <w:sz w:val="21"/>
                      <w:szCs w:val="21"/>
                      <w:lang w:eastAsia="zh-CN"/>
                      <w14:textFill>
                        <w14:solidFill>
                          <w14:schemeClr w14:val="tx1"/>
                        </w14:solidFill>
                      </w14:textFill>
                    </w:rPr>
                    <w:t>不变</w:t>
                  </w:r>
                </w:p>
              </w:tc>
            </w:tr>
            <w:tr w14:paraId="3906FF8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8" w:type="pct"/>
                  <w:tcBorders>
                    <w:tl2br w:val="nil"/>
                    <w:tr2bl w:val="nil"/>
                  </w:tcBorders>
                  <w:noWrap w:val="0"/>
                  <w:vAlign w:val="center"/>
                </w:tcPr>
                <w:p w14:paraId="12F8CA11">
                  <w:pPr>
                    <w:pStyle w:val="129"/>
                    <w:keepNext w:val="0"/>
                    <w:keepLines w:val="0"/>
                    <w:pageBreakBefore w:val="0"/>
                    <w:kinsoku/>
                    <w:wordWrap/>
                    <w:overflowPunct/>
                    <w:topLinePunct w:val="0"/>
                    <w:autoSpaceDE/>
                    <w:autoSpaceDN/>
                    <w:bidi w:val="0"/>
                    <w:adjustRightInd/>
                    <w:snapToGrid/>
                    <w:ind w:left="0" w:leftChars="0" w:right="0"/>
                    <w:textAlignment w:val="auto"/>
                    <w:rPr>
                      <w:rFonts w:hint="default"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6</w:t>
                  </w:r>
                </w:p>
              </w:tc>
              <w:tc>
                <w:tcPr>
                  <w:tcW w:w="1273" w:type="pct"/>
                  <w:tcBorders>
                    <w:tl2br w:val="nil"/>
                    <w:tr2bl w:val="nil"/>
                  </w:tcBorders>
                  <w:noWrap w:val="0"/>
                  <w:vAlign w:val="center"/>
                </w:tcPr>
                <w:p w14:paraId="531431E6">
                  <w:pPr>
                    <w:pStyle w:val="170"/>
                    <w:keepNext w:val="0"/>
                    <w:keepLines w:val="0"/>
                    <w:pageBreakBefore w:val="0"/>
                    <w:kinsoku/>
                    <w:wordWrap/>
                    <w:overflowPunct/>
                    <w:topLinePunct w:val="0"/>
                    <w:autoSpaceDE/>
                    <w:autoSpaceDN/>
                    <w:bidi w:val="0"/>
                    <w:adjustRightInd/>
                    <w:snapToGrid/>
                    <w:spacing w:line="240" w:lineRule="auto"/>
                    <w:textAlignment w:val="auto"/>
                    <w:rPr>
                      <w:b/>
                      <w:b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烘干房风机</w:t>
                  </w:r>
                </w:p>
              </w:tc>
              <w:tc>
                <w:tcPr>
                  <w:tcW w:w="1393" w:type="pct"/>
                  <w:tcBorders>
                    <w:tl2br w:val="nil"/>
                    <w:tr2bl w:val="nil"/>
                  </w:tcBorders>
                  <w:noWrap w:val="0"/>
                  <w:vAlign w:val="center"/>
                </w:tcPr>
                <w:p w14:paraId="3A1B9F2F">
                  <w:pPr>
                    <w:pStyle w:val="170"/>
                    <w:keepNext w:val="0"/>
                    <w:keepLines w:val="0"/>
                    <w:pageBreakBefore w:val="0"/>
                    <w:kinsoku/>
                    <w:wordWrap/>
                    <w:overflowPunct/>
                    <w:topLinePunct w:val="0"/>
                    <w:autoSpaceDE/>
                    <w:autoSpaceDN/>
                    <w:bidi w:val="0"/>
                    <w:adjustRightInd/>
                    <w:snapToGrid/>
                    <w:spacing w:line="240" w:lineRule="auto"/>
                    <w:textAlignment w:val="auto"/>
                    <w:rPr>
                      <w:rFonts w:hint="eastAsia"/>
                      <w:b/>
                      <w:bCs/>
                      <w:color w:val="000000" w:themeColor="text1"/>
                      <w:sz w:val="21"/>
                      <w:szCs w:val="21"/>
                      <w14:textFill>
                        <w14:solidFill>
                          <w14:schemeClr w14:val="tx1"/>
                        </w14:solidFill>
                      </w14:textFill>
                    </w:rPr>
                  </w:pPr>
                </w:p>
              </w:tc>
              <w:tc>
                <w:tcPr>
                  <w:tcW w:w="816" w:type="pct"/>
                  <w:tcBorders>
                    <w:tl2br w:val="nil"/>
                    <w:tr2bl w:val="nil"/>
                  </w:tcBorders>
                  <w:noWrap w:val="0"/>
                  <w:vAlign w:val="center"/>
                </w:tcPr>
                <w:p w14:paraId="2C9A5BB2">
                  <w:pPr>
                    <w:pStyle w:val="170"/>
                    <w:keepNext w:val="0"/>
                    <w:keepLines w:val="0"/>
                    <w:pageBreakBefore w:val="0"/>
                    <w:kinsoku/>
                    <w:wordWrap/>
                    <w:overflowPunct/>
                    <w:topLinePunct w:val="0"/>
                    <w:autoSpaceDE/>
                    <w:autoSpaceDN/>
                    <w:bidi w:val="0"/>
                    <w:adjustRightInd/>
                    <w:snapToGrid/>
                    <w:spacing w:line="240" w:lineRule="auto"/>
                    <w:textAlignment w:val="auto"/>
                    <w:rPr>
                      <w:rFonts w:hint="eastAsia"/>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t>台</w:t>
                  </w:r>
                </w:p>
              </w:tc>
              <w:tc>
                <w:tcPr>
                  <w:tcW w:w="1117" w:type="pct"/>
                  <w:tcBorders>
                    <w:tl2br w:val="nil"/>
                    <w:tr2bl w:val="nil"/>
                  </w:tcBorders>
                  <w:noWrap w:val="0"/>
                  <w:vAlign w:val="center"/>
                </w:tcPr>
                <w:p w14:paraId="307A0FBA">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eastAsia" w:eastAsia="宋体"/>
                      <w:b w:val="0"/>
                      <w:bCs w:val="0"/>
                      <w:color w:val="000000" w:themeColor="text1"/>
                      <w:sz w:val="21"/>
                      <w:szCs w:val="21"/>
                      <w:lang w:eastAsia="zh-CN"/>
                      <w14:textFill>
                        <w14:solidFill>
                          <w14:schemeClr w14:val="tx1"/>
                        </w14:solidFill>
                      </w14:textFill>
                    </w:rPr>
                  </w:pPr>
                  <w:r>
                    <w:rPr>
                      <w:rFonts w:hint="eastAsia" w:eastAsia="宋体"/>
                      <w:b w:val="0"/>
                      <w:bCs w:val="0"/>
                      <w:color w:val="000000" w:themeColor="text1"/>
                      <w:sz w:val="21"/>
                      <w:szCs w:val="21"/>
                      <w:lang w:eastAsia="zh-CN"/>
                      <w14:textFill>
                        <w14:solidFill>
                          <w14:schemeClr w14:val="tx1"/>
                        </w14:solidFill>
                      </w14:textFill>
                    </w:rPr>
                    <w:t>不变</w:t>
                  </w:r>
                </w:p>
              </w:tc>
            </w:tr>
            <w:tr w14:paraId="7899580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8" w:type="pct"/>
                  <w:tcBorders>
                    <w:tl2br w:val="nil"/>
                    <w:tr2bl w:val="nil"/>
                  </w:tcBorders>
                  <w:noWrap w:val="0"/>
                  <w:vAlign w:val="center"/>
                </w:tcPr>
                <w:p w14:paraId="1E4DFA8D">
                  <w:pPr>
                    <w:pStyle w:val="129"/>
                    <w:keepNext w:val="0"/>
                    <w:keepLines w:val="0"/>
                    <w:pageBreakBefore w:val="0"/>
                    <w:kinsoku/>
                    <w:wordWrap/>
                    <w:overflowPunct/>
                    <w:topLinePunct w:val="0"/>
                    <w:autoSpaceDE/>
                    <w:autoSpaceDN/>
                    <w:bidi w:val="0"/>
                    <w:adjustRightInd/>
                    <w:snapToGrid/>
                    <w:ind w:left="0" w:leftChars="0" w:right="0"/>
                    <w:textAlignment w:val="auto"/>
                    <w:rPr>
                      <w:rFonts w:hint="default"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7</w:t>
                  </w:r>
                </w:p>
              </w:tc>
              <w:tc>
                <w:tcPr>
                  <w:tcW w:w="1273" w:type="pct"/>
                  <w:tcBorders>
                    <w:tl2br w:val="nil"/>
                    <w:tr2bl w:val="nil"/>
                  </w:tcBorders>
                  <w:noWrap w:val="0"/>
                  <w:vAlign w:val="center"/>
                </w:tcPr>
                <w:p w14:paraId="29682A3D">
                  <w:pPr>
                    <w:pStyle w:val="170"/>
                    <w:keepNext w:val="0"/>
                    <w:keepLines w:val="0"/>
                    <w:pageBreakBefore w:val="0"/>
                    <w:kinsoku/>
                    <w:wordWrap/>
                    <w:overflowPunct/>
                    <w:topLinePunct w:val="0"/>
                    <w:autoSpaceDE/>
                    <w:autoSpaceDN/>
                    <w:bidi w:val="0"/>
                    <w:adjustRightInd/>
                    <w:snapToGrid/>
                    <w:spacing w:line="240" w:lineRule="auto"/>
                    <w:textAlignment w:val="auto"/>
                    <w:rPr>
                      <w:b/>
                      <w:b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空压机</w:t>
                  </w:r>
                </w:p>
              </w:tc>
              <w:tc>
                <w:tcPr>
                  <w:tcW w:w="1393" w:type="pct"/>
                  <w:tcBorders>
                    <w:tl2br w:val="nil"/>
                    <w:tr2bl w:val="nil"/>
                  </w:tcBorders>
                  <w:noWrap w:val="0"/>
                  <w:vAlign w:val="center"/>
                </w:tcPr>
                <w:p w14:paraId="0F93C061">
                  <w:pPr>
                    <w:pStyle w:val="170"/>
                    <w:keepNext w:val="0"/>
                    <w:keepLines w:val="0"/>
                    <w:pageBreakBefore w:val="0"/>
                    <w:kinsoku/>
                    <w:wordWrap/>
                    <w:overflowPunct/>
                    <w:topLinePunct w:val="0"/>
                    <w:autoSpaceDE/>
                    <w:autoSpaceDN/>
                    <w:bidi w:val="0"/>
                    <w:adjustRightInd/>
                    <w:snapToGrid/>
                    <w:spacing w:line="240" w:lineRule="auto"/>
                    <w:textAlignment w:val="auto"/>
                    <w:rPr>
                      <w:rFonts w:hint="eastAsia"/>
                      <w:b/>
                      <w:bCs/>
                      <w:color w:val="000000" w:themeColor="text1"/>
                      <w:sz w:val="21"/>
                      <w:szCs w:val="21"/>
                      <w14:textFill>
                        <w14:solidFill>
                          <w14:schemeClr w14:val="tx1"/>
                        </w14:solidFill>
                      </w14:textFill>
                    </w:rPr>
                  </w:pPr>
                </w:p>
              </w:tc>
              <w:tc>
                <w:tcPr>
                  <w:tcW w:w="816" w:type="pct"/>
                  <w:tcBorders>
                    <w:tl2br w:val="nil"/>
                    <w:tr2bl w:val="nil"/>
                  </w:tcBorders>
                  <w:noWrap w:val="0"/>
                  <w:vAlign w:val="center"/>
                </w:tcPr>
                <w:p w14:paraId="6707268E">
                  <w:pPr>
                    <w:pStyle w:val="170"/>
                    <w:keepNext w:val="0"/>
                    <w:keepLines w:val="0"/>
                    <w:pageBreakBefore w:val="0"/>
                    <w:kinsoku/>
                    <w:wordWrap/>
                    <w:overflowPunct/>
                    <w:topLinePunct w:val="0"/>
                    <w:autoSpaceDE/>
                    <w:autoSpaceDN/>
                    <w:bidi w:val="0"/>
                    <w:adjustRightInd/>
                    <w:snapToGrid/>
                    <w:spacing w:line="240" w:lineRule="auto"/>
                    <w:textAlignment w:val="auto"/>
                    <w:rPr>
                      <w:rFonts w:hint="eastAsia"/>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t>台</w:t>
                  </w:r>
                </w:p>
              </w:tc>
              <w:tc>
                <w:tcPr>
                  <w:tcW w:w="1117" w:type="pct"/>
                  <w:tcBorders>
                    <w:tl2br w:val="nil"/>
                    <w:tr2bl w:val="nil"/>
                  </w:tcBorders>
                  <w:noWrap w:val="0"/>
                  <w:vAlign w:val="center"/>
                </w:tcPr>
                <w:p w14:paraId="463795DF">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eastAsia" w:eastAsia="宋体"/>
                      <w:b w:val="0"/>
                      <w:bCs w:val="0"/>
                      <w:color w:val="000000" w:themeColor="text1"/>
                      <w:sz w:val="21"/>
                      <w:szCs w:val="21"/>
                      <w:lang w:eastAsia="zh-CN"/>
                      <w14:textFill>
                        <w14:solidFill>
                          <w14:schemeClr w14:val="tx1"/>
                        </w14:solidFill>
                      </w14:textFill>
                    </w:rPr>
                  </w:pPr>
                  <w:r>
                    <w:rPr>
                      <w:rFonts w:hint="eastAsia" w:eastAsia="宋体"/>
                      <w:b w:val="0"/>
                      <w:bCs w:val="0"/>
                      <w:color w:val="000000" w:themeColor="text1"/>
                      <w:sz w:val="21"/>
                      <w:szCs w:val="21"/>
                      <w:lang w:eastAsia="zh-CN"/>
                      <w14:textFill>
                        <w14:solidFill>
                          <w14:schemeClr w14:val="tx1"/>
                        </w14:solidFill>
                      </w14:textFill>
                    </w:rPr>
                    <w:t>不变</w:t>
                  </w:r>
                </w:p>
              </w:tc>
            </w:tr>
            <w:tr w14:paraId="46AD08E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8" w:type="pct"/>
                  <w:tcBorders>
                    <w:tl2br w:val="nil"/>
                    <w:tr2bl w:val="nil"/>
                  </w:tcBorders>
                  <w:noWrap w:val="0"/>
                  <w:vAlign w:val="center"/>
                </w:tcPr>
                <w:p w14:paraId="7816CDD2">
                  <w:pPr>
                    <w:pStyle w:val="129"/>
                    <w:keepNext w:val="0"/>
                    <w:keepLines w:val="0"/>
                    <w:pageBreakBefore w:val="0"/>
                    <w:kinsoku/>
                    <w:wordWrap/>
                    <w:overflowPunct/>
                    <w:topLinePunct w:val="0"/>
                    <w:autoSpaceDE/>
                    <w:autoSpaceDN/>
                    <w:bidi w:val="0"/>
                    <w:adjustRightInd/>
                    <w:snapToGrid/>
                    <w:ind w:left="0" w:leftChars="0" w:right="0"/>
                    <w:textAlignment w:val="auto"/>
                    <w:rPr>
                      <w:rFonts w:hint="default"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8</w:t>
                  </w:r>
                </w:p>
              </w:tc>
              <w:tc>
                <w:tcPr>
                  <w:tcW w:w="1273" w:type="pct"/>
                  <w:tcBorders>
                    <w:tl2br w:val="nil"/>
                    <w:tr2bl w:val="nil"/>
                  </w:tcBorders>
                  <w:noWrap w:val="0"/>
                  <w:vAlign w:val="center"/>
                </w:tcPr>
                <w:p w14:paraId="6219E96B">
                  <w:pPr>
                    <w:pStyle w:val="170"/>
                    <w:keepNext w:val="0"/>
                    <w:keepLines w:val="0"/>
                    <w:pageBreakBefore w:val="0"/>
                    <w:kinsoku/>
                    <w:wordWrap/>
                    <w:overflowPunct/>
                    <w:topLinePunct w:val="0"/>
                    <w:autoSpaceDE/>
                    <w:autoSpaceDN/>
                    <w:bidi w:val="0"/>
                    <w:adjustRightInd/>
                    <w:snapToGrid/>
                    <w:spacing w:line="240" w:lineRule="auto"/>
                    <w:textAlignment w:val="auto"/>
                    <w:rPr>
                      <w:b/>
                      <w:b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B型切割机</w:t>
                  </w:r>
                </w:p>
              </w:tc>
              <w:tc>
                <w:tcPr>
                  <w:tcW w:w="1393" w:type="pct"/>
                  <w:tcBorders>
                    <w:tl2br w:val="nil"/>
                    <w:tr2bl w:val="nil"/>
                  </w:tcBorders>
                  <w:noWrap w:val="0"/>
                  <w:vAlign w:val="center"/>
                </w:tcPr>
                <w:p w14:paraId="4F5797C5">
                  <w:pPr>
                    <w:pStyle w:val="170"/>
                    <w:keepNext w:val="0"/>
                    <w:keepLines w:val="0"/>
                    <w:pageBreakBefore w:val="0"/>
                    <w:kinsoku/>
                    <w:wordWrap/>
                    <w:overflowPunct/>
                    <w:topLinePunct w:val="0"/>
                    <w:autoSpaceDE/>
                    <w:autoSpaceDN/>
                    <w:bidi w:val="0"/>
                    <w:adjustRightInd/>
                    <w:snapToGrid/>
                    <w:spacing w:line="240" w:lineRule="auto"/>
                    <w:textAlignment w:val="auto"/>
                    <w:rPr>
                      <w:rFonts w:hint="eastAsia"/>
                      <w:b/>
                      <w:b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DSQ2-1.25-AⅡ</w:t>
                  </w:r>
                </w:p>
              </w:tc>
              <w:tc>
                <w:tcPr>
                  <w:tcW w:w="816" w:type="pct"/>
                  <w:tcBorders>
                    <w:tl2br w:val="nil"/>
                    <w:tr2bl w:val="nil"/>
                  </w:tcBorders>
                  <w:noWrap w:val="0"/>
                  <w:vAlign w:val="center"/>
                </w:tcPr>
                <w:p w14:paraId="040A0A8C">
                  <w:pPr>
                    <w:pStyle w:val="170"/>
                    <w:keepNext w:val="0"/>
                    <w:keepLines w:val="0"/>
                    <w:pageBreakBefore w:val="0"/>
                    <w:kinsoku/>
                    <w:wordWrap/>
                    <w:overflowPunct/>
                    <w:topLinePunct w:val="0"/>
                    <w:autoSpaceDE/>
                    <w:autoSpaceDN/>
                    <w:bidi w:val="0"/>
                    <w:adjustRightInd/>
                    <w:snapToGrid/>
                    <w:spacing w:line="240" w:lineRule="auto"/>
                    <w:textAlignment w:val="auto"/>
                    <w:rPr>
                      <w:rFonts w:hint="eastAsia"/>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t>台</w:t>
                  </w:r>
                </w:p>
              </w:tc>
              <w:tc>
                <w:tcPr>
                  <w:tcW w:w="1117" w:type="pct"/>
                  <w:tcBorders>
                    <w:tl2br w:val="nil"/>
                    <w:tr2bl w:val="nil"/>
                  </w:tcBorders>
                  <w:noWrap w:val="0"/>
                  <w:vAlign w:val="center"/>
                </w:tcPr>
                <w:p w14:paraId="301FEFF0">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eastAsia" w:eastAsia="宋体"/>
                      <w:b w:val="0"/>
                      <w:bCs w:val="0"/>
                      <w:color w:val="000000" w:themeColor="text1"/>
                      <w:sz w:val="21"/>
                      <w:szCs w:val="21"/>
                      <w:lang w:eastAsia="zh-CN"/>
                      <w14:textFill>
                        <w14:solidFill>
                          <w14:schemeClr w14:val="tx1"/>
                        </w14:solidFill>
                      </w14:textFill>
                    </w:rPr>
                  </w:pPr>
                  <w:r>
                    <w:rPr>
                      <w:rFonts w:hint="eastAsia" w:eastAsia="宋体"/>
                      <w:b w:val="0"/>
                      <w:bCs w:val="0"/>
                      <w:color w:val="000000" w:themeColor="text1"/>
                      <w:sz w:val="21"/>
                      <w:szCs w:val="21"/>
                      <w:lang w:eastAsia="zh-CN"/>
                      <w14:textFill>
                        <w14:solidFill>
                          <w14:schemeClr w14:val="tx1"/>
                        </w14:solidFill>
                      </w14:textFill>
                    </w:rPr>
                    <w:t>不变</w:t>
                  </w:r>
                </w:p>
              </w:tc>
            </w:tr>
            <w:tr w14:paraId="24469DB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8" w:type="pct"/>
                  <w:tcBorders>
                    <w:tl2br w:val="nil"/>
                    <w:tr2bl w:val="nil"/>
                  </w:tcBorders>
                  <w:noWrap w:val="0"/>
                  <w:vAlign w:val="center"/>
                </w:tcPr>
                <w:p w14:paraId="307D578C">
                  <w:pPr>
                    <w:pStyle w:val="129"/>
                    <w:keepNext w:val="0"/>
                    <w:keepLines w:val="0"/>
                    <w:pageBreakBefore w:val="0"/>
                    <w:kinsoku/>
                    <w:wordWrap/>
                    <w:overflowPunct/>
                    <w:topLinePunct w:val="0"/>
                    <w:autoSpaceDE/>
                    <w:autoSpaceDN/>
                    <w:bidi w:val="0"/>
                    <w:adjustRightInd/>
                    <w:snapToGrid/>
                    <w:ind w:left="0" w:leftChars="0" w:right="0"/>
                    <w:textAlignment w:val="auto"/>
                    <w:rPr>
                      <w:rFonts w:hint="default"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9</w:t>
                  </w:r>
                </w:p>
              </w:tc>
              <w:tc>
                <w:tcPr>
                  <w:tcW w:w="1273" w:type="pct"/>
                  <w:tcBorders>
                    <w:tl2br w:val="nil"/>
                    <w:tr2bl w:val="nil"/>
                  </w:tcBorders>
                  <w:noWrap w:val="0"/>
                  <w:vAlign w:val="center"/>
                </w:tcPr>
                <w:p w14:paraId="1434FD7B">
                  <w:pPr>
                    <w:pStyle w:val="170"/>
                    <w:keepNext w:val="0"/>
                    <w:keepLines w:val="0"/>
                    <w:pageBreakBefore w:val="0"/>
                    <w:kinsoku/>
                    <w:wordWrap/>
                    <w:overflowPunct/>
                    <w:topLinePunct w:val="0"/>
                    <w:autoSpaceDE/>
                    <w:autoSpaceDN/>
                    <w:bidi w:val="0"/>
                    <w:adjustRightInd/>
                    <w:snapToGrid/>
                    <w:spacing w:line="240" w:lineRule="auto"/>
                    <w:textAlignment w:val="auto"/>
                    <w:rPr>
                      <w:b/>
                      <w:b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循环池水泵</w:t>
                  </w:r>
                </w:p>
              </w:tc>
              <w:tc>
                <w:tcPr>
                  <w:tcW w:w="1393" w:type="pct"/>
                  <w:tcBorders>
                    <w:tl2br w:val="nil"/>
                    <w:tr2bl w:val="nil"/>
                  </w:tcBorders>
                  <w:noWrap w:val="0"/>
                  <w:vAlign w:val="center"/>
                </w:tcPr>
                <w:p w14:paraId="2FF36425">
                  <w:pPr>
                    <w:pStyle w:val="170"/>
                    <w:keepNext w:val="0"/>
                    <w:keepLines w:val="0"/>
                    <w:pageBreakBefore w:val="0"/>
                    <w:kinsoku/>
                    <w:wordWrap/>
                    <w:overflowPunct/>
                    <w:topLinePunct w:val="0"/>
                    <w:autoSpaceDE/>
                    <w:autoSpaceDN/>
                    <w:bidi w:val="0"/>
                    <w:adjustRightInd/>
                    <w:snapToGrid/>
                    <w:spacing w:line="240" w:lineRule="auto"/>
                    <w:textAlignment w:val="auto"/>
                    <w:rPr>
                      <w:rFonts w:hint="eastAsia"/>
                      <w:b/>
                      <w:bCs/>
                      <w:color w:val="000000" w:themeColor="text1"/>
                      <w:sz w:val="21"/>
                      <w:szCs w:val="21"/>
                      <w14:textFill>
                        <w14:solidFill>
                          <w14:schemeClr w14:val="tx1"/>
                        </w14:solidFill>
                      </w14:textFill>
                    </w:rPr>
                  </w:pPr>
                </w:p>
              </w:tc>
              <w:tc>
                <w:tcPr>
                  <w:tcW w:w="816" w:type="pct"/>
                  <w:tcBorders>
                    <w:tl2br w:val="nil"/>
                    <w:tr2bl w:val="nil"/>
                  </w:tcBorders>
                  <w:noWrap w:val="0"/>
                  <w:vAlign w:val="center"/>
                </w:tcPr>
                <w:p w14:paraId="7A7945EE">
                  <w:pPr>
                    <w:pStyle w:val="170"/>
                    <w:keepNext w:val="0"/>
                    <w:keepLines w:val="0"/>
                    <w:pageBreakBefore w:val="0"/>
                    <w:kinsoku/>
                    <w:wordWrap/>
                    <w:overflowPunct/>
                    <w:topLinePunct w:val="0"/>
                    <w:autoSpaceDE/>
                    <w:autoSpaceDN/>
                    <w:bidi w:val="0"/>
                    <w:adjustRightInd/>
                    <w:snapToGrid/>
                    <w:spacing w:line="240" w:lineRule="auto"/>
                    <w:textAlignment w:val="auto"/>
                    <w:rPr>
                      <w:rFonts w:hint="eastAsia"/>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t>台</w:t>
                  </w:r>
                </w:p>
              </w:tc>
              <w:tc>
                <w:tcPr>
                  <w:tcW w:w="1117" w:type="pct"/>
                  <w:tcBorders>
                    <w:tl2br w:val="nil"/>
                    <w:tr2bl w:val="nil"/>
                  </w:tcBorders>
                  <w:noWrap w:val="0"/>
                  <w:vAlign w:val="center"/>
                </w:tcPr>
                <w:p w14:paraId="4D18D66E">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eastAsia" w:eastAsia="宋体"/>
                      <w:b w:val="0"/>
                      <w:bCs w:val="0"/>
                      <w:color w:val="000000" w:themeColor="text1"/>
                      <w:sz w:val="21"/>
                      <w:szCs w:val="21"/>
                      <w:lang w:eastAsia="zh-CN"/>
                      <w14:textFill>
                        <w14:solidFill>
                          <w14:schemeClr w14:val="tx1"/>
                        </w14:solidFill>
                      </w14:textFill>
                    </w:rPr>
                  </w:pPr>
                  <w:r>
                    <w:rPr>
                      <w:rFonts w:hint="eastAsia" w:eastAsia="宋体"/>
                      <w:b w:val="0"/>
                      <w:bCs w:val="0"/>
                      <w:color w:val="000000" w:themeColor="text1"/>
                      <w:sz w:val="21"/>
                      <w:szCs w:val="21"/>
                      <w:lang w:eastAsia="zh-CN"/>
                      <w14:textFill>
                        <w14:solidFill>
                          <w14:schemeClr w14:val="tx1"/>
                        </w14:solidFill>
                      </w14:textFill>
                    </w:rPr>
                    <w:t>不变</w:t>
                  </w:r>
                </w:p>
              </w:tc>
            </w:tr>
            <w:tr w14:paraId="72C71FC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8" w:type="pct"/>
                  <w:tcBorders>
                    <w:tl2br w:val="nil"/>
                    <w:tr2bl w:val="nil"/>
                  </w:tcBorders>
                  <w:noWrap w:val="0"/>
                  <w:vAlign w:val="center"/>
                </w:tcPr>
                <w:p w14:paraId="175D9857">
                  <w:pPr>
                    <w:pStyle w:val="129"/>
                    <w:keepNext w:val="0"/>
                    <w:keepLines w:val="0"/>
                    <w:pageBreakBefore w:val="0"/>
                    <w:kinsoku/>
                    <w:wordWrap/>
                    <w:overflowPunct/>
                    <w:topLinePunct w:val="0"/>
                    <w:autoSpaceDE/>
                    <w:autoSpaceDN/>
                    <w:bidi w:val="0"/>
                    <w:adjustRightInd/>
                    <w:snapToGrid/>
                    <w:ind w:left="0" w:leftChars="0" w:right="0"/>
                    <w:textAlignment w:val="auto"/>
                    <w:rPr>
                      <w:rFonts w:hint="default"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10</w:t>
                  </w:r>
                </w:p>
              </w:tc>
              <w:tc>
                <w:tcPr>
                  <w:tcW w:w="1273" w:type="pct"/>
                  <w:tcBorders>
                    <w:tl2br w:val="nil"/>
                    <w:tr2bl w:val="nil"/>
                  </w:tcBorders>
                  <w:noWrap w:val="0"/>
                  <w:vAlign w:val="center"/>
                </w:tcPr>
                <w:p w14:paraId="424192A8">
                  <w:pPr>
                    <w:pStyle w:val="170"/>
                    <w:keepNext w:val="0"/>
                    <w:keepLines w:val="0"/>
                    <w:pageBreakBefore w:val="0"/>
                    <w:kinsoku/>
                    <w:wordWrap/>
                    <w:overflowPunct/>
                    <w:topLinePunct w:val="0"/>
                    <w:autoSpaceDE/>
                    <w:autoSpaceDN/>
                    <w:bidi w:val="0"/>
                    <w:adjustRightInd/>
                    <w:snapToGrid/>
                    <w:spacing w:line="240" w:lineRule="auto"/>
                    <w:textAlignment w:val="auto"/>
                    <w:rPr>
                      <w:b/>
                      <w:b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DZG固定炉排水火管蒸汽锅炉</w:t>
                  </w:r>
                </w:p>
              </w:tc>
              <w:tc>
                <w:tcPr>
                  <w:tcW w:w="1393" w:type="pct"/>
                  <w:tcBorders>
                    <w:tl2br w:val="nil"/>
                    <w:tr2bl w:val="nil"/>
                  </w:tcBorders>
                  <w:noWrap w:val="0"/>
                  <w:vAlign w:val="center"/>
                </w:tcPr>
                <w:p w14:paraId="182A78AB">
                  <w:pPr>
                    <w:pStyle w:val="170"/>
                    <w:keepNext w:val="0"/>
                    <w:keepLines w:val="0"/>
                    <w:pageBreakBefore w:val="0"/>
                    <w:kinsoku/>
                    <w:wordWrap/>
                    <w:overflowPunct/>
                    <w:topLinePunct w:val="0"/>
                    <w:autoSpaceDE/>
                    <w:autoSpaceDN/>
                    <w:bidi w:val="0"/>
                    <w:adjustRightInd/>
                    <w:snapToGrid/>
                    <w:spacing w:line="240" w:lineRule="auto"/>
                    <w:textAlignment w:val="auto"/>
                    <w:rPr>
                      <w:rFonts w:hint="eastAsia"/>
                      <w:b/>
                      <w:b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DZG-1.25-M</w:t>
                  </w:r>
                </w:p>
              </w:tc>
              <w:tc>
                <w:tcPr>
                  <w:tcW w:w="816" w:type="pct"/>
                  <w:tcBorders>
                    <w:tl2br w:val="nil"/>
                    <w:tr2bl w:val="nil"/>
                  </w:tcBorders>
                  <w:noWrap w:val="0"/>
                  <w:vAlign w:val="center"/>
                </w:tcPr>
                <w:p w14:paraId="5A5682F9">
                  <w:pPr>
                    <w:pStyle w:val="170"/>
                    <w:keepNext w:val="0"/>
                    <w:keepLines w:val="0"/>
                    <w:pageBreakBefore w:val="0"/>
                    <w:kinsoku/>
                    <w:wordWrap/>
                    <w:overflowPunct/>
                    <w:topLinePunct w:val="0"/>
                    <w:autoSpaceDE/>
                    <w:autoSpaceDN/>
                    <w:bidi w:val="0"/>
                    <w:adjustRightInd/>
                    <w:snapToGrid/>
                    <w:spacing w:line="240" w:lineRule="auto"/>
                    <w:textAlignment w:val="auto"/>
                    <w:rPr>
                      <w:rFonts w:hint="default"/>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t>台</w:t>
                  </w:r>
                </w:p>
              </w:tc>
              <w:tc>
                <w:tcPr>
                  <w:tcW w:w="1117" w:type="pct"/>
                  <w:tcBorders>
                    <w:tl2br w:val="nil"/>
                    <w:tr2bl w:val="nil"/>
                  </w:tcBorders>
                  <w:noWrap w:val="0"/>
                  <w:vAlign w:val="center"/>
                </w:tcPr>
                <w:p w14:paraId="03FA1186">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eastAsia" w:eastAsia="宋体"/>
                      <w:b w:val="0"/>
                      <w:bCs w:val="0"/>
                      <w:color w:val="000000" w:themeColor="text1"/>
                      <w:sz w:val="21"/>
                      <w:szCs w:val="21"/>
                      <w:lang w:eastAsia="zh-CN"/>
                      <w14:textFill>
                        <w14:solidFill>
                          <w14:schemeClr w14:val="tx1"/>
                        </w14:solidFill>
                      </w14:textFill>
                    </w:rPr>
                  </w:pPr>
                  <w:r>
                    <w:rPr>
                      <w:rFonts w:hint="eastAsia"/>
                      <w:b w:val="0"/>
                      <w:bCs w:val="0"/>
                      <w:color w:val="000000" w:themeColor="text1"/>
                      <w:sz w:val="21"/>
                      <w:szCs w:val="21"/>
                      <w:lang w:eastAsia="zh-CN"/>
                      <w14:textFill>
                        <w14:solidFill>
                          <w14:schemeClr w14:val="tx1"/>
                        </w14:solidFill>
                      </w14:textFill>
                    </w:rPr>
                    <w:t>拆除</w:t>
                  </w:r>
                </w:p>
              </w:tc>
            </w:tr>
            <w:tr w14:paraId="684A9E0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8" w:type="pct"/>
                  <w:tcBorders>
                    <w:tl2br w:val="nil"/>
                    <w:tr2bl w:val="nil"/>
                  </w:tcBorders>
                  <w:noWrap w:val="0"/>
                  <w:vAlign w:val="center"/>
                </w:tcPr>
                <w:p w14:paraId="0B67F1EC">
                  <w:pPr>
                    <w:pStyle w:val="129"/>
                    <w:keepNext w:val="0"/>
                    <w:keepLines w:val="0"/>
                    <w:pageBreakBefore w:val="0"/>
                    <w:kinsoku/>
                    <w:wordWrap/>
                    <w:overflowPunct/>
                    <w:topLinePunct w:val="0"/>
                    <w:autoSpaceDE/>
                    <w:autoSpaceDN/>
                    <w:bidi w:val="0"/>
                    <w:adjustRightInd/>
                    <w:snapToGrid/>
                    <w:ind w:left="0" w:leftChars="0" w:right="0"/>
                    <w:textAlignment w:val="auto"/>
                    <w:rPr>
                      <w:rFonts w:hint="default"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11</w:t>
                  </w:r>
                </w:p>
              </w:tc>
              <w:tc>
                <w:tcPr>
                  <w:tcW w:w="1273" w:type="pct"/>
                  <w:tcBorders>
                    <w:tl2br w:val="nil"/>
                    <w:tr2bl w:val="nil"/>
                  </w:tcBorders>
                  <w:noWrap w:val="0"/>
                  <w:vAlign w:val="center"/>
                </w:tcPr>
                <w:p w14:paraId="6736E17E">
                  <w:pPr>
                    <w:pStyle w:val="170"/>
                    <w:keepNext w:val="0"/>
                    <w:keepLines w:val="0"/>
                    <w:pageBreakBefore w:val="0"/>
                    <w:kinsoku/>
                    <w:wordWrap/>
                    <w:overflowPunct/>
                    <w:topLinePunct w:val="0"/>
                    <w:autoSpaceDE/>
                    <w:autoSpaceDN/>
                    <w:bidi w:val="0"/>
                    <w:adjustRightInd/>
                    <w:snapToGrid/>
                    <w:spacing w:line="240" w:lineRule="auto"/>
                    <w:textAlignment w:val="auto"/>
                    <w:rPr>
                      <w:b/>
                      <w:b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双碱法脱硫除尘设施</w:t>
                  </w:r>
                </w:p>
              </w:tc>
              <w:tc>
                <w:tcPr>
                  <w:tcW w:w="1393" w:type="pct"/>
                  <w:tcBorders>
                    <w:tl2br w:val="nil"/>
                    <w:tr2bl w:val="nil"/>
                  </w:tcBorders>
                  <w:noWrap w:val="0"/>
                  <w:vAlign w:val="center"/>
                </w:tcPr>
                <w:p w14:paraId="48B413DA">
                  <w:pPr>
                    <w:pStyle w:val="170"/>
                    <w:keepNext w:val="0"/>
                    <w:keepLines w:val="0"/>
                    <w:pageBreakBefore w:val="0"/>
                    <w:kinsoku/>
                    <w:wordWrap/>
                    <w:overflowPunct/>
                    <w:topLinePunct w:val="0"/>
                    <w:autoSpaceDE/>
                    <w:autoSpaceDN/>
                    <w:bidi w:val="0"/>
                    <w:adjustRightInd/>
                    <w:snapToGrid/>
                    <w:spacing w:line="240" w:lineRule="auto"/>
                    <w:textAlignment w:val="auto"/>
                    <w:rPr>
                      <w:rFonts w:hint="eastAsia"/>
                      <w:b/>
                      <w:bCs/>
                      <w:color w:val="000000" w:themeColor="text1"/>
                      <w:sz w:val="21"/>
                      <w:szCs w:val="21"/>
                      <w14:textFill>
                        <w14:solidFill>
                          <w14:schemeClr w14:val="tx1"/>
                        </w14:solidFill>
                      </w14:textFill>
                    </w:rPr>
                  </w:pPr>
                </w:p>
              </w:tc>
              <w:tc>
                <w:tcPr>
                  <w:tcW w:w="816" w:type="pct"/>
                  <w:tcBorders>
                    <w:tl2br w:val="nil"/>
                    <w:tr2bl w:val="nil"/>
                  </w:tcBorders>
                  <w:noWrap w:val="0"/>
                  <w:vAlign w:val="center"/>
                </w:tcPr>
                <w:p w14:paraId="5B2613EE">
                  <w:pPr>
                    <w:pStyle w:val="170"/>
                    <w:keepNext w:val="0"/>
                    <w:keepLines w:val="0"/>
                    <w:pageBreakBefore w:val="0"/>
                    <w:kinsoku/>
                    <w:wordWrap/>
                    <w:overflowPunct/>
                    <w:topLinePunct w:val="0"/>
                    <w:autoSpaceDE/>
                    <w:autoSpaceDN/>
                    <w:bidi w:val="0"/>
                    <w:adjustRightInd/>
                    <w:snapToGrid/>
                    <w:spacing w:line="240" w:lineRule="auto"/>
                    <w:textAlignment w:val="auto"/>
                    <w:rPr>
                      <w:rFonts w:hint="default"/>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t>台</w:t>
                  </w:r>
                </w:p>
              </w:tc>
              <w:tc>
                <w:tcPr>
                  <w:tcW w:w="1117" w:type="pct"/>
                  <w:tcBorders>
                    <w:tl2br w:val="nil"/>
                    <w:tr2bl w:val="nil"/>
                  </w:tcBorders>
                  <w:noWrap w:val="0"/>
                  <w:vAlign w:val="center"/>
                </w:tcPr>
                <w:p w14:paraId="725F12BF">
                  <w:pPr>
                    <w:pStyle w:val="129"/>
                    <w:keepNext w:val="0"/>
                    <w:keepLines w:val="0"/>
                    <w:pageBreakBefore w:val="0"/>
                    <w:kinsoku/>
                    <w:wordWrap/>
                    <w:overflowPunct/>
                    <w:topLinePunct w:val="0"/>
                    <w:autoSpaceDE/>
                    <w:autoSpaceDN/>
                    <w:bidi w:val="0"/>
                    <w:adjustRightInd/>
                    <w:snapToGrid/>
                    <w:ind w:left="0" w:leftChars="0" w:right="0" w:rightChars="0" w:firstLine="0" w:firstLineChars="0"/>
                    <w:textAlignment w:val="auto"/>
                    <w:rPr>
                      <w:rFonts w:hint="eastAsia" w:eastAsia="宋体"/>
                      <w:b w:val="0"/>
                      <w:bCs w:val="0"/>
                      <w:color w:val="000000" w:themeColor="text1"/>
                      <w:sz w:val="21"/>
                      <w:szCs w:val="21"/>
                      <w:lang w:eastAsia="zh-CN"/>
                      <w14:textFill>
                        <w14:solidFill>
                          <w14:schemeClr w14:val="tx1"/>
                        </w14:solidFill>
                      </w14:textFill>
                    </w:rPr>
                  </w:pPr>
                  <w:r>
                    <w:rPr>
                      <w:rFonts w:hint="eastAsia"/>
                      <w:b w:val="0"/>
                      <w:bCs w:val="0"/>
                      <w:color w:val="000000" w:themeColor="text1"/>
                      <w:sz w:val="21"/>
                      <w:szCs w:val="21"/>
                      <w:lang w:eastAsia="zh-CN"/>
                      <w14:textFill>
                        <w14:solidFill>
                          <w14:schemeClr w14:val="tx1"/>
                        </w14:solidFill>
                      </w14:textFill>
                    </w:rPr>
                    <w:t>拆除</w:t>
                  </w:r>
                </w:p>
              </w:tc>
            </w:tr>
          </w:tbl>
          <w:p w14:paraId="5619F913">
            <w:pPr>
              <w:widowControl/>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5</w:t>
            </w:r>
            <w:r>
              <w:rPr>
                <w:b/>
                <w:color w:val="000000" w:themeColor="text1"/>
                <w:sz w:val="24"/>
                <w14:textFill>
                  <w14:solidFill>
                    <w14:schemeClr w14:val="tx1"/>
                  </w14:solidFill>
                </w14:textFill>
              </w:rPr>
              <w:t>、原辅材料及能源消耗</w:t>
            </w:r>
          </w:p>
          <w:p w14:paraId="649437FF">
            <w:pPr>
              <w:autoSpaceDE w:val="0"/>
              <w:autoSpaceDN w:val="0"/>
              <w:adjustRightInd w:val="0"/>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现有项目</w:t>
            </w:r>
            <w:r>
              <w:rPr>
                <w:rFonts w:hint="eastAsia" w:eastAsia="宋体" w:cs="Times New Roman"/>
                <w:color w:val="000000" w:themeColor="text1"/>
                <w:sz w:val="24"/>
                <w:lang w:val="en-US" w:eastAsia="zh-CN"/>
                <w14:textFill>
                  <w14:solidFill>
                    <w14:schemeClr w14:val="tx1"/>
                  </w14:solidFill>
                </w14:textFill>
              </w:rPr>
              <w:t>原辅料及能源消耗，</w:t>
            </w:r>
            <w:r>
              <w:rPr>
                <w:rFonts w:hint="eastAsia" w:ascii="Times New Roman" w:hAnsi="Times New Roman" w:eastAsia="宋体" w:cs="Times New Roman"/>
                <w:color w:val="000000" w:themeColor="text1"/>
                <w:sz w:val="24"/>
                <w:lang w:val="en-US" w:eastAsia="zh-CN"/>
                <w14:textFill>
                  <w14:solidFill>
                    <w14:schemeClr w14:val="tx1"/>
                  </w14:solidFill>
                </w14:textFill>
              </w:rPr>
              <w:t>详见表</w:t>
            </w:r>
            <w:r>
              <w:rPr>
                <w:rFonts w:hint="eastAsia" w:cs="Times New Roman"/>
                <w:color w:val="000000" w:themeColor="text1"/>
                <w:sz w:val="24"/>
                <w:lang w:val="en-US" w:eastAsia="zh-CN"/>
                <w14:textFill>
                  <w14:solidFill>
                    <w14:schemeClr w14:val="tx1"/>
                  </w14:solidFill>
                </w14:textFill>
              </w:rPr>
              <w:t>。</w:t>
            </w:r>
          </w:p>
          <w:p w14:paraId="79240520">
            <w:pPr>
              <w:keepNext w:val="0"/>
              <w:keepLines w:val="0"/>
              <w:pageBreakBefore w:val="0"/>
              <w:widowControl w:val="0"/>
              <w:tabs>
                <w:tab w:val="left" w:pos="6489"/>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表2-</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1</w:t>
            </w:r>
            <w:r>
              <w:rPr>
                <w:rFonts w:hint="eastAsia" w:cs="Times New Roman"/>
                <w:b/>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原辅材料消耗表</w:t>
            </w:r>
          </w:p>
          <w:tbl>
            <w:tblPr>
              <w:tblStyle w:val="33"/>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57"/>
              <w:gridCol w:w="2154"/>
              <w:gridCol w:w="2376"/>
              <w:gridCol w:w="3224"/>
            </w:tblGrid>
            <w:tr w14:paraId="49175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391" w:type="pct"/>
                  <w:tcBorders>
                    <w:tl2br w:val="nil"/>
                    <w:tr2bl w:val="nil"/>
                  </w:tcBorders>
                  <w:noWrap w:val="0"/>
                  <w:vAlign w:val="center"/>
                </w:tcPr>
                <w:p w14:paraId="2DD924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序号</w:t>
                  </w:r>
                </w:p>
              </w:tc>
              <w:tc>
                <w:tcPr>
                  <w:tcW w:w="1280" w:type="pct"/>
                  <w:tcBorders>
                    <w:tl2br w:val="nil"/>
                    <w:tr2bl w:val="nil"/>
                  </w:tcBorders>
                  <w:noWrap w:val="0"/>
                  <w:vAlign w:val="center"/>
                </w:tcPr>
                <w:p w14:paraId="3D2F62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原辅料</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名称</w:t>
                  </w:r>
                </w:p>
              </w:tc>
              <w:tc>
                <w:tcPr>
                  <w:tcW w:w="1412" w:type="pct"/>
                  <w:tcBorders>
                    <w:tl2br w:val="nil"/>
                    <w:tr2bl w:val="nil"/>
                  </w:tcBorders>
                  <w:noWrap w:val="0"/>
                  <w:vAlign w:val="center"/>
                </w:tcPr>
                <w:p w14:paraId="6B89A9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现有项目用量</w:t>
                  </w:r>
                </w:p>
              </w:tc>
              <w:tc>
                <w:tcPr>
                  <w:tcW w:w="1916" w:type="pct"/>
                  <w:tcBorders>
                    <w:tl2br w:val="nil"/>
                    <w:tr2bl w:val="nil"/>
                  </w:tcBorders>
                  <w:noWrap w:val="0"/>
                  <w:vAlign w:val="center"/>
                </w:tcPr>
                <w:p w14:paraId="67073D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备注</w:t>
                  </w:r>
                </w:p>
              </w:tc>
            </w:tr>
            <w:tr w14:paraId="2770F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12" w:hRule="atLeast"/>
                <w:jc w:val="center"/>
              </w:trPr>
              <w:tc>
                <w:tcPr>
                  <w:tcW w:w="391" w:type="pct"/>
                  <w:tcBorders>
                    <w:tl2br w:val="nil"/>
                    <w:tr2bl w:val="nil"/>
                  </w:tcBorders>
                  <w:noWrap w:val="0"/>
                  <w:vAlign w:val="center"/>
                </w:tcPr>
                <w:p w14:paraId="79A68D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1</w:t>
                  </w:r>
                </w:p>
              </w:tc>
              <w:tc>
                <w:tcPr>
                  <w:tcW w:w="1280" w:type="pct"/>
                  <w:tcBorders>
                    <w:tl2br w:val="nil"/>
                    <w:tr2bl w:val="nil"/>
                  </w:tcBorders>
                  <w:noWrap w:val="0"/>
                  <w:vAlign w:val="center"/>
                </w:tcPr>
                <w:p w14:paraId="76CD93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lang w:val="en-US" w:eastAsia="zh-CN"/>
                      <w14:textFill>
                        <w14:solidFill>
                          <w14:schemeClr w14:val="tx1"/>
                        </w14:solidFill>
                      </w14:textFill>
                    </w:rPr>
                    <w:t>EPS泡沫颗粒</w:t>
                  </w:r>
                </w:p>
              </w:tc>
              <w:tc>
                <w:tcPr>
                  <w:tcW w:w="1412" w:type="pct"/>
                  <w:tcBorders>
                    <w:tl2br w:val="nil"/>
                    <w:tr2bl w:val="nil"/>
                  </w:tcBorders>
                  <w:noWrap w:val="0"/>
                  <w:vAlign w:val="center"/>
                </w:tcPr>
                <w:p w14:paraId="364AF8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150t/a</w:t>
                  </w:r>
                </w:p>
              </w:tc>
              <w:tc>
                <w:tcPr>
                  <w:tcW w:w="1916" w:type="pct"/>
                  <w:tcBorders>
                    <w:tl2br w:val="nil"/>
                    <w:tr2bl w:val="nil"/>
                  </w:tcBorders>
                  <w:noWrap w:val="0"/>
                  <w:vAlign w:val="center"/>
                </w:tcPr>
                <w:p w14:paraId="125BA2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本次</w:t>
                  </w:r>
                  <w:r>
                    <w:rPr>
                      <w:rFonts w:hint="eastAsia" w:ascii="Times New Roman" w:hAnsi="Times New Roman" w:eastAsia="宋体" w:cs="Times New Roman"/>
                      <w:b w:val="0"/>
                      <w:bCs w:val="0"/>
                      <w:color w:val="000000" w:themeColor="text1"/>
                      <w:lang w:eastAsia="zh-CN"/>
                      <w14:textFill>
                        <w14:solidFill>
                          <w14:schemeClr w14:val="tx1"/>
                        </w14:solidFill>
                      </w14:textFill>
                    </w:rPr>
                    <w:t>不涉及现有项目原料</w:t>
                  </w:r>
                  <w:r>
                    <w:rPr>
                      <w:rFonts w:hint="eastAsia" w:ascii="Times New Roman" w:hAnsi="Times New Roman" w:eastAsia="宋体" w:cs="Times New Roman"/>
                      <w:b w:val="0"/>
                      <w:bCs w:val="0"/>
                      <w:color w:val="000000" w:themeColor="text1"/>
                      <w:lang w:val="en-US" w:eastAsia="zh-CN"/>
                      <w14:textFill>
                        <w14:solidFill>
                          <w14:schemeClr w14:val="tx1"/>
                        </w14:solidFill>
                      </w14:textFill>
                    </w:rPr>
                    <w:t>EPS用量变动</w:t>
                  </w:r>
                </w:p>
              </w:tc>
            </w:tr>
            <w:tr w14:paraId="26D4C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391" w:type="pct"/>
                  <w:tcBorders>
                    <w:tl2br w:val="nil"/>
                    <w:tr2bl w:val="nil"/>
                  </w:tcBorders>
                  <w:noWrap w:val="0"/>
                  <w:vAlign w:val="center"/>
                </w:tcPr>
                <w:p w14:paraId="181B53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2</w:t>
                  </w:r>
                </w:p>
              </w:tc>
              <w:tc>
                <w:tcPr>
                  <w:tcW w:w="1280" w:type="pct"/>
                  <w:tcBorders>
                    <w:tl2br w:val="nil"/>
                    <w:tr2bl w:val="nil"/>
                  </w:tcBorders>
                  <w:noWrap w:val="0"/>
                  <w:vAlign w:val="center"/>
                </w:tcPr>
                <w:p w14:paraId="79D4E960">
                  <w:pPr>
                    <w:pStyle w:val="170"/>
                    <w:spacing w:line="240" w:lineRule="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lang w:val="en-US" w:eastAsia="zh-CN"/>
                      <w14:textFill>
                        <w14:solidFill>
                          <w14:schemeClr w14:val="tx1"/>
                        </w14:solidFill>
                      </w14:textFill>
                    </w:rPr>
                    <w:t>煤</w:t>
                  </w:r>
                </w:p>
              </w:tc>
              <w:tc>
                <w:tcPr>
                  <w:tcW w:w="1412" w:type="pct"/>
                  <w:tcBorders>
                    <w:tl2br w:val="nil"/>
                    <w:tr2bl w:val="nil"/>
                  </w:tcBorders>
                  <w:noWrap w:val="0"/>
                  <w:vAlign w:val="center"/>
                </w:tcPr>
                <w:p w14:paraId="7A5D8DC6">
                  <w:pPr>
                    <w:pStyle w:val="170"/>
                    <w:spacing w:line="240" w:lineRule="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lang w:val="en-US" w:eastAsia="zh-CN"/>
                      <w14:textFill>
                        <w14:solidFill>
                          <w14:schemeClr w14:val="tx1"/>
                        </w14:solidFill>
                      </w14:textFill>
                    </w:rPr>
                    <w:t>672t/a</w:t>
                  </w:r>
                </w:p>
              </w:tc>
              <w:tc>
                <w:tcPr>
                  <w:tcW w:w="1916" w:type="pct"/>
                  <w:vMerge w:val="restart"/>
                  <w:tcBorders>
                    <w:tl2br w:val="nil"/>
                    <w:tr2bl w:val="nil"/>
                  </w:tcBorders>
                  <w:noWrap w:val="0"/>
                  <w:vAlign w:val="center"/>
                </w:tcPr>
                <w:p w14:paraId="33AA6D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本项目建设完成后不再使用</w:t>
                  </w:r>
                </w:p>
              </w:tc>
            </w:tr>
            <w:tr w14:paraId="01AB9F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391" w:type="pct"/>
                  <w:tcBorders>
                    <w:tl2br w:val="nil"/>
                    <w:tr2bl w:val="nil"/>
                  </w:tcBorders>
                  <w:noWrap w:val="0"/>
                  <w:vAlign w:val="center"/>
                </w:tcPr>
                <w:p w14:paraId="2A200F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3</w:t>
                  </w:r>
                </w:p>
              </w:tc>
              <w:tc>
                <w:tcPr>
                  <w:tcW w:w="1280" w:type="pct"/>
                  <w:tcBorders>
                    <w:tl2br w:val="nil"/>
                    <w:tr2bl w:val="nil"/>
                  </w:tcBorders>
                  <w:noWrap w:val="0"/>
                  <w:vAlign w:val="center"/>
                </w:tcPr>
                <w:p w14:paraId="35FA796C">
                  <w:pPr>
                    <w:pStyle w:val="170"/>
                    <w:spacing w:line="240" w:lineRule="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lang w:val="en-US" w:eastAsia="zh-CN"/>
                      <w14:textFill>
                        <w14:solidFill>
                          <w14:schemeClr w14:val="tx1"/>
                        </w14:solidFill>
                      </w14:textFill>
                    </w:rPr>
                    <w:t>石灰</w:t>
                  </w:r>
                </w:p>
              </w:tc>
              <w:tc>
                <w:tcPr>
                  <w:tcW w:w="1412" w:type="pct"/>
                  <w:tcBorders>
                    <w:tl2br w:val="nil"/>
                    <w:tr2bl w:val="nil"/>
                  </w:tcBorders>
                  <w:noWrap w:val="0"/>
                  <w:vAlign w:val="center"/>
                </w:tcPr>
                <w:p w14:paraId="6C489A73">
                  <w:pPr>
                    <w:pStyle w:val="170"/>
                    <w:spacing w:line="240" w:lineRule="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432t/a</w:t>
                  </w:r>
                </w:p>
              </w:tc>
              <w:tc>
                <w:tcPr>
                  <w:tcW w:w="1916" w:type="pct"/>
                  <w:vMerge w:val="continue"/>
                  <w:tcBorders>
                    <w:tl2br w:val="nil"/>
                    <w:tr2bl w:val="nil"/>
                  </w:tcBorders>
                  <w:noWrap w:val="0"/>
                  <w:vAlign w:val="center"/>
                </w:tcPr>
                <w:p w14:paraId="4723BC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lang w:val="en-US" w:eastAsia="zh-CN"/>
                      <w14:textFill>
                        <w14:solidFill>
                          <w14:schemeClr w14:val="tx1"/>
                        </w14:solidFill>
                      </w14:textFill>
                    </w:rPr>
                  </w:pPr>
                </w:p>
              </w:tc>
            </w:tr>
            <w:tr w14:paraId="0A35B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391" w:type="pct"/>
                  <w:tcBorders>
                    <w:tl2br w:val="nil"/>
                    <w:tr2bl w:val="nil"/>
                  </w:tcBorders>
                  <w:noWrap w:val="0"/>
                  <w:vAlign w:val="center"/>
                </w:tcPr>
                <w:p w14:paraId="02F778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4</w:t>
                  </w:r>
                </w:p>
              </w:tc>
              <w:tc>
                <w:tcPr>
                  <w:tcW w:w="1280" w:type="pct"/>
                  <w:tcBorders>
                    <w:tl2br w:val="nil"/>
                    <w:tr2bl w:val="nil"/>
                  </w:tcBorders>
                  <w:noWrap w:val="0"/>
                  <w:vAlign w:val="center"/>
                </w:tcPr>
                <w:p w14:paraId="3512C183">
                  <w:pPr>
                    <w:pStyle w:val="170"/>
                    <w:spacing w:line="240" w:lineRule="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lang w:val="en-US" w:eastAsia="zh-CN"/>
                      <w14:textFill>
                        <w14:solidFill>
                          <w14:schemeClr w14:val="tx1"/>
                        </w14:solidFill>
                      </w14:textFill>
                    </w:rPr>
                    <w:t>氢氧化钠</w:t>
                  </w:r>
                </w:p>
              </w:tc>
              <w:tc>
                <w:tcPr>
                  <w:tcW w:w="1412" w:type="pct"/>
                  <w:tcBorders>
                    <w:tl2br w:val="nil"/>
                    <w:tr2bl w:val="nil"/>
                  </w:tcBorders>
                  <w:noWrap w:val="0"/>
                  <w:vAlign w:val="center"/>
                </w:tcPr>
                <w:p w14:paraId="6B9B4242">
                  <w:pPr>
                    <w:pStyle w:val="170"/>
                    <w:spacing w:line="240" w:lineRule="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lang w:val="en-US" w:eastAsia="zh-CN"/>
                      <w14:textFill>
                        <w14:solidFill>
                          <w14:schemeClr w14:val="tx1"/>
                        </w14:solidFill>
                      </w14:textFill>
                    </w:rPr>
                    <w:t>2.2t/a</w:t>
                  </w:r>
                </w:p>
              </w:tc>
              <w:tc>
                <w:tcPr>
                  <w:tcW w:w="1916" w:type="pct"/>
                  <w:vMerge w:val="continue"/>
                  <w:tcBorders>
                    <w:tl2br w:val="nil"/>
                    <w:tr2bl w:val="nil"/>
                  </w:tcBorders>
                  <w:noWrap w:val="0"/>
                  <w:vAlign w:val="center"/>
                </w:tcPr>
                <w:p w14:paraId="5DC5D6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lang w:val="en-US" w:eastAsia="zh-CN"/>
                      <w14:textFill>
                        <w14:solidFill>
                          <w14:schemeClr w14:val="tx1"/>
                        </w14:solidFill>
                      </w14:textFill>
                    </w:rPr>
                  </w:pPr>
                </w:p>
              </w:tc>
            </w:tr>
            <w:tr w14:paraId="0AD132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391" w:type="pct"/>
                  <w:tcBorders>
                    <w:tl2br w:val="nil"/>
                    <w:tr2bl w:val="nil"/>
                  </w:tcBorders>
                  <w:noWrap w:val="0"/>
                  <w:vAlign w:val="center"/>
                </w:tcPr>
                <w:p w14:paraId="6D34D4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5</w:t>
                  </w:r>
                </w:p>
              </w:tc>
              <w:tc>
                <w:tcPr>
                  <w:tcW w:w="1280" w:type="pct"/>
                  <w:tcBorders>
                    <w:tl2br w:val="nil"/>
                    <w:tr2bl w:val="nil"/>
                  </w:tcBorders>
                  <w:noWrap w:val="0"/>
                  <w:vAlign w:val="center"/>
                </w:tcPr>
                <w:p w14:paraId="778F50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w:t>
                  </w:r>
                </w:p>
              </w:tc>
              <w:tc>
                <w:tcPr>
                  <w:tcW w:w="1412" w:type="pct"/>
                  <w:tcBorders>
                    <w:tl2br w:val="nil"/>
                    <w:tr2bl w:val="nil"/>
                  </w:tcBorders>
                  <w:noWrap w:val="0"/>
                  <w:vAlign w:val="center"/>
                </w:tcPr>
                <w:p w14:paraId="59FD13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4159.68m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/a</w:t>
                  </w:r>
                </w:p>
              </w:tc>
              <w:tc>
                <w:tcPr>
                  <w:tcW w:w="1916" w:type="pct"/>
                  <w:tcBorders>
                    <w:tl2br w:val="nil"/>
                    <w:tr2bl w:val="nil"/>
                  </w:tcBorders>
                  <w:noWrap w:val="0"/>
                  <w:vAlign w:val="center"/>
                </w:tcPr>
                <w:p w14:paraId="207128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由周边市政管网供给</w:t>
                  </w:r>
                </w:p>
              </w:tc>
            </w:tr>
            <w:tr w14:paraId="2ADB9E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391" w:type="pct"/>
                  <w:tcBorders>
                    <w:tl2br w:val="nil"/>
                    <w:tr2bl w:val="nil"/>
                  </w:tcBorders>
                  <w:noWrap w:val="0"/>
                  <w:vAlign w:val="center"/>
                </w:tcPr>
                <w:p w14:paraId="6AB20C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6</w:t>
                  </w:r>
                </w:p>
              </w:tc>
              <w:tc>
                <w:tcPr>
                  <w:tcW w:w="1280" w:type="pct"/>
                  <w:tcBorders>
                    <w:tl2br w:val="nil"/>
                    <w:tr2bl w:val="nil"/>
                  </w:tcBorders>
                  <w:noWrap w:val="0"/>
                  <w:vAlign w:val="center"/>
                </w:tcPr>
                <w:p w14:paraId="7851F1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电</w:t>
                  </w:r>
                </w:p>
              </w:tc>
              <w:tc>
                <w:tcPr>
                  <w:tcW w:w="1412" w:type="pct"/>
                  <w:tcBorders>
                    <w:tl2br w:val="nil"/>
                    <w:tr2bl w:val="nil"/>
                  </w:tcBorders>
                  <w:noWrap w:val="0"/>
                  <w:vAlign w:val="center"/>
                </w:tcPr>
                <w:p w14:paraId="2DB94B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85.34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万Kwh/a</w:t>
                  </w:r>
                </w:p>
              </w:tc>
              <w:tc>
                <w:tcPr>
                  <w:tcW w:w="1916" w:type="pct"/>
                  <w:tcBorders>
                    <w:tl2br w:val="nil"/>
                    <w:tr2bl w:val="nil"/>
                  </w:tcBorders>
                  <w:noWrap w:val="0"/>
                  <w:vAlign w:val="center"/>
                </w:tcPr>
                <w:p w14:paraId="55E5C4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由周边市政电网提供</w:t>
                  </w:r>
                </w:p>
              </w:tc>
            </w:tr>
          </w:tbl>
          <w:p w14:paraId="3C6BED8E">
            <w:pPr>
              <w:widowControl/>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6</w:t>
            </w:r>
            <w:r>
              <w:rPr>
                <w:b/>
                <w:color w:val="000000" w:themeColor="text1"/>
                <w:sz w:val="24"/>
                <w14:textFill>
                  <w14:solidFill>
                    <w14:schemeClr w14:val="tx1"/>
                  </w14:solidFill>
                </w14:textFill>
              </w:rPr>
              <w:t>、劳动定员</w:t>
            </w:r>
          </w:p>
          <w:p w14:paraId="5BCE577E">
            <w:pPr>
              <w:autoSpaceDE w:val="0"/>
              <w:autoSpaceDN w:val="0"/>
              <w:adjustRightInd w:val="0"/>
              <w:spacing w:line="360" w:lineRule="auto"/>
              <w:ind w:firstLine="480" w:firstLineChars="200"/>
              <w:rPr>
                <w:rFonts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现有项目</w:t>
            </w:r>
            <w:r>
              <w:rPr>
                <w:rFonts w:hint="eastAsia" w:ascii="Times New Roman" w:hAnsi="Times New Roman" w:eastAsia="宋体" w:cs="Times New Roman"/>
                <w:color w:val="000000" w:themeColor="text1"/>
                <w:sz w:val="24"/>
                <w:lang w:val="en-US" w:eastAsia="zh-CN"/>
                <w14:textFill>
                  <w14:solidFill>
                    <w14:schemeClr w14:val="tx1"/>
                  </w14:solidFill>
                </w14:textFill>
              </w:rPr>
              <w:t>有员工12人，均为附近村民，设置食堂，不设置住宿。</w:t>
            </w:r>
          </w:p>
          <w:p w14:paraId="12A1FD97">
            <w:pPr>
              <w:autoSpaceDE w:val="0"/>
              <w:autoSpaceDN w:val="0"/>
              <w:adjustRightInd w:val="0"/>
              <w:spacing w:line="360" w:lineRule="auto"/>
              <w:ind w:firstLine="480" w:firstLineChars="200"/>
              <w:rPr>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现有项目</w:t>
            </w:r>
            <w:r>
              <w:rPr>
                <w:bCs/>
                <w:color w:val="000000" w:themeColor="text1"/>
                <w:sz w:val="24"/>
                <w14:textFill>
                  <w14:solidFill>
                    <w14:schemeClr w14:val="tx1"/>
                  </w14:solidFill>
                </w14:textFill>
              </w:rPr>
              <w:t>年工作300天，每天8小时，采取一班制</w:t>
            </w:r>
            <w:r>
              <w:rPr>
                <w:color w:val="000000" w:themeColor="text1"/>
                <w:sz w:val="24"/>
                <w14:textFill>
                  <w14:solidFill>
                    <w14:schemeClr w14:val="tx1"/>
                  </w14:solidFill>
                </w14:textFill>
              </w:rPr>
              <w:t>。</w:t>
            </w:r>
          </w:p>
          <w:p w14:paraId="2169758C">
            <w:pPr>
              <w:autoSpaceDE w:val="0"/>
              <w:autoSpaceDN w:val="0"/>
              <w:adjustRightInd w:val="0"/>
              <w:spacing w:line="360" w:lineRule="auto"/>
              <w:ind w:firstLine="482" w:firstLineChars="200"/>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7、生产工艺流程</w:t>
            </w:r>
          </w:p>
          <w:p w14:paraId="2CD4AE76">
            <w:pPr>
              <w:autoSpaceDE w:val="0"/>
              <w:autoSpaceDN w:val="0"/>
              <w:adjustRightInd w:val="0"/>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现有项目</w:t>
            </w:r>
            <w:r>
              <w:rPr>
                <w:rFonts w:hint="eastAsia" w:ascii="Times New Roman" w:hAnsi="Times New Roman" w:eastAsia="宋体" w:cs="Times New Roman"/>
                <w:color w:val="000000" w:themeColor="text1"/>
                <w:sz w:val="24"/>
                <w:lang w:val="en-US" w:eastAsia="zh-CN"/>
                <w14:textFill>
                  <w14:solidFill>
                    <w14:schemeClr w14:val="tx1"/>
                  </w14:solidFill>
                </w14:textFill>
              </w:rPr>
              <w:t>工艺流程简述：</w:t>
            </w:r>
          </w:p>
          <w:p w14:paraId="2DD0B4F4">
            <w:pPr>
              <w:keepNext w:val="0"/>
              <w:keepLines w:val="0"/>
              <w:pageBreakBefore w:val="0"/>
              <w:kinsoku/>
              <w:wordWrap/>
              <w:overflowPunct/>
              <w:topLinePunct w:val="0"/>
              <w:autoSpaceDE/>
              <w:autoSpaceDN/>
              <w:bidi w:val="0"/>
              <w:spacing w:line="360" w:lineRule="auto"/>
              <w:ind w:firstLine="482" w:firstLineChars="200"/>
              <w:textAlignment w:val="auto"/>
              <w:rPr>
                <w:rFonts w:hint="default" w:ascii="Times New Roman" w:hAnsi="Times New Roman" w:cs="Times New Roman" w:eastAsiaTheme="minorEastAsia"/>
                <w:b/>
                <w:bCs/>
                <w:color w:val="000000" w:themeColor="text1"/>
                <w:sz w:val="24"/>
                <w:szCs w:val="24"/>
                <w:lang w:val="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zh-CN"/>
                <w14:textFill>
                  <w14:solidFill>
                    <w14:schemeClr w14:val="tx1"/>
                  </w14:solidFill>
                </w14:textFill>
              </w:rPr>
              <w:t>（</w:t>
            </w:r>
            <w:r>
              <w:rPr>
                <w:rFonts w:hint="default" w:ascii="Times New Roman" w:hAnsi="Times New Roman" w:cs="Times New Roman" w:eastAsiaTheme="minorEastAsia"/>
                <w:b/>
                <w:bCs/>
                <w:color w:val="000000" w:themeColor="text1"/>
                <w:sz w:val="24"/>
                <w:szCs w:val="24"/>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val="zh-CN"/>
                <w14:textFill>
                  <w14:solidFill>
                    <w14:schemeClr w14:val="tx1"/>
                  </w14:solidFill>
                </w14:textFill>
              </w:rPr>
              <w:t>）原料贮存</w:t>
            </w:r>
          </w:p>
          <w:p w14:paraId="1C09C10D">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eastAsiaTheme="minorEastAsia"/>
                <w:color w:val="000000" w:themeColor="text1"/>
                <w:sz w:val="24"/>
                <w:szCs w:val="24"/>
                <w:lang w:val="zh-CN"/>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项目使用原料为可发性聚苯乙烯（EPS）新料，原料呈珠粒状，珠粒直径为0.7~1.0mm</w:t>
            </w:r>
            <w:r>
              <w:rPr>
                <w:rFonts w:hint="eastAsia" w:cs="Times New Roman" w:eastAsiaTheme="minorEastAsia"/>
                <w:color w:val="000000" w:themeColor="text1"/>
                <w:sz w:val="24"/>
                <w:szCs w:val="24"/>
                <w:lang w:eastAsia="zh-CN"/>
                <w14:textFill>
                  <w14:solidFill>
                    <w14:schemeClr w14:val="tx1"/>
                  </w14:solidFill>
                </w14:textFill>
              </w:rPr>
              <w:t>，</w:t>
            </w:r>
            <w:r>
              <w:rPr>
                <w:rFonts w:hint="eastAsia" w:cs="Times New Roman" w:eastAsiaTheme="minorEastAsia"/>
                <w:color w:val="000000" w:themeColor="text1"/>
                <w:sz w:val="24"/>
                <w:szCs w:val="24"/>
                <w:lang w:val="en-US" w:eastAsia="zh-CN"/>
                <w14:textFill>
                  <w14:solidFill>
                    <w14:schemeClr w14:val="tx1"/>
                  </w14:solidFill>
                </w14:textFill>
              </w:rPr>
              <w:t>采用袋装的包装方式，约</w:t>
            </w:r>
            <w:r>
              <w:rPr>
                <w:rFonts w:hint="default" w:ascii="Times New Roman" w:hAnsi="Times New Roman" w:cs="Times New Roman" w:eastAsiaTheme="minorEastAsia"/>
                <w:color w:val="000000" w:themeColor="text1"/>
                <w:sz w:val="24"/>
                <w:szCs w:val="24"/>
                <w14:textFill>
                  <w14:solidFill>
                    <w14:schemeClr w14:val="tx1"/>
                  </w14:solidFill>
                </w14:textFill>
              </w:rPr>
              <w:t>25kg</w:t>
            </w:r>
            <w:r>
              <w:rPr>
                <w:rFonts w:hint="default" w:ascii="Times New Roman" w:hAnsi="Times New Roman" w:cs="Times New Roman" w:eastAsiaTheme="minorEastAsia"/>
                <w:color w:val="000000" w:themeColor="text1"/>
                <w:sz w:val="24"/>
                <w:szCs w:val="24"/>
                <w:lang w:val="zh-CN"/>
                <w14:textFill>
                  <w14:solidFill>
                    <w14:schemeClr w14:val="tx1"/>
                  </w14:solidFill>
                </w14:textFill>
              </w:rPr>
              <w:t>/袋</w:t>
            </w:r>
            <w:r>
              <w:rPr>
                <w:rFonts w:hint="default" w:ascii="Times New Roman" w:hAnsi="Times New Roman" w:cs="Times New Roman" w:eastAsiaTheme="minorEastAsia"/>
                <w:color w:val="000000" w:themeColor="text1"/>
                <w:sz w:val="24"/>
                <w:szCs w:val="24"/>
                <w14:textFill>
                  <w14:solidFill>
                    <w14:schemeClr w14:val="tx1"/>
                  </w14:solidFill>
                </w14:textFill>
              </w:rPr>
              <w:t>。原料珠粒内含有发泡剂，发泡剂为戊烷，戊烷含量约为2-4%的重量，发泡剂在珠粒内以液态形式储存。原料进厂后</w:t>
            </w:r>
            <w:r>
              <w:rPr>
                <w:rFonts w:hint="default" w:ascii="Times New Roman" w:hAnsi="Times New Roman" w:cs="Times New Roman" w:eastAsiaTheme="minorEastAsia"/>
                <w:color w:val="000000" w:themeColor="text1"/>
                <w:sz w:val="24"/>
                <w:szCs w:val="24"/>
                <w:lang w:val="zh-CN"/>
                <w14:textFill>
                  <w14:solidFill>
                    <w14:schemeClr w14:val="tx1"/>
                  </w14:solidFill>
                </w14:textFill>
              </w:rPr>
              <w:t>用叉车搬运到生产车间原料储存区，储存条件为常温、干燥环境。</w:t>
            </w:r>
          </w:p>
          <w:p w14:paraId="73375B92">
            <w:pPr>
              <w:keepNext w:val="0"/>
              <w:keepLines w:val="0"/>
              <w:pageBreakBefore w:val="0"/>
              <w:kinsoku/>
              <w:wordWrap/>
              <w:overflowPunct/>
              <w:topLinePunct w:val="0"/>
              <w:autoSpaceDE/>
              <w:autoSpaceDN/>
              <w:bidi w:val="0"/>
              <w:spacing w:line="360" w:lineRule="auto"/>
              <w:ind w:firstLine="482" w:firstLineChars="200"/>
              <w:textAlignment w:val="auto"/>
              <w:rPr>
                <w:rFonts w:hint="default" w:ascii="Times New Roman" w:hAnsi="Times New Roman" w:cs="Times New Roman" w:eastAsiaTheme="minorEastAsia"/>
                <w:b/>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w:t>
            </w:r>
            <w:r>
              <w:rPr>
                <w:rFonts w:hint="eastAsia" w:ascii="Times New Roman" w:hAnsi="Times New Roman" w:cs="Times New Roman" w:eastAsiaTheme="minorEastAsia"/>
                <w:b/>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color w:val="000000" w:themeColor="text1"/>
                <w:sz w:val="24"/>
                <w:szCs w:val="24"/>
                <w14:textFill>
                  <w14:solidFill>
                    <w14:schemeClr w14:val="tx1"/>
                  </w14:solidFill>
                </w14:textFill>
              </w:rPr>
              <w:t>）</w:t>
            </w:r>
            <w:r>
              <w:rPr>
                <w:rFonts w:hint="eastAsia" w:ascii="Times New Roman" w:hAnsi="Times New Roman" w:cs="Times New Roman" w:eastAsiaTheme="minorEastAsia"/>
                <w:b/>
                <w:color w:val="000000" w:themeColor="text1"/>
                <w:sz w:val="24"/>
                <w:szCs w:val="24"/>
                <w:lang w:eastAsia="zh-CN"/>
                <w14:textFill>
                  <w14:solidFill>
                    <w14:schemeClr w14:val="tx1"/>
                  </w14:solidFill>
                </w14:textFill>
              </w:rPr>
              <w:t>一次</w:t>
            </w:r>
            <w:r>
              <w:rPr>
                <w:rFonts w:hint="default" w:ascii="Times New Roman" w:hAnsi="Times New Roman" w:cs="Times New Roman" w:eastAsiaTheme="minorEastAsia"/>
                <w:b/>
                <w:color w:val="000000" w:themeColor="text1"/>
                <w:sz w:val="24"/>
                <w:szCs w:val="24"/>
                <w14:textFill>
                  <w14:solidFill>
                    <w14:schemeClr w14:val="tx1"/>
                  </w14:solidFill>
                </w14:textFill>
              </w:rPr>
              <w:t>发泡</w:t>
            </w:r>
          </w:p>
          <w:p w14:paraId="10AA2732">
            <w:pPr>
              <w:keepNext w:val="0"/>
              <w:keepLines w:val="0"/>
              <w:pageBreakBefore w:val="0"/>
              <w:kinsoku/>
              <w:wordWrap/>
              <w:overflowPunct/>
              <w:topLinePunct w:val="0"/>
              <w:autoSpaceDE/>
              <w:autoSpaceDN/>
              <w:bidi w:val="0"/>
              <w:spacing w:line="360" w:lineRule="auto"/>
              <w:ind w:firstLine="482"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发泡原理：</w:t>
            </w:r>
            <w:r>
              <w:rPr>
                <w:rFonts w:hint="default" w:ascii="Times New Roman" w:hAnsi="Times New Roman" w:cs="Times New Roman" w:eastAsiaTheme="minorEastAsia"/>
                <w:color w:val="000000" w:themeColor="text1"/>
                <w:sz w:val="24"/>
                <w:szCs w:val="24"/>
                <w14:textFill>
                  <w14:solidFill>
                    <w14:schemeClr w14:val="tx1"/>
                  </w14:solidFill>
                </w14:textFill>
              </w:rPr>
              <w:t>发泡剂在EPS珠粒里以液态形式储存，蒸汽加热后含有发泡剂的颗粒开始软化，颗粒内的发泡剂受热汽化产生压力，颗粒开始膨胀并形成互不连通的泡孔（闭孔），同时蒸汽直接接触渗透到泡孔中。此时蒸气透入泡孔的速率超过发泡剂从泡孔渗出的速率，使发泡气体绝大多数留在泡孔内，从而使泡孔总压力增加，发泡剂在泡孔中来不及逸出，聚合物牵伸呈橡胶状态，其强度足以平衡内部的压力，从而使颗粒预发，聚合物得到延伸，颗粒得到预膨胀。</w:t>
            </w:r>
          </w:p>
          <w:p w14:paraId="4AF55B22">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发泡过程采用蒸汽</w:t>
            </w:r>
            <w:r>
              <w:rPr>
                <w:rFonts w:hint="eastAsia" w:cs="Times New Roman" w:eastAsiaTheme="minorEastAsia"/>
                <w:color w:val="000000" w:themeColor="text1"/>
                <w:sz w:val="24"/>
                <w:szCs w:val="24"/>
                <w:lang w:val="en-US" w:eastAsia="zh-CN"/>
                <w14:textFill>
                  <w14:solidFill>
                    <w14:schemeClr w14:val="tx1"/>
                  </w14:solidFill>
                </w14:textFill>
              </w:rPr>
              <w:t>间接</w:t>
            </w:r>
            <w:r>
              <w:rPr>
                <w:rFonts w:hint="default" w:ascii="Times New Roman" w:hAnsi="Times New Roman" w:cs="Times New Roman" w:eastAsiaTheme="minorEastAsia"/>
                <w:color w:val="000000" w:themeColor="text1"/>
                <w:sz w:val="24"/>
                <w:szCs w:val="24"/>
                <w14:textFill>
                  <w14:solidFill>
                    <w14:schemeClr w14:val="tx1"/>
                  </w14:solidFill>
                </w14:textFill>
              </w:rPr>
              <w:t>加热</w:t>
            </w:r>
            <w:r>
              <w:rPr>
                <w:rFonts w:hint="eastAsia" w:cs="Times New Roman" w:eastAsiaTheme="minorEastAsia"/>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发料机</w:t>
            </w:r>
            <w:r>
              <w:rPr>
                <w:rFonts w:hint="eastAsia" w:cs="Times New Roman" w:eastAsiaTheme="minorEastAsia"/>
                <w:color w:val="000000" w:themeColor="text1"/>
                <w:sz w:val="24"/>
                <w:szCs w:val="24"/>
                <w:lang w:val="en-US" w:eastAsia="zh-CN"/>
                <w14:textFill>
                  <w14:solidFill>
                    <w14:schemeClr w14:val="tx1"/>
                  </w14:solidFill>
                </w14:textFill>
              </w:rPr>
              <w:t>内部设置隔档，加热后的水蒸气不直接接触物料</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，蒸汽释放出热量软化EPS，并使EPS珠粒内的发泡剂（戊烷）开始沸腾气化，气化的戊烷气体增加了EPS珠粒内的压力，从而使EPS珠粒膨胀。</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发料机</w:t>
            </w:r>
            <w:r>
              <w:rPr>
                <w:rFonts w:hint="default" w:ascii="Times New Roman" w:hAnsi="Times New Roman" w:cs="Times New Roman" w:eastAsiaTheme="minorEastAsia"/>
                <w:color w:val="000000" w:themeColor="text1"/>
                <w:sz w:val="24"/>
                <w:szCs w:val="24"/>
                <w14:textFill>
                  <w14:solidFill>
                    <w14:schemeClr w14:val="tx1"/>
                  </w14:solidFill>
                </w14:textFill>
              </w:rPr>
              <w:t>内的温度控制在90~100℃，每批次发泡时间约110s。泡粒达到预定发泡倍数后，自出料口送出至流化床进行干燥。流化床采用空气干燥，干燥后风力输送至熟化仓。</w:t>
            </w:r>
          </w:p>
          <w:p w14:paraId="42C4B082">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发泡能量来源于饱和蒸汽</w:t>
            </w:r>
            <w:r>
              <w:rPr>
                <w:rFonts w:hint="eastAsia" w:cs="Times New Roman" w:eastAsiaTheme="minorEastAsia"/>
                <w:color w:val="000000" w:themeColor="text1"/>
                <w:sz w:val="24"/>
                <w:szCs w:val="24"/>
                <w:lang w:eastAsia="zh-CN"/>
                <w14:textFill>
                  <w14:solidFill>
                    <w14:schemeClr w14:val="tx1"/>
                  </w14:solidFill>
                </w14:textFill>
              </w:rPr>
              <w:t>，</w:t>
            </w:r>
            <w:r>
              <w:rPr>
                <w:rFonts w:hint="eastAsia" w:cs="Times New Roman" w:eastAsiaTheme="minorEastAsia"/>
                <w:color w:val="000000" w:themeColor="text1"/>
                <w:sz w:val="24"/>
                <w:szCs w:val="24"/>
                <w:lang w:val="en-US" w:eastAsia="zh-CN"/>
                <w14:textFill>
                  <w14:solidFill>
                    <w14:schemeClr w14:val="tx1"/>
                  </w14:solidFill>
                </w14:textFill>
              </w:rPr>
              <w:t>在</w:t>
            </w:r>
            <w:r>
              <w:rPr>
                <w:rFonts w:hint="default" w:ascii="Times New Roman" w:hAnsi="Times New Roman" w:cs="Times New Roman" w:eastAsiaTheme="minorEastAsia"/>
                <w:color w:val="000000" w:themeColor="text1"/>
                <w:sz w:val="24"/>
                <w:szCs w:val="24"/>
                <w14:textFill>
                  <w14:solidFill>
                    <w14:schemeClr w14:val="tx1"/>
                  </w14:solidFill>
                </w14:textFill>
              </w:rPr>
              <w:t>蒸汽释放出热量</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后会形成冷凝水，</w:t>
            </w:r>
            <w:r>
              <w:rPr>
                <w:rFonts w:hint="default" w:ascii="Times New Roman" w:hAnsi="Times New Roman" w:cs="Times New Roman" w:eastAsiaTheme="minorEastAsia"/>
                <w:color w:val="000000" w:themeColor="text1"/>
                <w:sz w:val="24"/>
                <w:szCs w:val="24"/>
                <w14:textFill>
                  <w14:solidFill>
                    <w14:schemeClr w14:val="tx1"/>
                  </w14:solidFill>
                </w14:textFill>
              </w:rPr>
              <w:t>在蒸汽管的底部安装排水阀，蒸汽冷凝水通过管道流入冷却水池后作为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现有</w:t>
            </w:r>
            <w:r>
              <w:rPr>
                <w:rFonts w:hint="eastAsia" w:cs="Times New Roman" w:eastAsiaTheme="minorEastAsia"/>
                <w:color w:val="000000" w:themeColor="text1"/>
                <w:sz w:val="24"/>
                <w:szCs w:val="24"/>
                <w:lang w:eastAsia="zh-CN"/>
                <w14:textFill>
                  <w14:solidFill>
                    <w14:schemeClr w14:val="tx1"/>
                  </w14:solidFill>
                </w14:textFill>
              </w:rPr>
              <w:t>燃煤锅炉</w:t>
            </w:r>
            <w:r>
              <w:rPr>
                <w:rFonts w:hint="default" w:ascii="Times New Roman" w:hAnsi="Times New Roman" w:cs="Times New Roman" w:eastAsiaTheme="minorEastAsia"/>
                <w:color w:val="000000" w:themeColor="text1"/>
                <w:sz w:val="24"/>
                <w:szCs w:val="24"/>
                <w14:textFill>
                  <w14:solidFill>
                    <w14:schemeClr w14:val="tx1"/>
                  </w14:solidFill>
                </w14:textFill>
              </w:rPr>
              <w:t>补水循环使用。</w:t>
            </w:r>
          </w:p>
          <w:p w14:paraId="744793BF">
            <w:pPr>
              <w:pageBreakBefore w:val="0"/>
              <w:kinsoku/>
              <w:overflowPunct/>
              <w:topLinePunct w:val="0"/>
              <w:bidi w:val="0"/>
              <w:adjustRightInd w:val="0"/>
              <w:snapToGrid w:val="0"/>
              <w:spacing w:line="360" w:lineRule="auto"/>
              <w:ind w:left="0" w:leftChars="0" w:right="0" w:firstLine="482" w:firstLineChars="200"/>
              <w:rPr>
                <w:rFonts w:hint="eastAsia" w:ascii="Times New Roman" w:hAnsi="Times New Roman" w:cs="Times New Roman" w:eastAsiaTheme="minorEastAsia"/>
                <w:b/>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color w:val="000000" w:themeColor="text1"/>
                <w:sz w:val="24"/>
                <w:szCs w:val="24"/>
                <w:lang w:val="en-US" w:eastAsia="zh-CN"/>
                <w14:textFill>
                  <w14:solidFill>
                    <w14:schemeClr w14:val="tx1"/>
                  </w14:solidFill>
                </w14:textFill>
              </w:rPr>
              <w:t>（3）流化干燥</w:t>
            </w:r>
          </w:p>
          <w:p w14:paraId="095C59B7">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发泡完成的塑料颗粒经</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出料口送出至流化床</w:t>
            </w:r>
            <w:r>
              <w:rPr>
                <w:rFonts w:hint="eastAsia" w:cs="Times New Roman" w:eastAsiaTheme="minorEastAsia"/>
                <w:color w:val="000000" w:themeColor="text1"/>
                <w:sz w:val="24"/>
                <w:szCs w:val="24"/>
                <w:lang w:val="en-US" w:eastAsia="zh-CN"/>
                <w14:textFill>
                  <w14:solidFill>
                    <w14:schemeClr w14:val="tx1"/>
                  </w14:solidFill>
                </w14:textFill>
              </w:rPr>
              <w:t>，</w:t>
            </w:r>
            <w:r>
              <w:rPr>
                <w:rFonts w:hint="eastAsia" w:cs="Times New Roman" w:eastAsiaTheme="minorEastAsia"/>
                <w:color w:val="000000" w:themeColor="text1"/>
                <w:sz w:val="24"/>
                <w:szCs w:val="24"/>
                <w:lang w:eastAsia="zh-CN"/>
                <w14:textFill>
                  <w14:solidFill>
                    <w14:schemeClr w14:val="tx1"/>
                  </w14:solidFill>
                </w14:textFill>
              </w:rPr>
              <w:t>对</w:t>
            </w:r>
            <w:r>
              <w:rPr>
                <w:rFonts w:hint="eastAsia" w:cs="Times New Roman" w:eastAsiaTheme="minorEastAsia"/>
                <w:color w:val="000000" w:themeColor="text1"/>
                <w:sz w:val="24"/>
                <w:szCs w:val="24"/>
                <w:lang w:val="en-US" w:eastAsia="zh-CN"/>
                <w14:textFill>
                  <w14:solidFill>
                    <w14:schemeClr w14:val="tx1"/>
                  </w14:solidFill>
                </w14:textFill>
              </w:rPr>
              <w:t>EPS物料表面水分进行干燥，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流化床</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fldChar w:fldCharType="begin"/>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instrText xml:space="preserve"> HYPERLINK "https://baike.baidu.com/item/%E5%90%B9%E5%85%A5/7137433?fromModule=lemma_inlink" \t "https://baike.baidu.com/item/%E4%BF%9D%E5%88%A9%E9%BE%99/_blank" </w:instrTex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吹入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fldChar w:fldCharType="end"/>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的</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fldChar w:fldCharType="begin"/>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instrText xml:space="preserve"> HYPERLINK "https://baike.baidu.com/item/%E7%83%AD%E9%A3%8E/9204328?fromModule=lemma_inlink" \t "https://baike.baidu.com/item/%E4%BF%9D%E5%88%A9%E9%BE%99/_blank" </w:instrTex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热风</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fldChar w:fldCharType="end"/>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是由</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fldChar w:fldCharType="begin"/>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instrText xml:space="preserve"> HYPERLINK "https://baike.baidu.com/item/%E9%BC%93%E9%A3%8E%E6%9C%BA/912863?fromModule=lemma_inlink" \t "https://baike.baidu.com/item/%E4%BF%9D%E5%88%A9%E9%BE%99/_blank" </w:instrTex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风机</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fldChar w:fldCharType="end"/>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吸风，通过</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fldChar w:fldCharType="begin"/>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instrText xml:space="preserve"> HYPERLINK "https://baike.baidu.com/item/%E8%92%B8%E6%B1%BD%E5%8A%A0%E7%83%AD%E5%99%A8/9145941?fromModule=lemma_inlink" \t "https://baike.baidu.com/item/%E4%BF%9D%E5%88%A9%E9%BE%99/_blank" </w:instrTex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蒸汽加热器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fldChar w:fldCharType="end"/>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后</w:t>
            </w:r>
            <w:r>
              <w:rPr>
                <w:rFonts w:hint="eastAsia" w:cs="Times New Roman" w:eastAsiaTheme="minorEastAsia"/>
                <w:color w:val="000000" w:themeColor="text1"/>
                <w:sz w:val="24"/>
                <w:szCs w:val="24"/>
                <w:lang w:val="en-US" w:eastAsia="zh-CN"/>
                <w14:textFill>
                  <w14:solidFill>
                    <w14:schemeClr w14:val="tx1"/>
                  </w14:solidFill>
                </w14:textFill>
              </w:rPr>
              <w:t>形成热风，</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通过</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fldChar w:fldCharType="begin"/>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instrText xml:space="preserve"> HYPERLINK "https://baike.baidu.com/item/%E5%BA%95%E7%BD%91/18831447?fromModule=lemma_inlink" \t "https://baike.baidu.com/item/%E4%BF%9D%E5%88%A9%E9%BE%99/_blank" </w:instrTex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底网</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fldChar w:fldCharType="end"/>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吹入流化床，EPS</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fldChar w:fldCharType="begin"/>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instrText xml:space="preserve"> HYPERLINK "https://baike.baidu.com/item/%E7%B2%92%E6%96%99/10888154?fromModule=lemma_inlink" \t "https://baike.baidu.com/item/%E4%BF%9D%E5%88%A9%E9%BE%99/_blank" </w:instrTex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粒料</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fldChar w:fldCharType="end"/>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在热风及料流的推动下悬浮在气流中边干燥边推进，流化床采用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流动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空气干燥，</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不添加任何物料，流化工段无污染物外排。</w:t>
            </w:r>
          </w:p>
          <w:p w14:paraId="41B653F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w:t>
            </w:r>
            <w:r>
              <w:rPr>
                <w:rFonts w:hint="eastAsia" w:cs="Times New Roman" w:eastAsiaTheme="minorEastAsia"/>
                <w:b/>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b/>
                <w:color w:val="000000" w:themeColor="text1"/>
                <w:sz w:val="24"/>
                <w:szCs w:val="24"/>
                <w14:textFill>
                  <w14:solidFill>
                    <w14:schemeClr w14:val="tx1"/>
                  </w14:solidFill>
                </w14:textFill>
              </w:rPr>
              <w:t>）熟化</w:t>
            </w:r>
          </w:p>
          <w:p w14:paraId="04422687">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发泡好的泡粒因部分发泡剂挥发逃逸、残留发泡剂受冷凝结体积缩小以及EPS珠粒内部的蒸汽凝结造成EPS珠粒内部的暂时真空，导致泡粒对压力十分敏感，必须存放一段时间，让空气渗透到EPS珠粒内部以平衡其内外压力并使得EPS珠粒稳定、颗粒更加有弹性。</w:t>
            </w:r>
          </w:p>
          <w:p w14:paraId="4C9B319E">
            <w:pPr>
              <w:pStyle w:val="5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熟化过程在熟化仓内进行，熟化仓采用透气性能良好和有金属条纹的结构以防止静电。熟化时通入空气，以缩短熟化时间，熟化时熟化温度22~26℃，</w:t>
            </w:r>
            <w:r>
              <w:rPr>
                <w:rFonts w:hint="default" w:ascii="Times New Roman" w:hAnsi="Times New Roman" w:cs="Times New Roman" w:eastAsiaTheme="minorEastAsia"/>
                <w:color w:val="000000" w:themeColor="text1"/>
                <w:sz w:val="24"/>
                <w:szCs w:val="24"/>
                <w:lang w:val="zh-CN"/>
                <w14:textFill>
                  <w14:solidFill>
                    <w14:schemeClr w14:val="tx1"/>
                  </w14:solidFill>
                </w14:textFill>
              </w:rPr>
              <w:t>每批次需3h左右</w:t>
            </w:r>
            <w:r>
              <w:rPr>
                <w:rFonts w:hint="eastAsia" w:cs="Times New Roman" w:eastAsiaTheme="minorEastAsia"/>
                <w:color w:val="000000" w:themeColor="text1"/>
                <w:sz w:val="24"/>
                <w:szCs w:val="24"/>
                <w:lang w:val="zh-CN"/>
                <w14:textFill>
                  <w14:solidFill>
                    <w14:schemeClr w14:val="tx1"/>
                  </w14:solidFill>
                </w14:textFill>
              </w:rPr>
              <w:t>，</w:t>
            </w:r>
            <w:r>
              <w:rPr>
                <w:rFonts w:hint="eastAsia" w:cs="Times New Roman" w:eastAsiaTheme="minorEastAsia"/>
                <w:color w:val="000000" w:themeColor="text1"/>
                <w:sz w:val="24"/>
                <w:szCs w:val="24"/>
                <w:lang w:val="en-US" w:eastAsia="zh-CN"/>
                <w14:textFill>
                  <w14:solidFill>
                    <w14:schemeClr w14:val="tx1"/>
                  </w14:solidFill>
                </w14:textFill>
              </w:rPr>
              <w:t>熟化过程无污染物外排，</w:t>
            </w:r>
            <w:r>
              <w:rPr>
                <w:rFonts w:hint="default" w:ascii="Times New Roman" w:hAnsi="Times New Roman" w:cs="Times New Roman" w:eastAsiaTheme="minorEastAsia"/>
                <w:color w:val="000000" w:themeColor="text1"/>
                <w:sz w:val="24"/>
                <w:szCs w:val="24"/>
                <w14:textFill>
                  <w14:solidFill>
                    <w14:schemeClr w14:val="tx1"/>
                  </w14:solidFill>
                </w14:textFill>
              </w:rPr>
              <w:t>熟化所需空气为自然空气。</w:t>
            </w:r>
          </w:p>
          <w:p w14:paraId="22BB425E">
            <w:pPr>
              <w:pStyle w:val="51"/>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5</w:t>
            </w: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）二次发泡</w:t>
            </w:r>
          </w:p>
          <w:p w14:paraId="6F93E8DB">
            <w:pPr>
              <w:pStyle w:val="5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由于产品需要，需要更高倍率的发泡粒子，一次熟化后的物料需进行二次发泡。</w:t>
            </w:r>
          </w:p>
          <w:p w14:paraId="758CCC45">
            <w:pPr>
              <w:pStyle w:val="5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二次</w:t>
            </w:r>
            <w:r>
              <w:rPr>
                <w:rFonts w:hint="default" w:ascii="Times New Roman" w:hAnsi="Times New Roman" w:cs="Times New Roman" w:eastAsiaTheme="minorEastAsia"/>
                <w:color w:val="000000" w:themeColor="text1"/>
                <w:sz w:val="24"/>
                <w:szCs w:val="24"/>
                <w14:textFill>
                  <w14:solidFill>
                    <w14:schemeClr w14:val="tx1"/>
                  </w14:solidFill>
                </w14:textFill>
              </w:rPr>
              <w:t>发泡过程采用蒸汽</w:t>
            </w:r>
            <w:r>
              <w:rPr>
                <w:rFonts w:hint="eastAsia" w:cs="Times New Roman" w:eastAsiaTheme="minorEastAsia"/>
                <w:color w:val="000000" w:themeColor="text1"/>
                <w:sz w:val="24"/>
                <w:szCs w:val="24"/>
                <w:lang w:val="en-US" w:eastAsia="zh-CN"/>
                <w14:textFill>
                  <w14:solidFill>
                    <w14:schemeClr w14:val="tx1"/>
                  </w14:solidFill>
                </w14:textFill>
              </w:rPr>
              <w:t>间接</w:t>
            </w:r>
            <w:r>
              <w:rPr>
                <w:rFonts w:hint="default" w:ascii="Times New Roman" w:hAnsi="Times New Roman" w:cs="Times New Roman" w:eastAsiaTheme="minorEastAsia"/>
                <w:color w:val="000000" w:themeColor="text1"/>
                <w:sz w:val="24"/>
                <w:szCs w:val="24"/>
                <w14:textFill>
                  <w14:solidFill>
                    <w14:schemeClr w14:val="tx1"/>
                  </w14:solidFill>
                </w14:textFill>
              </w:rPr>
              <w:t>加热</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二次发泡时间</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发料机</w:t>
            </w:r>
            <w:r>
              <w:rPr>
                <w:rFonts w:hint="default" w:ascii="Times New Roman" w:hAnsi="Times New Roman" w:cs="Times New Roman" w:eastAsiaTheme="minorEastAsia"/>
                <w:color w:val="000000" w:themeColor="text1"/>
                <w:sz w:val="24"/>
                <w:szCs w:val="24"/>
                <w14:textFill>
                  <w14:solidFill>
                    <w14:schemeClr w14:val="tx1"/>
                  </w14:solidFill>
                </w14:textFill>
              </w:rPr>
              <w:t>内的温度控制在90~100℃，每批次发泡时间约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50</w:t>
            </w:r>
            <w:r>
              <w:rPr>
                <w:rFonts w:hint="default" w:ascii="Times New Roman" w:hAnsi="Times New Roman" w:cs="Times New Roman" w:eastAsiaTheme="minorEastAsia"/>
                <w:color w:val="000000" w:themeColor="text1"/>
                <w:sz w:val="24"/>
                <w:szCs w:val="24"/>
                <w14:textFill>
                  <w14:solidFill>
                    <w14:schemeClr w14:val="tx1"/>
                  </w14:solidFill>
                </w14:textFill>
              </w:rPr>
              <w:t>s</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w:t>
            </w:r>
          </w:p>
          <w:p w14:paraId="368E4FDF">
            <w:pPr>
              <w:pStyle w:val="5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其余与上述一致，本次不再重复。</w:t>
            </w:r>
          </w:p>
          <w:p w14:paraId="32AEF7BA">
            <w:pPr>
              <w:pStyle w:val="51"/>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6</w:t>
            </w: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）二次</w:t>
            </w:r>
            <w:r>
              <w:rPr>
                <w:rFonts w:hint="eastAsia" w:ascii="Times New Roman" w:hAnsi="Times New Roman" w:cs="Times New Roman" w:eastAsiaTheme="minorEastAsia"/>
                <w:b/>
                <w:color w:val="000000" w:themeColor="text1"/>
                <w:sz w:val="24"/>
                <w:szCs w:val="24"/>
                <w:lang w:val="en-US" w:eastAsia="zh-CN"/>
                <w14:textFill>
                  <w14:solidFill>
                    <w14:schemeClr w14:val="tx1"/>
                  </w14:solidFill>
                </w14:textFill>
              </w:rPr>
              <w:t>流化</w:t>
            </w: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干燥、二次熟化</w:t>
            </w:r>
          </w:p>
          <w:p w14:paraId="353E646C">
            <w:pPr>
              <w:pStyle w:val="5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二次</w:t>
            </w:r>
            <w:r>
              <w:rPr>
                <w:rFonts w:hint="eastAsia" w:cs="Times New Roman" w:eastAsiaTheme="minorEastAsia"/>
                <w:b w:val="0"/>
                <w:bCs w:val="0"/>
                <w:color w:val="000000" w:themeColor="text1"/>
                <w:sz w:val="24"/>
                <w:szCs w:val="24"/>
                <w:lang w:eastAsia="zh-CN"/>
                <w14:textFill>
                  <w14:solidFill>
                    <w14:schemeClr w14:val="tx1"/>
                  </w14:solidFill>
                </w14:textFill>
              </w:rPr>
              <w:t>流化</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干燥、二次熟化工艺与上述</w:t>
            </w:r>
            <w:r>
              <w:rPr>
                <w:rFonts w:hint="eastAsia" w:cs="Times New Roman" w:eastAsiaTheme="minorEastAsia"/>
                <w:b w:val="0"/>
                <w:bCs w:val="0"/>
                <w:color w:val="000000" w:themeColor="text1"/>
                <w:sz w:val="24"/>
                <w:szCs w:val="24"/>
                <w:lang w:eastAsia="zh-CN"/>
                <w14:textFill>
                  <w14:solidFill>
                    <w14:schemeClr w14:val="tx1"/>
                  </w14:solidFill>
                </w14:textFill>
              </w:rPr>
              <w:t>流化干燥、熟化工艺</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一致，本次不再重复。</w:t>
            </w:r>
          </w:p>
          <w:p w14:paraId="37008A1D">
            <w:pPr>
              <w:pStyle w:val="51"/>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w:t>
            </w:r>
            <w:r>
              <w:rPr>
                <w:rFonts w:hint="eastAsia" w:cs="Times New Roman" w:eastAsiaTheme="minorEastAsia"/>
                <w:b/>
                <w:bCs/>
                <w:color w:val="000000" w:themeColor="text1"/>
                <w:sz w:val="24"/>
                <w:szCs w:val="24"/>
                <w:lang w:val="en-US" w:eastAsia="zh-CN"/>
                <w14:textFill>
                  <w14:solidFill>
                    <w14:schemeClr w14:val="tx1"/>
                  </w14:solidFill>
                </w14:textFill>
              </w:rPr>
              <w:t>7</w:t>
            </w: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）压模成型</w:t>
            </w:r>
          </w:p>
          <w:p w14:paraId="7CD7586B">
            <w:pPr>
              <w:pStyle w:val="5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利用蒸汽将成型机内的模具直接加热，加热温度为</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90</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~1</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00</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℃，加热时间约为10</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s。在较短的时间内将蒸汽通过模壁的气眼直接进入模腔中，空气来不及逸出，受热膨胀产生压力，压力的总和大于颗粒外面所加热的蒸汽压力，此时聚合物软化，并由于泡孔内的压力大于外面的压力，颗粒又再度膨胀，并胀满颗粒之间的间隙而结成整块，形成与模具形状相同的泡沫塑料制品。经过冷却定型后，由压缩空气顶出杆将泡沫板材顶出模具。</w:t>
            </w:r>
          </w:p>
          <w:p w14:paraId="3493D8A7">
            <w:pPr>
              <w:pStyle w:val="5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成型过程中成型机密闭，在成型后产品转出过程中，打开成型机门会产生少量废气，并有少量残次品产生。</w:t>
            </w:r>
          </w:p>
          <w:p w14:paraId="6E1559D6">
            <w:pPr>
              <w:pStyle w:val="51"/>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w:t>
            </w:r>
            <w:r>
              <w:rPr>
                <w:rFonts w:hint="eastAsia" w:cs="Times New Roman" w:eastAsiaTheme="minorEastAsia"/>
                <w:b/>
                <w:bCs/>
                <w:color w:val="000000" w:themeColor="text1"/>
                <w:sz w:val="24"/>
                <w:szCs w:val="24"/>
                <w:lang w:val="en-US" w:eastAsia="zh-CN"/>
                <w14:textFill>
                  <w14:solidFill>
                    <w14:schemeClr w14:val="tx1"/>
                  </w14:solidFill>
                </w14:textFill>
              </w:rPr>
              <w:t>8</w:t>
            </w: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）烘干</w:t>
            </w:r>
          </w:p>
          <w:p w14:paraId="2B99D94B">
            <w:pPr>
              <w:pStyle w:val="5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000000" w:themeColor="text1"/>
                <w:lang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从成型机中出来的产品，送进密闭式烘干房进行烘干。烘干利用蒸汽，蒸汽在密闭管道内经热交换间接加热，烘干温度为60℃。烘干工序冷凝水进入循环池，作为燃煤锅炉补充水使用，不外排。故此</w:t>
            </w:r>
            <w:r>
              <w:rPr>
                <w:rFonts w:hint="eastAsia" w:eastAsia="宋体"/>
                <w:color w:val="000000" w:themeColor="text1"/>
                <w:lang w:eastAsia="zh-CN"/>
                <w14:textFill>
                  <w14:solidFill>
                    <w14:schemeClr w14:val="tx1"/>
                  </w14:solidFill>
                </w14:textFill>
              </w:rPr>
              <w:t>工序会产生少量废气以及冷凝水</w:t>
            </w:r>
            <w:r>
              <w:rPr>
                <w:rFonts w:hint="eastAsia"/>
                <w:color w:val="000000" w:themeColor="text1"/>
                <w:lang w:eastAsia="zh-CN"/>
                <w14:textFill>
                  <w14:solidFill>
                    <w14:schemeClr w14:val="tx1"/>
                  </w14:solidFill>
                </w14:textFill>
              </w:rPr>
              <w:t>。</w:t>
            </w:r>
          </w:p>
          <w:p w14:paraId="2E1FDC5F">
            <w:pPr>
              <w:pStyle w:val="51"/>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eastAsia="宋体"/>
                <w:b/>
                <w:bCs/>
                <w:color w:val="000000" w:themeColor="text1"/>
                <w:lang w:eastAsia="zh-CN"/>
                <w14:textFill>
                  <w14:solidFill>
                    <w14:schemeClr w14:val="tx1"/>
                  </w14:solidFill>
                </w14:textFill>
              </w:rPr>
            </w:pPr>
            <w:r>
              <w:rPr>
                <w:rFonts w:hint="eastAsia" w:eastAsia="宋体"/>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9</w:t>
            </w:r>
            <w:r>
              <w:rPr>
                <w:rFonts w:hint="eastAsia" w:eastAsia="宋体"/>
                <w:b/>
                <w:bCs/>
                <w:color w:val="000000" w:themeColor="text1"/>
                <w:lang w:eastAsia="zh-CN"/>
                <w14:textFill>
                  <w14:solidFill>
                    <w14:schemeClr w14:val="tx1"/>
                  </w14:solidFill>
                </w14:textFill>
              </w:rPr>
              <w:t>）切割</w:t>
            </w:r>
          </w:p>
          <w:p w14:paraId="510E679D">
            <w:pPr>
              <w:pStyle w:val="5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t>根据客户要求，使用切割机对烘干后的泡沫板进行切割，</w:t>
            </w:r>
            <w:r>
              <w:rPr>
                <w:rFonts w:hint="eastAsia"/>
                <w:color w:val="000000" w:themeColor="text1"/>
                <w:lang w:eastAsia="zh-CN"/>
                <w14:textFill>
                  <w14:solidFill>
                    <w14:schemeClr w14:val="tx1"/>
                  </w14:solidFill>
                </w14:textFill>
              </w:rPr>
              <w:t>切割采用电热熔丝进行切割，</w:t>
            </w:r>
            <w:r>
              <w:rPr>
                <w:rFonts w:hint="eastAsia" w:eastAsia="宋体"/>
                <w:color w:val="000000" w:themeColor="text1"/>
                <w:lang w:eastAsia="zh-CN"/>
                <w14:textFill>
                  <w14:solidFill>
                    <w14:schemeClr w14:val="tx1"/>
                  </w14:solidFill>
                </w14:textFill>
              </w:rPr>
              <w:t>此工序产生噪声、固废。</w:t>
            </w:r>
          </w:p>
          <w:p w14:paraId="6B285D7F">
            <w:pPr>
              <w:pStyle w:val="51"/>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eastAsia="宋体"/>
                <w:b/>
                <w:bCs/>
                <w:color w:val="000000" w:themeColor="text1"/>
                <w:lang w:eastAsia="zh-CN"/>
                <w14:textFill>
                  <w14:solidFill>
                    <w14:schemeClr w14:val="tx1"/>
                  </w14:solidFill>
                </w14:textFill>
              </w:rPr>
            </w:pPr>
            <w:r>
              <w:rPr>
                <w:rFonts w:hint="eastAsia" w:eastAsia="宋体"/>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10</w:t>
            </w:r>
            <w:r>
              <w:rPr>
                <w:rFonts w:hint="eastAsia" w:eastAsia="宋体"/>
                <w:b/>
                <w:bCs/>
                <w:color w:val="000000" w:themeColor="text1"/>
                <w:lang w:eastAsia="zh-CN"/>
                <w14:textFill>
                  <w14:solidFill>
                    <w14:schemeClr w14:val="tx1"/>
                  </w14:solidFill>
                </w14:textFill>
              </w:rPr>
              <w:t>）成品</w:t>
            </w:r>
          </w:p>
          <w:p w14:paraId="4518C4F6">
            <w:pPr>
              <w:pStyle w:val="5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t>切割后即为成品，入库待售。</w:t>
            </w:r>
          </w:p>
          <w:p w14:paraId="773BBC92">
            <w:pPr>
              <w:pStyle w:val="51"/>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eastAsia="宋体"/>
                <w:color w:val="000000" w:themeColor="text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8"/>
                <w:szCs w:val="28"/>
                <w:lang w:val="en-US" w:eastAsia="zh-CN" w:bidi="ar"/>
                <w14:textFill>
                  <w14:solidFill>
                    <w14:schemeClr w14:val="tx1"/>
                  </w14:solidFill>
                </w14:textFill>
              </w:rPr>
              <w:drawing>
                <wp:inline distT="0" distB="0" distL="114300" distR="114300">
                  <wp:extent cx="5271135" cy="2765425"/>
                  <wp:effectExtent l="0" t="0" r="5715" b="15875"/>
                  <wp:docPr id="1"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1"/>
                          <pic:cNvPicPr>
                            <a:picLocks noChangeAspect="1"/>
                          </pic:cNvPicPr>
                        </pic:nvPicPr>
                        <pic:blipFill>
                          <a:blip r:embed="rId27"/>
                          <a:stretch>
                            <a:fillRect/>
                          </a:stretch>
                        </pic:blipFill>
                        <pic:spPr>
                          <a:xfrm>
                            <a:off x="0" y="0"/>
                            <a:ext cx="5271135" cy="2765425"/>
                          </a:xfrm>
                          <a:prstGeom prst="rect">
                            <a:avLst/>
                          </a:prstGeom>
                          <a:noFill/>
                          <a:ln>
                            <a:noFill/>
                          </a:ln>
                        </pic:spPr>
                      </pic:pic>
                    </a:graphicData>
                  </a:graphic>
                </wp:inline>
              </w:drawing>
            </w:r>
          </w:p>
          <w:p w14:paraId="39643597">
            <w:pPr>
              <w:pStyle w:val="51"/>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图</w:t>
            </w:r>
            <w:r>
              <w:rPr>
                <w:rFonts w:hint="eastAsia"/>
                <w:b/>
                <w:bCs/>
                <w:color w:val="000000" w:themeColor="text1"/>
                <w:sz w:val="21"/>
                <w:szCs w:val="21"/>
                <w:lang w:val="en-US" w:eastAsia="zh-CN"/>
                <w14:textFill>
                  <w14:solidFill>
                    <w14:schemeClr w14:val="tx1"/>
                  </w14:solidFill>
                </w14:textFill>
              </w:rPr>
              <w:t>2-10  现有项目工艺流程图</w:t>
            </w:r>
          </w:p>
          <w:p w14:paraId="41FF8EB1">
            <w:pPr>
              <w:widowControl/>
              <w:spacing w:line="360" w:lineRule="auto"/>
              <w:ind w:firstLine="482" w:firstLineChars="200"/>
              <w:rPr>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8</w:t>
            </w:r>
            <w:r>
              <w:rPr>
                <w:b/>
                <w:color w:val="000000" w:themeColor="text1"/>
                <w:sz w:val="24"/>
                <w14:textFill>
                  <w14:solidFill>
                    <w14:schemeClr w14:val="tx1"/>
                  </w14:solidFill>
                </w14:textFill>
              </w:rPr>
              <w:t>、</w:t>
            </w:r>
            <w:r>
              <w:rPr>
                <w:rFonts w:hint="eastAsia"/>
                <w:b/>
                <w:color w:val="000000" w:themeColor="text1"/>
                <w:sz w:val="24"/>
                <w:lang w:eastAsia="zh-CN"/>
                <w14:textFill>
                  <w14:solidFill>
                    <w14:schemeClr w14:val="tx1"/>
                  </w14:solidFill>
                </w14:textFill>
              </w:rPr>
              <w:t>现有项目</w:t>
            </w:r>
            <w:r>
              <w:rPr>
                <w:b/>
                <w:color w:val="000000" w:themeColor="text1"/>
                <w:sz w:val="24"/>
                <w14:textFill>
                  <w14:solidFill>
                    <w14:schemeClr w14:val="tx1"/>
                  </w14:solidFill>
                </w14:textFill>
              </w:rPr>
              <w:t>污染物排放情况</w:t>
            </w:r>
          </w:p>
          <w:p w14:paraId="6F0B2632">
            <w:pPr>
              <w:pStyle w:val="18"/>
              <w:adjustRightInd/>
              <w:spacing w:line="360" w:lineRule="auto"/>
              <w:ind w:firstLine="480" w:firstLineChars="200"/>
              <w:rPr>
                <w:rFonts w:ascii="Times New Roman" w:eastAsia="宋体" w:cs="Times New Roman"/>
                <w:bCs/>
                <w:color w:val="000000" w:themeColor="text1"/>
                <w14:textFill>
                  <w14:solidFill>
                    <w14:schemeClr w14:val="tx1"/>
                  </w14:solidFill>
                </w14:textFill>
              </w:rPr>
            </w:pPr>
            <w:r>
              <w:rPr>
                <w:rFonts w:hint="eastAsia" w:cs="Times New Roman"/>
                <w:bCs/>
                <w:color w:val="000000" w:themeColor="text1"/>
                <w:lang w:eastAsia="zh-CN"/>
                <w14:textFill>
                  <w14:solidFill>
                    <w14:schemeClr w14:val="tx1"/>
                  </w14:solidFill>
                </w14:textFill>
              </w:rPr>
              <w:t>现有项目</w:t>
            </w:r>
            <w:r>
              <w:rPr>
                <w:rFonts w:ascii="Times New Roman" w:eastAsia="宋体" w:cs="Times New Roman"/>
                <w:bCs/>
                <w:color w:val="000000" w:themeColor="text1"/>
                <w14:textFill>
                  <w14:solidFill>
                    <w14:schemeClr w14:val="tx1"/>
                  </w14:solidFill>
                </w14:textFill>
              </w:rPr>
              <w:t>污染物排放情况如下：</w:t>
            </w:r>
          </w:p>
          <w:p w14:paraId="308D778A">
            <w:pPr>
              <w:pStyle w:val="18"/>
              <w:adjustRightInd/>
              <w:spacing w:line="360" w:lineRule="auto"/>
              <w:ind w:firstLine="482" w:firstLineChars="200"/>
              <w:rPr>
                <w:rFonts w:ascii="Times New Roman" w:eastAsia="宋体" w:cs="Times New Roman"/>
                <w:b/>
                <w:color w:val="000000" w:themeColor="text1"/>
                <w14:textFill>
                  <w14:solidFill>
                    <w14:schemeClr w14:val="tx1"/>
                  </w14:solidFill>
                </w14:textFill>
              </w:rPr>
            </w:pPr>
            <w:r>
              <w:rPr>
                <w:rFonts w:ascii="Times New Roman" w:eastAsia="宋体" w:cs="Times New Roman"/>
                <w:b/>
                <w:color w:val="000000" w:themeColor="text1"/>
                <w14:textFill>
                  <w14:solidFill>
                    <w14:schemeClr w14:val="tx1"/>
                  </w14:solidFill>
                </w14:textFill>
              </w:rPr>
              <w:t>（1）大气污染物</w:t>
            </w:r>
          </w:p>
          <w:p w14:paraId="71259A8D">
            <w:pPr>
              <w:pStyle w:val="51"/>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1）锅炉废气</w:t>
            </w:r>
          </w:p>
          <w:p w14:paraId="718370FD">
            <w:pPr>
              <w:pStyle w:val="157"/>
              <w:keepNext w:val="0"/>
              <w:keepLines/>
              <w:pageBreakBefore w:val="0"/>
              <w:widowControl w:val="0"/>
              <w:numPr>
                <w:ilvl w:val="0"/>
                <w:numId w:val="0"/>
              </w:numPr>
              <w:kinsoku/>
              <w:wordWrap/>
              <w:overflowPunct/>
              <w:topLinePunct w:val="0"/>
              <w:bidi w:val="0"/>
              <w:adjustRightInd/>
              <w:snapToGrid/>
              <w:spacing w:line="360" w:lineRule="auto"/>
              <w:ind w:firstLine="480" w:firstLineChars="200"/>
              <w:contextualSpacing/>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根据工程分析可知，</w:t>
            </w:r>
            <w:r>
              <w:rPr>
                <w:rFonts w:hint="eastAsia" w:cs="Times New Roman" w:eastAsiaTheme="minorEastAsia"/>
                <w:b w:val="0"/>
                <w:bCs w:val="0"/>
                <w:color w:val="000000" w:themeColor="text1"/>
                <w:sz w:val="24"/>
                <w:szCs w:val="24"/>
                <w:lang w:val="en-US" w:eastAsia="zh-CN"/>
                <w14:textFill>
                  <w14:solidFill>
                    <w14:schemeClr w14:val="tx1"/>
                  </w14:solidFill>
                </w14:textFill>
              </w:rPr>
              <w:t>现有项目</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设置1台</w:t>
            </w:r>
            <w:r>
              <w:rPr>
                <w:rFonts w:hint="eastAsia" w:cs="Times New Roman" w:eastAsiaTheme="minorEastAsia"/>
                <w:b w:val="0"/>
                <w:bCs w:val="0"/>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t/h的</w:t>
            </w:r>
            <w:r>
              <w:rPr>
                <w:rFonts w:hint="eastAsia" w:cs="Times New Roman" w:eastAsiaTheme="minorEastAsia"/>
                <w:b w:val="0"/>
                <w:bCs w:val="0"/>
                <w:color w:val="000000" w:themeColor="text1"/>
                <w:sz w:val="24"/>
                <w:szCs w:val="24"/>
                <w:lang w:val="en-US" w:eastAsia="zh-CN"/>
                <w14:textFill>
                  <w14:solidFill>
                    <w14:schemeClr w14:val="tx1"/>
                  </w14:solidFill>
                </w14:textFill>
              </w:rPr>
              <w:t>燃煤</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锅炉</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为</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生产环节</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过程提供热量，</w:t>
            </w:r>
            <w:r>
              <w:rPr>
                <w:rFonts w:hint="eastAsia" w:cs="Times New Roman" w:eastAsiaTheme="minorEastAsia"/>
                <w:b w:val="0"/>
                <w:bCs w:val="0"/>
                <w:color w:val="000000" w:themeColor="text1"/>
                <w:sz w:val="24"/>
                <w:szCs w:val="24"/>
                <w:lang w:val="en-US" w:eastAsia="zh-CN"/>
                <w14:textFill>
                  <w14:solidFill>
                    <w14:schemeClr w14:val="tx1"/>
                  </w14:solidFill>
                </w14:textFill>
              </w:rPr>
              <w:t>燃煤</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锅炉</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使用燃料为</w:t>
            </w:r>
            <w:r>
              <w:rPr>
                <w:rFonts w:hint="eastAsia" w:cs="Times New Roman" w:eastAsiaTheme="minorEastAsia"/>
                <w:b w:val="0"/>
                <w:bCs w:val="0"/>
                <w:color w:val="000000" w:themeColor="text1"/>
                <w:sz w:val="24"/>
                <w:szCs w:val="24"/>
                <w:lang w:val="en-US" w:eastAsia="zh-CN"/>
                <w14:textFill>
                  <w14:solidFill>
                    <w14:schemeClr w14:val="tx1"/>
                  </w14:solidFill>
                </w14:textFill>
              </w:rPr>
              <w:t>煤</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cs="Times New Roman" w:eastAsiaTheme="minorEastAsia"/>
                <w:b w:val="0"/>
                <w:bCs w:val="0"/>
                <w:color w:val="000000" w:themeColor="text1"/>
                <w:sz w:val="24"/>
                <w:szCs w:val="24"/>
                <w:lang w:val="en-US" w:eastAsia="zh-CN"/>
                <w14:textFill>
                  <w14:solidFill>
                    <w14:schemeClr w14:val="tx1"/>
                  </w14:solidFill>
                </w14:textFill>
              </w:rPr>
              <w:t>煤</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年用</w:t>
            </w:r>
            <w:r>
              <w:rPr>
                <w:rFonts w:hint="eastAsia" w:cs="Times New Roman" w:eastAsiaTheme="minorEastAsia"/>
                <w:b w:val="0"/>
                <w:bCs w:val="0"/>
                <w:color w:val="000000" w:themeColor="text1"/>
                <w:sz w:val="24"/>
                <w:szCs w:val="24"/>
                <w:lang w:val="en-US" w:eastAsia="zh-CN"/>
                <w14:textFill>
                  <w14:solidFill>
                    <w14:schemeClr w14:val="tx1"/>
                  </w14:solidFill>
                </w14:textFill>
              </w:rPr>
              <w:t>量</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为</w:t>
            </w:r>
            <w:r>
              <w:rPr>
                <w:rFonts w:hint="eastAsia" w:cs="Times New Roman"/>
                <w:b w:val="0"/>
                <w:bCs w:val="0"/>
                <w:color w:val="000000" w:themeColor="text1"/>
                <w:sz w:val="24"/>
                <w:lang w:val="en-US" w:eastAsia="zh-CN"/>
                <w14:textFill>
                  <w14:solidFill>
                    <w14:schemeClr w14:val="tx1"/>
                  </w14:solidFill>
                </w14:textFill>
              </w:rPr>
              <w:t>672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t/a</w:t>
            </w:r>
            <w:r>
              <w:rPr>
                <w:rFonts w:hint="eastAsia" w:cs="Times New Roman" w:eastAsiaTheme="minorEastAsia"/>
                <w:b w:val="0"/>
                <w:bCs w:val="0"/>
                <w:color w:val="000000" w:themeColor="text1"/>
                <w:sz w:val="24"/>
                <w:szCs w:val="24"/>
                <w:lang w:val="en-US" w:eastAsia="zh-CN"/>
                <w14:textFill>
                  <w14:solidFill>
                    <w14:schemeClr w14:val="tx1"/>
                  </w14:solidFill>
                </w14:textFill>
              </w:rPr>
              <w:t>。年产蒸汽量为4800t/a，即锅炉年工作时间为2400h。</w:t>
            </w:r>
          </w:p>
          <w:p w14:paraId="3E07A285">
            <w:pPr>
              <w:pStyle w:val="51"/>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建设单位无燃煤分析报告，本次参考《云南三环新盛化肥有限公司热风炉煤改气技改项目环境影响报告表》（http://www.kmxs.gov.cn/zzms/c/2024-10-31/6924566.shtml）中“燃料煤质分析，烟煤灰分30.8%，挥发分19.83%，固定碳48.29%，全硫0.49%。”。</w:t>
            </w:r>
          </w:p>
          <w:p w14:paraId="3A8B4D2C">
            <w:pPr>
              <w:pStyle w:val="51"/>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kern w:val="0"/>
                <w:sz w:val="24"/>
                <w:lang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①</w:t>
            </w:r>
            <w:r>
              <w:rPr>
                <w:rFonts w:hint="default" w:ascii="Times New Roman" w:hAnsi="Times New Roman" w:cs="Times New Roman"/>
                <w:b/>
                <w:bCs/>
                <w:color w:val="000000" w:themeColor="text1"/>
                <w:kern w:val="0"/>
                <w:sz w:val="24"/>
                <w:lang w:eastAsia="zh-CN"/>
                <w14:textFill>
                  <w14:solidFill>
                    <w14:schemeClr w14:val="tx1"/>
                  </w14:solidFill>
                </w14:textFill>
              </w:rPr>
              <w:t>颗粒物</w:t>
            </w:r>
          </w:p>
          <w:p w14:paraId="5888A918">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lang w:eastAsia="zh-CN"/>
                <w14:textFill>
                  <w14:solidFill>
                    <w14:schemeClr w14:val="tx1"/>
                  </w14:solidFill>
                </w14:textFill>
              </w:rPr>
            </w:pPr>
            <w:r>
              <w:rPr>
                <w:rFonts w:hint="default" w:ascii="Times New Roman" w:hAnsi="Times New Roman" w:cs="Times New Roman"/>
                <w:color w:val="000000" w:themeColor="text1"/>
                <w:kern w:val="0"/>
                <w:sz w:val="24"/>
                <w:lang w:eastAsia="zh-CN"/>
                <w14:textFill>
                  <w14:solidFill>
                    <w14:schemeClr w14:val="tx1"/>
                  </w14:solidFill>
                </w14:textFill>
              </w:rPr>
              <w:t>根据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《污染源源强核算技术指南—锅炉》(HJ991-2018)中</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5.1.1燃煤、燃生物质锅炉</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颗粒物排放量计算公式。</w:t>
            </w:r>
          </w:p>
          <w:p w14:paraId="40C099B1">
            <w:pPr>
              <w:keepNext w:val="0"/>
              <w:pageBreakBefore w:val="0"/>
              <w:overflowPunct/>
              <w:topLinePunct w:val="0"/>
              <w:bidi w:val="0"/>
              <w:adjustRightInd/>
              <w:snapToGrid/>
              <w:spacing w:line="360" w:lineRule="auto"/>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2571750" cy="1038225"/>
                  <wp:effectExtent l="0" t="0" r="0" b="9525"/>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28"/>
                          <a:stretch>
                            <a:fillRect/>
                          </a:stretch>
                        </pic:blipFill>
                        <pic:spPr>
                          <a:xfrm>
                            <a:off x="0" y="0"/>
                            <a:ext cx="2571750" cy="1038225"/>
                          </a:xfrm>
                          <a:prstGeom prst="rect">
                            <a:avLst/>
                          </a:prstGeom>
                          <a:noFill/>
                          <a:ln>
                            <a:noFill/>
                          </a:ln>
                        </pic:spPr>
                      </pic:pic>
                    </a:graphicData>
                  </a:graphic>
                </wp:inline>
              </w:drawing>
            </w:r>
          </w:p>
          <w:p w14:paraId="0F037596">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式中： EA—核算时段内颗粒物（烟尘）排放量， t； </w:t>
            </w:r>
          </w:p>
          <w:p w14:paraId="097D2407">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R—核算时段内锅炉燃料耗量，t，取</w:t>
            </w:r>
            <w:r>
              <w:rPr>
                <w:rFonts w:hint="eastAsia" w:cs="Times New Roman"/>
                <w:color w:val="000000" w:themeColor="text1"/>
                <w:sz w:val="24"/>
                <w:szCs w:val="24"/>
                <w:lang w:val="en-US" w:eastAsia="zh-CN"/>
                <w14:textFill>
                  <w14:solidFill>
                    <w14:schemeClr w14:val="tx1"/>
                  </w14:solidFill>
                </w14:textFill>
              </w:rPr>
              <w:t>672t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w:t>
            </w:r>
          </w:p>
          <w:p w14:paraId="10558A3F">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Aar—收到基灰分的质量分数，%，</w:t>
            </w:r>
            <w:r>
              <w:rPr>
                <w:rFonts w:hint="eastAsia" w:eastAsia="宋体" w:cs="Times New Roman"/>
                <w:color w:val="000000" w:themeColor="text1"/>
                <w:kern w:val="0"/>
                <w:sz w:val="24"/>
                <w:szCs w:val="24"/>
                <w:lang w:val="en-US" w:eastAsia="zh-CN" w:bidi="ar"/>
                <w14:textFill>
                  <w14:solidFill>
                    <w14:schemeClr w14:val="tx1"/>
                  </w14:solidFill>
                </w14:textFill>
              </w:rPr>
              <w:t>取30.8%</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w:t>
            </w:r>
          </w:p>
          <w:p w14:paraId="3681E84A">
            <w:pPr>
              <w:keepNext w:val="0"/>
              <w:pageBreakBefore w:val="0"/>
              <w:tabs>
                <w:tab w:val="left" w:pos="7140"/>
              </w:tabs>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dfh—锅炉烟气带出的飞灰份额，%，其值与燃烧方式有关，参照核算技术指南附录B表B.2，取</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w:t>
            </w:r>
          </w:p>
          <w:p w14:paraId="5ED66951">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ηc—综合除尘效率，%，</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现有项目采取双碱脱硫除尘，颗粒物除尘效率根据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begin"/>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instrText xml:space="preserve"> HYPERLINK "https://www.mee.gov.cn/xxgk2018/xxgk/xxgk01/202106/W020210624327149500026.pdf" </w:instrTex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separate"/>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排放源统计调查产排污核算方法和系数手册</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end"/>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》“4430 工业锅炉（热力生产和供应行业）产污系数表-燃煤工业锅炉”</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取</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87%。</w:t>
            </w:r>
          </w:p>
          <w:p w14:paraId="7BE1EF6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Cfh—飞灰中可燃物含量，%；参考《燃煤工业锅炉节能监测》（GB/T15317-2009）中表5，取15%。 </w:t>
            </w:r>
          </w:p>
          <w:p w14:paraId="31A053FB">
            <w:pPr>
              <w:pStyle w:val="17"/>
              <w:keepNext w:val="0"/>
              <w:keepLines w:val="0"/>
              <w:pageBreakBefore w:val="0"/>
              <w:widowControl w:val="0"/>
              <w:kinsoku/>
              <w:wordWrap w:val="0"/>
              <w:overflowPunct/>
              <w:topLinePunct/>
              <w:autoSpaceDE/>
              <w:autoSpaceDN/>
              <w:bidi w:val="0"/>
              <w:adjustRightInd w:val="0"/>
              <w:snapToGrid w:val="0"/>
              <w:spacing w:line="360" w:lineRule="auto"/>
              <w:ind w:left="0" w:leftChars="0" w:right="0" w:firstLine="480" w:firstLineChars="200"/>
              <w:rPr>
                <w:rFonts w:hint="eastAsia" w:ascii="Times New Roman" w:hAnsi="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则经计算，</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现有项目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颗粒物的排放量为</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3.1655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，1.319kg/h</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14:paraId="0591FFC5">
            <w:pPr>
              <w:keepNext w:val="0"/>
              <w:pageBreakBefore w:val="0"/>
              <w:overflowPunct/>
              <w:topLinePunct w:val="0"/>
              <w:bidi w:val="0"/>
              <w:adjustRightInd/>
              <w:snapToGrid/>
              <w:spacing w:line="360" w:lineRule="auto"/>
              <w:ind w:firstLine="482" w:firstLineChars="200"/>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cs="Times New Roman"/>
                <w:b/>
                <w:bCs/>
                <w:color w:val="000000" w:themeColor="text1"/>
                <w:kern w:val="0"/>
                <w:sz w:val="24"/>
                <w:lang w:eastAsia="zh-CN"/>
                <w14:textFill>
                  <w14:solidFill>
                    <w14:schemeClr w14:val="tx1"/>
                  </w14:solidFill>
                </w14:textFill>
              </w:rPr>
              <w:t>②二氧化硫</w:t>
            </w:r>
          </w:p>
          <w:p w14:paraId="3D7AFC47">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eastAsia="zh-CN"/>
                <w14:textFill>
                  <w14:solidFill>
                    <w14:schemeClr w14:val="tx1"/>
                  </w14:solidFill>
                </w14:textFill>
              </w:rPr>
              <w:t>根据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《污染源源强核算技术指南—锅炉》(HJ991-2018)中</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5.1.1燃煤、燃生物质锅炉</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二氧化硫排放量计算公式。</w:t>
            </w:r>
          </w:p>
          <w:p w14:paraId="0EC49AE6">
            <w:pPr>
              <w:keepNext w:val="0"/>
              <w:pageBreakBefore w:val="0"/>
              <w:overflowPunct/>
              <w:topLinePunct w:val="0"/>
              <w:bidi w:val="0"/>
              <w:adjustRightInd/>
              <w:snapToGrid/>
              <w:spacing w:line="360" w:lineRule="auto"/>
              <w:jc w:val="cente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drawing>
                <wp:inline distT="0" distB="0" distL="114300" distR="114300">
                  <wp:extent cx="3592195" cy="611505"/>
                  <wp:effectExtent l="0" t="0" r="8255" b="1714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29"/>
                          <a:stretch>
                            <a:fillRect/>
                          </a:stretch>
                        </pic:blipFill>
                        <pic:spPr>
                          <a:xfrm>
                            <a:off x="0" y="0"/>
                            <a:ext cx="3592195" cy="611505"/>
                          </a:xfrm>
                          <a:prstGeom prst="rect">
                            <a:avLst/>
                          </a:prstGeom>
                          <a:noFill/>
                          <a:ln>
                            <a:noFill/>
                          </a:ln>
                        </pic:spPr>
                      </pic:pic>
                    </a:graphicData>
                  </a:graphic>
                </wp:inline>
              </w:drawing>
            </w:r>
          </w:p>
          <w:p w14:paraId="37F8305E">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式中：ESO2——核算时段内二氧化硫排放量，t； </w:t>
            </w:r>
          </w:p>
          <w:p w14:paraId="796A457E">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R—核算时段内锅炉燃料耗量，t，取</w:t>
            </w:r>
            <w:r>
              <w:rPr>
                <w:rFonts w:hint="eastAsia" w:cs="Times New Roman"/>
                <w:color w:val="000000" w:themeColor="text1"/>
                <w:sz w:val="24"/>
                <w:szCs w:val="24"/>
                <w:lang w:val="en-US" w:eastAsia="zh-CN"/>
                <w14:textFill>
                  <w14:solidFill>
                    <w14:schemeClr w14:val="tx1"/>
                  </w14:solidFill>
                </w14:textFill>
              </w:rPr>
              <w:t>672t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w:t>
            </w:r>
          </w:p>
          <w:p w14:paraId="27D1F189">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Sar—收到基硫的质量分数，%，</w:t>
            </w:r>
            <w:r>
              <w:rPr>
                <w:rFonts w:hint="eastAsia" w:eastAsia="宋体" w:cs="Times New Roman"/>
                <w:color w:val="000000" w:themeColor="text1"/>
                <w:kern w:val="0"/>
                <w:sz w:val="24"/>
                <w:szCs w:val="24"/>
                <w:lang w:val="en-US" w:eastAsia="zh-CN" w:bidi="ar"/>
                <w14:textFill>
                  <w14:solidFill>
                    <w14:schemeClr w14:val="tx1"/>
                  </w14:solidFill>
                </w14:textFill>
              </w:rPr>
              <w:t>根据工程分析，取0.</w:t>
            </w:r>
            <w:r>
              <w:rPr>
                <w:rFonts w:hint="eastAsia" w:cs="Times New Roman"/>
                <w:color w:val="000000" w:themeColor="text1"/>
                <w:kern w:val="0"/>
                <w:sz w:val="24"/>
                <w:szCs w:val="24"/>
                <w:lang w:val="en-US" w:eastAsia="zh-CN" w:bidi="ar"/>
                <w14:textFill>
                  <w14:solidFill>
                    <w14:schemeClr w14:val="tx1"/>
                  </w14:solidFill>
                </w14:textFill>
              </w:rPr>
              <w:t>49</w:t>
            </w:r>
            <w:r>
              <w:rPr>
                <w:rFonts w:hint="eastAsia"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w:t>
            </w:r>
          </w:p>
          <w:p w14:paraId="1558FE8E">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q</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—锅炉机械不完全燃烧热损失，%，根据《污染源源强核算技术指南 锅炉》（HJ991-2018）附录B表B.1，本次取15%。</w:t>
            </w:r>
          </w:p>
          <w:p w14:paraId="587AEAA4">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ηs—脱硫效率，%，</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现有项目采取双碱脱硫除尘，根据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begin"/>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instrText xml:space="preserve"> HYPERLINK "https://www.mee.gov.cn/xxgk2018/xxgk/xxgk01/202106/W020210624327149500026.pdf" </w:instrTex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separate"/>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排放源统计调查产排污核算方法和系数手册</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end"/>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》“4430 工业锅炉（热力生产和供应行业）产污系数表-燃煤工业锅炉”</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取</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81.5%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w:t>
            </w:r>
          </w:p>
          <w:p w14:paraId="072A98A7">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K—燃料中的硫燃烧后氧化成二氧化硫的份额，量纲</w:t>
            </w:r>
            <w:r>
              <w:rPr>
                <w:rFonts w:hint="eastAsia" w:cs="Times New Roman"/>
                <w:color w:val="000000" w:themeColor="text1"/>
                <w:kern w:val="0"/>
                <w:sz w:val="24"/>
                <w:szCs w:val="24"/>
                <w:lang w:val="en-US" w:eastAsia="zh-CN" w:bidi="ar"/>
                <w14:textFill>
                  <w14:solidFill>
                    <w14:schemeClr w14:val="tx1"/>
                  </w14:solidFill>
                </w14:textFill>
              </w:rPr>
              <w:t>一</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的量；根据《污染源源强核算技术指南 锅炉》（HJ991-2018）附录B表B.3，</w:t>
            </w:r>
            <w:r>
              <w:rPr>
                <w:rFonts w:hint="eastAsia" w:cs="Times New Roman"/>
                <w:color w:val="000000" w:themeColor="text1"/>
                <w:kern w:val="0"/>
                <w:sz w:val="24"/>
                <w:szCs w:val="24"/>
                <w:lang w:val="en-US" w:eastAsia="zh-CN" w:bidi="ar"/>
                <w14:textFill>
                  <w14:solidFill>
                    <w14:schemeClr w14:val="tx1"/>
                  </w14:solidFill>
                </w14:textFill>
              </w:rPr>
              <w:t>燃煤层燃</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炉取0.</w:t>
            </w:r>
            <w:r>
              <w:rPr>
                <w:rFonts w:hint="eastAsia" w:cs="Times New Roman"/>
                <w:color w:val="000000" w:themeColor="text1"/>
                <w:kern w:val="0"/>
                <w:sz w:val="24"/>
                <w:szCs w:val="24"/>
                <w:lang w:val="en-US" w:eastAsia="zh-CN" w:bidi="ar"/>
                <w14:textFill>
                  <w14:solidFill>
                    <w14:schemeClr w14:val="tx1"/>
                  </w14:solidFill>
                </w14:textFill>
              </w:rPr>
              <w:t>8。</w:t>
            </w:r>
          </w:p>
          <w:p w14:paraId="2ABA68A9">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则经计算，</w:t>
            </w:r>
            <w:r>
              <w:rPr>
                <w:rFonts w:hint="eastAsia" w:cs="Times New Roman"/>
                <w:b w:val="0"/>
                <w:bCs w:val="0"/>
                <w:color w:val="000000" w:themeColor="text1"/>
                <w:kern w:val="0"/>
                <w:sz w:val="24"/>
                <w:szCs w:val="24"/>
                <w:lang w:val="en-US" w:eastAsia="zh-CN" w:bidi="ar"/>
                <w14:textFill>
                  <w14:solidFill>
                    <w14:schemeClr w14:val="tx1"/>
                  </w14:solidFill>
                </w14:textFill>
              </w:rPr>
              <w:t>现有项目</w:t>
            </w:r>
            <w:r>
              <w:rPr>
                <w:rFonts w:hint="default" w:ascii="Times New Roman" w:hAnsi="Times New Roman" w:cs="Times New Roman"/>
                <w:b w:val="0"/>
                <w:bCs w:val="0"/>
                <w:color w:val="000000" w:themeColor="text1"/>
                <w:kern w:val="0"/>
                <w:sz w:val="24"/>
                <w:szCs w:val="24"/>
                <w:lang w:eastAsia="zh-CN"/>
                <w14:textFill>
                  <w14:solidFill>
                    <w14:schemeClr w14:val="tx1"/>
                  </w14:solidFill>
                </w14:textFill>
              </w:rPr>
              <w:t>二氧化硫</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的排放量为</w:t>
            </w:r>
            <w:r>
              <w:rPr>
                <w:rFonts w:hint="eastAsia" w:cs="Times New Roman"/>
                <w:b w:val="0"/>
                <w:bCs w:val="0"/>
                <w:color w:val="000000" w:themeColor="text1"/>
                <w:kern w:val="0"/>
                <w:sz w:val="24"/>
                <w:szCs w:val="24"/>
                <w:lang w:val="en-US" w:eastAsia="zh-CN"/>
                <w14:textFill>
                  <w14:solidFill>
                    <w14:schemeClr w14:val="tx1"/>
                  </w14:solidFill>
                </w14:textFill>
              </w:rPr>
              <w:t>0.828t</w:t>
            </w:r>
            <w:r>
              <w:rPr>
                <w:rFonts w:hint="default" w:ascii="Times New Roman" w:hAnsi="Times New Roman" w:cs="Times New Roman"/>
                <w:b w:val="0"/>
                <w:bCs w:val="0"/>
                <w:color w:val="000000" w:themeColor="text1"/>
                <w:kern w:val="0"/>
                <w:sz w:val="24"/>
                <w:szCs w:val="24"/>
                <w:lang w:val="en-US" w:eastAsia="zh-CN"/>
                <w14:textFill>
                  <w14:solidFill>
                    <w14:schemeClr w14:val="tx1"/>
                  </w14:solidFill>
                </w14:textFill>
              </w:rPr>
              <w:t>/a</w:t>
            </w:r>
            <w:r>
              <w:rPr>
                <w:rFonts w:hint="eastAsia" w:cs="Times New Roman"/>
                <w:b w:val="0"/>
                <w:bCs w:val="0"/>
                <w:color w:val="000000" w:themeColor="text1"/>
                <w:kern w:val="0"/>
                <w:sz w:val="24"/>
                <w:szCs w:val="24"/>
                <w:lang w:val="en-US" w:eastAsia="zh-CN"/>
                <w14:textFill>
                  <w14:solidFill>
                    <w14:schemeClr w14:val="tx1"/>
                  </w14:solidFill>
                </w14:textFill>
              </w:rPr>
              <w:t>，0.345kg/h</w:t>
            </w:r>
            <w:r>
              <w:rPr>
                <w:rFonts w:hint="default" w:ascii="Times New Roman" w:hAnsi="Times New Roman" w:cs="Times New Roman"/>
                <w:b w:val="0"/>
                <w:bCs w:val="0"/>
                <w:color w:val="000000" w:themeColor="text1"/>
                <w:kern w:val="0"/>
                <w:sz w:val="24"/>
                <w:szCs w:val="24"/>
                <w:lang w:val="en-US" w:eastAsia="zh-CN"/>
                <w14:textFill>
                  <w14:solidFill>
                    <w14:schemeClr w14:val="tx1"/>
                  </w14:solidFill>
                </w14:textFill>
              </w:rPr>
              <w:t>。</w:t>
            </w:r>
          </w:p>
          <w:p w14:paraId="2CA8A72A">
            <w:pPr>
              <w:keepNext w:val="0"/>
              <w:pageBreakBefore w:val="0"/>
              <w:overflowPunct/>
              <w:topLinePunct w:val="0"/>
              <w:bidi w:val="0"/>
              <w:adjustRightInd/>
              <w:snapToGrid/>
              <w:spacing w:line="360" w:lineRule="auto"/>
              <w:ind w:firstLine="482" w:firstLineChars="200"/>
              <w:rPr>
                <w:rFonts w:hint="default" w:ascii="Times New Roman" w:hAnsi="Times New Roman" w:eastAsia="宋体" w:cs="Times New Roman"/>
                <w:b/>
                <w:bCs/>
                <w:color w:val="000000" w:themeColor="text1"/>
                <w:kern w:val="0"/>
                <w:sz w:val="24"/>
                <w:lang w:eastAsia="zh-CN"/>
                <w14:textFill>
                  <w14:solidFill>
                    <w14:schemeClr w14:val="tx1"/>
                  </w14:solidFill>
                </w14:textFill>
              </w:rPr>
            </w:pPr>
            <w:r>
              <w:rPr>
                <w:rFonts w:hint="default" w:ascii="Times New Roman" w:hAnsi="Times New Roman" w:cs="Times New Roman"/>
                <w:b/>
                <w:bCs/>
                <w:color w:val="000000" w:themeColor="text1"/>
                <w:kern w:val="0"/>
                <w:sz w:val="24"/>
                <w:lang w:eastAsia="zh-CN"/>
                <w14:textFill>
                  <w14:solidFill>
                    <w14:schemeClr w14:val="tx1"/>
                  </w14:solidFill>
                </w14:textFill>
              </w:rPr>
              <w:t>③氮氧化物</w:t>
            </w:r>
          </w:p>
          <w:p w14:paraId="693BF45C">
            <w:pPr>
              <w:keepNext w:val="0"/>
              <w:pageBreakBefore w:val="0"/>
              <w:overflowPunct/>
              <w:topLinePunct w:val="0"/>
              <w:bidi w:val="0"/>
              <w:adjustRightInd/>
              <w:snapToGrid/>
              <w:spacing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lang w:eastAsia="zh-CN"/>
                <w14:textFill>
                  <w14:solidFill>
                    <w14:schemeClr w14:val="tx1"/>
                  </w14:solidFill>
                </w14:textFill>
              </w:rPr>
              <w:t>根据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《污染源源强核算技术指南—锅炉》(HJ991-2018)中</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5.1.1燃煤、燃生物质锅炉</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氮氧化物排放量计算公式。</w:t>
            </w:r>
          </w:p>
          <w:p w14:paraId="1DF38FC0">
            <w:pPr>
              <w:keepNext w:val="0"/>
              <w:pageBreakBefore w:val="0"/>
              <w:overflowPunct/>
              <w:topLinePunct w:val="0"/>
              <w:bidi w:val="0"/>
              <w:adjustRightInd/>
              <w:snapToGrid/>
              <w:spacing w:line="360" w:lineRule="auto"/>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3143250" cy="781050"/>
                  <wp:effectExtent l="0" t="0" r="0" b="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30"/>
                          <a:stretch>
                            <a:fillRect/>
                          </a:stretch>
                        </pic:blipFill>
                        <pic:spPr>
                          <a:xfrm>
                            <a:off x="0" y="0"/>
                            <a:ext cx="3143250" cy="781050"/>
                          </a:xfrm>
                          <a:prstGeom prst="rect">
                            <a:avLst/>
                          </a:prstGeom>
                          <a:noFill/>
                          <a:ln>
                            <a:noFill/>
                          </a:ln>
                        </pic:spPr>
                      </pic:pic>
                    </a:graphicData>
                  </a:graphic>
                </wp:inline>
              </w:drawing>
            </w:r>
          </w:p>
          <w:p w14:paraId="43531B5D">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式中：E</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NOx</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—核算时段内氮氧化物排放量，t </w:t>
            </w:r>
          </w:p>
          <w:p w14:paraId="741E27BA">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ρNOx—锅炉炉膛出口氮氧化物质量浓度，根据《污染源源强核算技术指南 锅炉》（HJ991-2018）附录B表B.4燃</w:t>
            </w:r>
            <w:r>
              <w:rPr>
                <w:rFonts w:hint="eastAsia" w:cs="Times New Roman"/>
                <w:color w:val="000000" w:themeColor="text1"/>
                <w:kern w:val="0"/>
                <w:sz w:val="24"/>
                <w:szCs w:val="24"/>
                <w:lang w:val="en-US" w:eastAsia="zh-CN" w:bidi="ar"/>
                <w14:textFill>
                  <w14:solidFill>
                    <w14:schemeClr w14:val="tx1"/>
                  </w14:solidFill>
                </w14:textFill>
              </w:rPr>
              <w:t>煤</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炉炉膛出口NOx质量浓度范围为100~600mg/m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，本次取</w:t>
            </w:r>
            <w:r>
              <w:rPr>
                <w:rFonts w:hint="eastAsia" w:cs="Times New Roman"/>
                <w:color w:val="000000" w:themeColor="text1"/>
                <w:kern w:val="0"/>
                <w:sz w:val="24"/>
                <w:szCs w:val="24"/>
                <w:lang w:val="en-US" w:eastAsia="zh-CN" w:bidi="ar"/>
                <w14:textFill>
                  <w14:solidFill>
                    <w14:schemeClr w14:val="tx1"/>
                  </w14:solidFill>
                </w14:textFill>
              </w:rPr>
              <w:t>3</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0mg/m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计算； </w:t>
            </w:r>
          </w:p>
          <w:p w14:paraId="7066C840">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Q—核算时段内标态干烟气排放量，m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639.8699</w:t>
            </w:r>
            <w:r>
              <w:rPr>
                <w:rFonts w:hint="eastAsia" w:eastAsia="宋体" w:cs="Times New Roman"/>
                <w:color w:val="000000" w:themeColor="text1"/>
                <w:kern w:val="0"/>
                <w:sz w:val="24"/>
                <w:szCs w:val="24"/>
                <w:lang w:val="en-US" w:eastAsia="zh-CN" w:bidi="ar"/>
                <w14:textFill>
                  <w14:solidFill>
                    <w14:schemeClr w14:val="tx1"/>
                  </w14:solidFill>
                </w14:textFill>
              </w:rPr>
              <w:t>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Nm³/a； </w:t>
            </w:r>
          </w:p>
          <w:p w14:paraId="6DF40857">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η</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NOx</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—脱硝效率，%，</w:t>
            </w:r>
            <w:r>
              <w:rPr>
                <w:rFonts w:hint="eastAsia" w:cs="Times New Roman"/>
                <w:color w:val="000000" w:themeColor="text1"/>
                <w:kern w:val="0"/>
                <w:sz w:val="24"/>
                <w:szCs w:val="24"/>
                <w:lang w:val="en-US" w:eastAsia="zh-CN" w:bidi="ar"/>
                <w14:textFill>
                  <w14:solidFill>
                    <w14:schemeClr w14:val="tx1"/>
                  </w14:solidFill>
                </w14:textFill>
              </w:rPr>
              <w:t>原有未采取低氮燃烧技术</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，脱硝效率取0%。</w:t>
            </w:r>
          </w:p>
          <w:p w14:paraId="26760AC6">
            <w:pPr>
              <w:keepNext w:val="0"/>
              <w:pageBreakBefore w:val="0"/>
              <w:overflowPunct/>
              <w:topLinePunct w:val="0"/>
              <w:bidi w:val="0"/>
              <w:adjustRightInd/>
              <w:snapToGrid/>
              <w:spacing w:line="360" w:lineRule="auto"/>
              <w:ind w:firstLine="480" w:firstLineChars="200"/>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则经计算，</w:t>
            </w:r>
            <w:r>
              <w:rPr>
                <w:rFonts w:hint="eastAsia" w:cs="Times New Roman"/>
                <w:b w:val="0"/>
                <w:bCs w:val="0"/>
                <w:color w:val="000000" w:themeColor="text1"/>
                <w:kern w:val="0"/>
                <w:sz w:val="24"/>
                <w:szCs w:val="24"/>
                <w:lang w:val="en-US" w:eastAsia="zh-CN" w:bidi="ar"/>
                <w14:textFill>
                  <w14:solidFill>
                    <w14:schemeClr w14:val="tx1"/>
                  </w14:solidFill>
                </w14:textFill>
              </w:rPr>
              <w:t>现有项目</w:t>
            </w:r>
            <w:r>
              <w:rPr>
                <w:rFonts w:hint="default" w:ascii="Times New Roman" w:hAnsi="Times New Roman" w:cs="Times New Roman"/>
                <w:b w:val="0"/>
                <w:bCs w:val="0"/>
                <w:color w:val="000000" w:themeColor="text1"/>
                <w:kern w:val="0"/>
                <w:sz w:val="24"/>
                <w:szCs w:val="24"/>
                <w:lang w:eastAsia="zh-CN"/>
                <w14:textFill>
                  <w14:solidFill>
                    <w14:schemeClr w14:val="tx1"/>
                  </w14:solidFill>
                </w14:textFill>
              </w:rPr>
              <w:t>氮氧化物</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的排放量为</w:t>
            </w:r>
            <w:r>
              <w:rPr>
                <w:rFonts w:hint="eastAsia" w:cs="Times New Roman"/>
                <w:b w:val="0"/>
                <w:bCs w:val="0"/>
                <w:color w:val="000000" w:themeColor="text1"/>
                <w:kern w:val="0"/>
                <w:sz w:val="24"/>
                <w:szCs w:val="24"/>
                <w:lang w:val="en-US" w:eastAsia="zh-CN" w:bidi="ar"/>
                <w14:textFill>
                  <w14:solidFill>
                    <w14:schemeClr w14:val="tx1"/>
                  </w14:solidFill>
                </w14:textFill>
              </w:rPr>
              <w:t>1.9196</w:t>
            </w:r>
            <w:r>
              <w:rPr>
                <w:rFonts w:hint="default" w:ascii="Times New Roman" w:hAnsi="Times New Roman" w:cs="Times New Roman"/>
                <w:color w:val="000000" w:themeColor="text1"/>
                <w:kern w:val="0"/>
                <w:sz w:val="24"/>
                <w:lang w:val="en-US" w:eastAsia="zh-CN"/>
                <w14:textFill>
                  <w14:solidFill>
                    <w14:schemeClr w14:val="tx1"/>
                  </w14:solidFill>
                </w14:textFill>
              </w:rPr>
              <w:t>t/a</w:t>
            </w:r>
            <w:r>
              <w:rPr>
                <w:rFonts w:hint="eastAsia" w:cs="Times New Roman"/>
                <w:color w:val="000000" w:themeColor="text1"/>
                <w:kern w:val="0"/>
                <w:sz w:val="24"/>
                <w:lang w:val="en-US" w:eastAsia="zh-CN"/>
                <w14:textFill>
                  <w14:solidFill>
                    <w14:schemeClr w14:val="tx1"/>
                  </w14:solidFill>
                </w14:textFill>
              </w:rPr>
              <w:t>，排放速率0.7998kg/h</w:t>
            </w:r>
            <w:r>
              <w:rPr>
                <w:rFonts w:hint="default" w:cs="Times New Roman"/>
                <w:color w:val="000000" w:themeColor="text1"/>
                <w:kern w:val="0"/>
                <w:sz w:val="24"/>
                <w:lang w:val="en-US" w:eastAsia="zh-CN"/>
                <w14:textFill>
                  <w14:solidFill>
                    <w14:schemeClr w14:val="tx1"/>
                  </w14:solidFill>
                </w14:textFill>
              </w:rPr>
              <w:t>。</w:t>
            </w:r>
          </w:p>
          <w:p w14:paraId="6EF7993C">
            <w:pPr>
              <w:keepNext w:val="0"/>
              <w:pageBreakBefore w:val="0"/>
              <w:overflowPunct/>
              <w:topLinePunct w:val="0"/>
              <w:bidi w:val="0"/>
              <w:adjustRightInd/>
              <w:snapToGrid/>
              <w:spacing w:line="360" w:lineRule="auto"/>
              <w:ind w:firstLine="482" w:firstLineChars="200"/>
              <w:rPr>
                <w:rFonts w:hint="default" w:ascii="Times New Roman" w:hAnsi="Times New Roman" w:eastAsia="宋体" w:cs="Times New Roman"/>
                <w:b/>
                <w:bCs/>
                <w:color w:val="000000" w:themeColor="text1"/>
                <w:kern w:val="0"/>
                <w:sz w:val="24"/>
                <w:lang w:eastAsia="zh-CN"/>
                <w14:textFill>
                  <w14:solidFill>
                    <w14:schemeClr w14:val="tx1"/>
                  </w14:solidFill>
                </w14:textFill>
              </w:rPr>
            </w:pPr>
            <w:r>
              <w:rPr>
                <w:rFonts w:hint="eastAsia" w:ascii="Times New Roman" w:hAnsi="Times New Roman" w:cs="Times New Roman"/>
                <w:b/>
                <w:bCs/>
                <w:color w:val="000000" w:themeColor="text1"/>
                <w:kern w:val="0"/>
                <w:sz w:val="24"/>
                <w:lang w:eastAsia="zh-CN"/>
                <w14:textFill>
                  <w14:solidFill>
                    <w14:schemeClr w14:val="tx1"/>
                  </w14:solidFill>
                </w14:textFill>
              </w:rPr>
              <w:t>④汞及其化合物</w:t>
            </w:r>
          </w:p>
          <w:p w14:paraId="66A52F01">
            <w:pPr>
              <w:keepNext w:val="0"/>
              <w:pageBreakBefore w:val="0"/>
              <w:overflowPunct/>
              <w:topLinePunct w:val="0"/>
              <w:bidi w:val="0"/>
              <w:adjustRightInd/>
              <w:snapToGrid/>
              <w:spacing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lang w:eastAsia="zh-CN"/>
                <w14:textFill>
                  <w14:solidFill>
                    <w14:schemeClr w14:val="tx1"/>
                  </w14:solidFill>
                </w14:textFill>
              </w:rPr>
              <w:t>根据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《污染源源强核算技术指南—锅炉》(HJ991-2018)中</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5.1.1燃煤、燃生物质锅炉</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”汞及其化合物</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排放量计算公式。</w:t>
            </w:r>
          </w:p>
          <w:p w14:paraId="33BCB878">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p>
          <w:p w14:paraId="55C495CF">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r>
              <w:rPr>
                <w:color w:val="000000" w:themeColor="text1"/>
                <w14:textFill>
                  <w14:solidFill>
                    <w14:schemeClr w14:val="tx1"/>
                  </w14:solidFill>
                </w14:textFill>
              </w:rPr>
              <w:drawing>
                <wp:inline distT="0" distB="0" distL="114300" distR="114300">
                  <wp:extent cx="3610610" cy="821690"/>
                  <wp:effectExtent l="0" t="0" r="8890" b="165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3610610" cy="821690"/>
                          </a:xfrm>
                          <a:prstGeom prst="rect">
                            <a:avLst/>
                          </a:prstGeom>
                          <a:noFill/>
                          <a:ln>
                            <a:noFill/>
                          </a:ln>
                        </pic:spPr>
                      </pic:pic>
                    </a:graphicData>
                  </a:graphic>
                </wp:inline>
              </w:drawing>
            </w:r>
          </w:p>
          <w:p w14:paraId="171C2440">
            <w:pPr>
              <w:keepNext w:val="0"/>
              <w:pageBreakBefore w:val="0"/>
              <w:overflowPunct/>
              <w:topLinePunct w:val="0"/>
              <w:bidi w:val="0"/>
              <w:adjustRightInd/>
              <w:snapToGrid/>
              <w:spacing w:line="360" w:lineRule="auto"/>
              <w:ind w:firstLine="480" w:firstLineChars="200"/>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式中： EHg——核算时段内汞及其化合物排放量（以汞计），t；</w:t>
            </w:r>
          </w:p>
          <w:p w14:paraId="0A3B596B">
            <w:pPr>
              <w:keepNext w:val="0"/>
              <w:pageBreakBefore w:val="0"/>
              <w:overflowPunct/>
              <w:topLinePunct w:val="0"/>
              <w:bidi w:val="0"/>
              <w:adjustRightInd/>
              <w:snapToGrid/>
              <w:spacing w:line="360" w:lineRule="auto"/>
              <w:ind w:firstLine="480" w:firstLineChars="200"/>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R——核算时段内锅炉燃料耗量，t；</w:t>
            </w:r>
          </w:p>
          <w:p w14:paraId="3E8B991E">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Hgar</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——收到基汞的含量，µg/g；本次参考文献《</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begin"/>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instrText xml:space="preserve"> HYPERLINK "https://www.zhangqiaokeyan.com/academic-journal-cn_china-environmental-science_thesis/0201218678702.html" </w:instrTex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separate"/>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中国燃煤汞排放量估算</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fldChar w:fldCharType="end"/>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》（王起超;沈文国;麻壮伟,中国环境科学.1999,第4期）“全国煤炭的平均汞含量为0.22mg/kg”，即0.22μg/g。</w:t>
            </w:r>
          </w:p>
          <w:p w14:paraId="2C59FF04">
            <w:pPr>
              <w:keepNext w:val="0"/>
              <w:pageBreakBefore w:val="0"/>
              <w:overflowPunct/>
              <w:topLinePunct w:val="0"/>
              <w:bidi w:val="0"/>
              <w:adjustRightInd/>
              <w:snapToGrid/>
              <w:spacing w:line="360" w:lineRule="auto"/>
              <w:ind w:firstLine="480" w:firstLineChars="200"/>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Hg——汞的协同脱除效率，%。</w:t>
            </w:r>
          </w:p>
          <w:p w14:paraId="3B9D0D62">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则经计算，</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现有项目汞及其化合物</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的排放量为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0.0001478</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，排放速率0.0000616kg/h</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14:paraId="48E0C466">
            <w:pPr>
              <w:keepNext w:val="0"/>
              <w:pageBreakBefore w:val="0"/>
              <w:overflowPunct/>
              <w:topLinePunct w:val="0"/>
              <w:bidi w:val="0"/>
              <w:adjustRightInd/>
              <w:snapToGrid/>
              <w:spacing w:line="360" w:lineRule="auto"/>
              <w:ind w:firstLine="480" w:firstLineChars="200"/>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eastAsia" w:cs="Times New Roman"/>
                <w:b w:val="0"/>
                <w:bCs w:val="0"/>
                <w:color w:val="000000" w:themeColor="text1"/>
                <w:kern w:val="0"/>
                <w:sz w:val="24"/>
                <w:szCs w:val="24"/>
                <w:lang w:val="en-US" w:eastAsia="zh-CN" w:bidi="ar"/>
                <w14:textFill>
                  <w14:solidFill>
                    <w14:schemeClr w14:val="tx1"/>
                  </w14:solidFill>
                </w14:textFill>
              </w:rPr>
              <w:t>现有项目燃煤</w:t>
            </w: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锅炉废气经“双碱法脱硫除尘设施”处理后通过1根3</w:t>
            </w:r>
            <w:r>
              <w:rPr>
                <w:rFonts w:hint="eastAsia" w:cs="Times New Roman"/>
                <w:b w:val="0"/>
                <w:bCs w:val="0"/>
                <w:color w:val="000000" w:themeColor="text1"/>
                <w:kern w:val="0"/>
                <w:sz w:val="24"/>
                <w:szCs w:val="24"/>
                <w:lang w:val="en-US" w:eastAsia="zh-CN" w:bidi="ar"/>
                <w14:textFill>
                  <w14:solidFill>
                    <w14:schemeClr w14:val="tx1"/>
                  </w14:solidFill>
                </w14:textFill>
              </w:rPr>
              <w:t>0</w:t>
            </w: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m高排气筒DA001排放。</w:t>
            </w:r>
          </w:p>
          <w:p w14:paraId="584D11FE">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1"/>
                <w:szCs w:val="21"/>
                <w:lang w:val="en-US" w:eastAsia="zh-CN" w:bidi="ar"/>
                <w14:textFill>
                  <w14:solidFill>
                    <w14:schemeClr w14:val="tx1"/>
                  </w14:solidFill>
                </w14:textFill>
              </w:rPr>
              <w:t>表</w:t>
            </w:r>
            <w:r>
              <w:rPr>
                <w:rFonts w:hint="eastAsia" w:cs="Times New Roman"/>
                <w:b/>
                <w:bCs/>
                <w:color w:val="000000" w:themeColor="text1"/>
                <w:kern w:val="0"/>
                <w:sz w:val="21"/>
                <w:szCs w:val="21"/>
                <w:lang w:val="en-US" w:eastAsia="zh-CN" w:bidi="ar"/>
                <w14:textFill>
                  <w14:solidFill>
                    <w14:schemeClr w14:val="tx1"/>
                  </w14:solidFill>
                </w14:textFill>
              </w:rPr>
              <w:t>2-12</w:t>
            </w:r>
            <w:r>
              <w:rPr>
                <w:rFonts w:hint="eastAsia" w:ascii="Times New Roman" w:hAnsi="Times New Roman" w:eastAsia="宋体" w:cs="Times New Roman"/>
                <w:b/>
                <w:bCs/>
                <w:color w:val="000000" w:themeColor="text1"/>
                <w:kern w:val="0"/>
                <w:sz w:val="21"/>
                <w:szCs w:val="21"/>
                <w:lang w:val="en-US" w:eastAsia="zh-CN" w:bidi="ar"/>
                <w14:textFill>
                  <w14:solidFill>
                    <w14:schemeClr w14:val="tx1"/>
                  </w14:solidFill>
                </w14:textFill>
              </w:rPr>
              <w:t xml:space="preserve"> </w:t>
            </w:r>
            <w:r>
              <w:rPr>
                <w:rFonts w:hint="eastAsia" w:cs="Times New Roman"/>
                <w:b/>
                <w:bCs/>
                <w:color w:val="000000" w:themeColor="text1"/>
                <w:kern w:val="0"/>
                <w:sz w:val="21"/>
                <w:szCs w:val="21"/>
                <w:lang w:val="en-US" w:eastAsia="zh-CN" w:bidi="ar"/>
                <w14:textFill>
                  <w14:solidFill>
                    <w14:schemeClr w14:val="tx1"/>
                  </w14:solidFill>
                </w14:textFill>
              </w:rPr>
              <w:t>现有项目</w:t>
            </w:r>
            <w:r>
              <w:rPr>
                <w:rFonts w:hint="eastAsia" w:ascii="Times New Roman" w:hAnsi="Times New Roman" w:eastAsia="宋体" w:cs="Times New Roman"/>
                <w:b/>
                <w:bCs/>
                <w:color w:val="000000" w:themeColor="text1"/>
                <w:kern w:val="0"/>
                <w:sz w:val="21"/>
                <w:szCs w:val="21"/>
                <w:lang w:val="en-US" w:eastAsia="zh-CN" w:bidi="ar"/>
                <w14:textFill>
                  <w14:solidFill>
                    <w14:schemeClr w14:val="tx1"/>
                  </w14:solidFill>
                </w14:textFill>
              </w:rPr>
              <w:t>锅炉废气污染物排放量一览表</w:t>
            </w:r>
          </w:p>
          <w:tbl>
            <w:tblPr>
              <w:tblStyle w:val="33"/>
              <w:tblW w:w="4999"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2101"/>
              <w:gridCol w:w="2102"/>
              <w:gridCol w:w="2102"/>
              <w:gridCol w:w="2104"/>
            </w:tblGrid>
            <w:tr w14:paraId="3A2283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96" w:hRule="atLeast"/>
                <w:jc w:val="center"/>
              </w:trPr>
              <w:tc>
                <w:tcPr>
                  <w:tcW w:w="1249" w:type="pct"/>
                  <w:noWrap w:val="0"/>
                  <w:vAlign w:val="center"/>
                </w:tcPr>
                <w:p w14:paraId="26E04562">
                  <w:pPr>
                    <w:spacing w:line="240" w:lineRule="auto"/>
                    <w:ind w:firstLine="0" w:firstLineChars="0"/>
                    <w:jc w:val="center"/>
                    <w:rPr>
                      <w:rFonts w:hint="eastAsia" w:eastAsia="宋体"/>
                      <w:b/>
                      <w:bCs/>
                      <w:color w:val="000000" w:themeColor="text1"/>
                      <w:sz w:val="21"/>
                      <w:szCs w:val="21"/>
                      <w:lang w:eastAsia="zh-CN"/>
                      <w14:textFill>
                        <w14:solidFill>
                          <w14:schemeClr w14:val="tx1"/>
                        </w14:solidFill>
                      </w14:textFill>
                    </w:rPr>
                  </w:pPr>
                  <w:r>
                    <w:rPr>
                      <w:rFonts w:hint="eastAsia" w:eastAsia="宋体"/>
                      <w:b/>
                      <w:bCs/>
                      <w:color w:val="000000" w:themeColor="text1"/>
                      <w:sz w:val="21"/>
                      <w:szCs w:val="21"/>
                      <w:lang w:eastAsia="zh-CN"/>
                      <w14:textFill>
                        <w14:solidFill>
                          <w14:schemeClr w14:val="tx1"/>
                        </w14:solidFill>
                      </w14:textFill>
                    </w:rPr>
                    <w:t>污染物</w:t>
                  </w:r>
                </w:p>
              </w:tc>
              <w:tc>
                <w:tcPr>
                  <w:tcW w:w="1249" w:type="pct"/>
                  <w:noWrap w:val="0"/>
                  <w:vAlign w:val="center"/>
                </w:tcPr>
                <w:p w14:paraId="56CD2516">
                  <w:pPr>
                    <w:spacing w:line="240" w:lineRule="auto"/>
                    <w:ind w:firstLine="0" w:firstLineChars="0"/>
                    <w:jc w:val="center"/>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平均排放速率</w:t>
                  </w:r>
                  <w:r>
                    <w:rPr>
                      <w:rFonts w:hint="eastAsia"/>
                      <w:b/>
                      <w:bCs/>
                      <w:color w:val="000000" w:themeColor="text1"/>
                      <w:sz w:val="21"/>
                      <w:szCs w:val="21"/>
                      <w:lang w:val="en-US" w:eastAsia="zh-CN"/>
                      <w14:textFill>
                        <w14:solidFill>
                          <w14:schemeClr w14:val="tx1"/>
                        </w14:solidFill>
                      </w14:textFill>
                    </w:rPr>
                    <w:t>kg/h</w:t>
                  </w:r>
                </w:p>
              </w:tc>
              <w:tc>
                <w:tcPr>
                  <w:tcW w:w="1249" w:type="pct"/>
                  <w:shd w:val="clear" w:color="auto" w:fill="auto"/>
                  <w:noWrap w:val="0"/>
                  <w:vAlign w:val="center"/>
                </w:tcPr>
                <w:p w14:paraId="09C9FAB2">
                  <w:pPr>
                    <w:spacing w:line="240" w:lineRule="auto"/>
                    <w:ind w:firstLine="0" w:firstLineChars="0"/>
                    <w:jc w:val="cente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年工作时间</w:t>
                  </w:r>
                  <w:r>
                    <w:rPr>
                      <w:rFonts w:hint="eastAsia"/>
                      <w:b/>
                      <w:bCs/>
                      <w:color w:val="000000" w:themeColor="text1"/>
                      <w:sz w:val="21"/>
                      <w:szCs w:val="21"/>
                      <w:lang w:val="en-US" w:eastAsia="zh-CN"/>
                      <w14:textFill>
                        <w14:solidFill>
                          <w14:schemeClr w14:val="tx1"/>
                        </w14:solidFill>
                      </w14:textFill>
                    </w:rPr>
                    <w:t>h</w:t>
                  </w:r>
                </w:p>
              </w:tc>
              <w:tc>
                <w:tcPr>
                  <w:tcW w:w="1250" w:type="pct"/>
                  <w:noWrap w:val="0"/>
                  <w:vAlign w:val="center"/>
                </w:tcPr>
                <w:p w14:paraId="4BB66E7B">
                  <w:pPr>
                    <w:spacing w:line="240" w:lineRule="auto"/>
                    <w:ind w:firstLine="0" w:firstLineChars="0"/>
                    <w:jc w:val="center"/>
                    <w:rPr>
                      <w:rFonts w:hint="eastAsia"/>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本次核算污染物</w:t>
                  </w:r>
                  <w:r>
                    <w:rPr>
                      <w:b/>
                      <w:bCs/>
                      <w:color w:val="000000" w:themeColor="text1"/>
                      <w:sz w:val="21"/>
                      <w:szCs w:val="21"/>
                      <w14:textFill>
                        <w14:solidFill>
                          <w14:schemeClr w14:val="tx1"/>
                        </w14:solidFill>
                      </w14:textFill>
                    </w:rPr>
                    <w:t>排放量（t/a</w:t>
                  </w:r>
                  <w:r>
                    <w:rPr>
                      <w:rFonts w:hint="eastAsia"/>
                      <w:b/>
                      <w:bCs/>
                      <w:color w:val="000000" w:themeColor="text1"/>
                      <w:sz w:val="21"/>
                      <w:szCs w:val="21"/>
                      <w:lang w:eastAsia="zh-CN"/>
                      <w14:textFill>
                        <w14:solidFill>
                          <w14:schemeClr w14:val="tx1"/>
                        </w14:solidFill>
                      </w14:textFill>
                    </w:rPr>
                    <w:t>）</w:t>
                  </w:r>
                </w:p>
              </w:tc>
            </w:tr>
            <w:tr w14:paraId="18DFC8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8" w:hRule="atLeast"/>
                <w:jc w:val="center"/>
              </w:trPr>
              <w:tc>
                <w:tcPr>
                  <w:tcW w:w="1249" w:type="pct"/>
                  <w:tcBorders>
                    <w:top w:val="single" w:color="auto" w:sz="4" w:space="0"/>
                    <w:bottom w:val="single" w:color="auto" w:sz="4" w:space="0"/>
                  </w:tcBorders>
                  <w:noWrap w:val="0"/>
                  <w:vAlign w:val="center"/>
                </w:tcPr>
                <w:p w14:paraId="4D8B6ACB">
                  <w:pPr>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颗粒物</w:t>
                  </w:r>
                </w:p>
              </w:tc>
              <w:tc>
                <w:tcPr>
                  <w:tcW w:w="1249" w:type="pct"/>
                  <w:tcBorders>
                    <w:top w:val="single" w:color="auto" w:sz="4" w:space="0"/>
                    <w:bottom w:val="single" w:color="auto" w:sz="4" w:space="0"/>
                  </w:tcBorders>
                  <w:noWrap w:val="0"/>
                  <w:vAlign w:val="center"/>
                </w:tcPr>
                <w:p w14:paraId="025130BB">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1.319</w:t>
                  </w:r>
                </w:p>
              </w:tc>
              <w:tc>
                <w:tcPr>
                  <w:tcW w:w="1249" w:type="pct"/>
                  <w:vMerge w:val="restart"/>
                  <w:tcBorders>
                    <w:top w:val="single" w:color="auto" w:sz="4" w:space="0"/>
                  </w:tcBorders>
                  <w:shd w:val="clear" w:color="auto" w:fill="auto"/>
                  <w:noWrap w:val="0"/>
                  <w:vAlign w:val="center"/>
                </w:tcPr>
                <w:p w14:paraId="3C290700">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2400</w:t>
                  </w:r>
                </w:p>
              </w:tc>
              <w:tc>
                <w:tcPr>
                  <w:tcW w:w="1250" w:type="pct"/>
                  <w:tcBorders>
                    <w:top w:val="single" w:color="auto" w:sz="4" w:space="0"/>
                    <w:bottom w:val="single" w:color="auto" w:sz="4" w:space="0"/>
                  </w:tcBorders>
                  <w:noWrap w:val="0"/>
                  <w:vAlign w:val="center"/>
                </w:tcPr>
                <w:p w14:paraId="4C049EB6">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3.1655</w:t>
                  </w:r>
                </w:p>
              </w:tc>
            </w:tr>
            <w:tr w14:paraId="6E715C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8" w:hRule="atLeast"/>
                <w:jc w:val="center"/>
              </w:trPr>
              <w:tc>
                <w:tcPr>
                  <w:tcW w:w="1249" w:type="pct"/>
                  <w:tcBorders>
                    <w:top w:val="single" w:color="auto" w:sz="4" w:space="0"/>
                    <w:bottom w:val="single" w:color="auto" w:sz="4" w:space="0"/>
                  </w:tcBorders>
                  <w:noWrap w:val="0"/>
                  <w:vAlign w:val="center"/>
                </w:tcPr>
                <w:p w14:paraId="09777075">
                  <w:pPr>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二氧化硫</w:t>
                  </w:r>
                </w:p>
              </w:tc>
              <w:tc>
                <w:tcPr>
                  <w:tcW w:w="1249" w:type="pct"/>
                  <w:tcBorders>
                    <w:top w:val="single" w:color="auto" w:sz="4" w:space="0"/>
                    <w:bottom w:val="single" w:color="auto" w:sz="4" w:space="0"/>
                  </w:tcBorders>
                  <w:noWrap w:val="0"/>
                  <w:vAlign w:val="center"/>
                </w:tcPr>
                <w:p w14:paraId="5D56AD03">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0.345</w:t>
                  </w:r>
                </w:p>
              </w:tc>
              <w:tc>
                <w:tcPr>
                  <w:tcW w:w="1249" w:type="pct"/>
                  <w:vMerge w:val="continue"/>
                  <w:noWrap w:val="0"/>
                  <w:vAlign w:val="center"/>
                </w:tcPr>
                <w:p w14:paraId="307AA215">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250" w:type="pct"/>
                  <w:tcBorders>
                    <w:top w:val="single" w:color="auto" w:sz="4" w:space="0"/>
                    <w:bottom w:val="single" w:color="auto" w:sz="4" w:space="0"/>
                  </w:tcBorders>
                  <w:noWrap w:val="0"/>
                  <w:vAlign w:val="center"/>
                </w:tcPr>
                <w:p w14:paraId="191384EF">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0.828</w:t>
                  </w:r>
                </w:p>
              </w:tc>
            </w:tr>
            <w:tr w14:paraId="543688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8" w:hRule="atLeast"/>
                <w:jc w:val="center"/>
              </w:trPr>
              <w:tc>
                <w:tcPr>
                  <w:tcW w:w="1249" w:type="pct"/>
                  <w:tcBorders>
                    <w:top w:val="single" w:color="auto" w:sz="4" w:space="0"/>
                    <w:bottom w:val="single" w:color="auto" w:sz="4" w:space="0"/>
                  </w:tcBorders>
                  <w:noWrap w:val="0"/>
                  <w:vAlign w:val="center"/>
                </w:tcPr>
                <w:p w14:paraId="58D330F1">
                  <w:pPr>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氮氧化物</w:t>
                  </w:r>
                </w:p>
              </w:tc>
              <w:tc>
                <w:tcPr>
                  <w:tcW w:w="1249" w:type="pct"/>
                  <w:tcBorders>
                    <w:top w:val="single" w:color="auto" w:sz="4" w:space="0"/>
                    <w:bottom w:val="single" w:color="auto" w:sz="4" w:space="0"/>
                  </w:tcBorders>
                  <w:noWrap w:val="0"/>
                  <w:vAlign w:val="center"/>
                </w:tcPr>
                <w:p w14:paraId="0489A103">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0.7998</w:t>
                  </w:r>
                </w:p>
              </w:tc>
              <w:tc>
                <w:tcPr>
                  <w:tcW w:w="1249" w:type="pct"/>
                  <w:vMerge w:val="continue"/>
                  <w:noWrap w:val="0"/>
                  <w:vAlign w:val="center"/>
                </w:tcPr>
                <w:p w14:paraId="399DDEA7">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250" w:type="pct"/>
                  <w:tcBorders>
                    <w:top w:val="single" w:color="auto" w:sz="4" w:space="0"/>
                    <w:bottom w:val="single" w:color="auto" w:sz="4" w:space="0"/>
                  </w:tcBorders>
                  <w:noWrap w:val="0"/>
                  <w:vAlign w:val="center"/>
                </w:tcPr>
                <w:p w14:paraId="761FE210">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1.9196</w:t>
                  </w:r>
                </w:p>
              </w:tc>
            </w:tr>
            <w:tr w14:paraId="1DC1F3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8" w:hRule="atLeast"/>
                <w:jc w:val="center"/>
              </w:trPr>
              <w:tc>
                <w:tcPr>
                  <w:tcW w:w="1249" w:type="pct"/>
                  <w:tcBorders>
                    <w:top w:val="single" w:color="auto" w:sz="4" w:space="0"/>
                    <w:bottom w:val="single" w:color="auto" w:sz="4" w:space="0"/>
                  </w:tcBorders>
                  <w:noWrap w:val="0"/>
                  <w:vAlign w:val="center"/>
                </w:tcPr>
                <w:p w14:paraId="53CDAC9D">
                  <w:pPr>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汞及其化合物</w:t>
                  </w:r>
                </w:p>
              </w:tc>
              <w:tc>
                <w:tcPr>
                  <w:tcW w:w="1249" w:type="pct"/>
                  <w:tcBorders>
                    <w:top w:val="single" w:color="auto" w:sz="4" w:space="0"/>
                    <w:bottom w:val="single" w:color="auto" w:sz="4" w:space="0"/>
                  </w:tcBorders>
                  <w:noWrap w:val="0"/>
                  <w:vAlign w:val="center"/>
                </w:tcPr>
                <w:p w14:paraId="6A1E2578">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0.0000616</w:t>
                  </w:r>
                </w:p>
              </w:tc>
              <w:tc>
                <w:tcPr>
                  <w:tcW w:w="1249" w:type="pct"/>
                  <w:vMerge w:val="continue"/>
                  <w:tcBorders>
                    <w:bottom w:val="single" w:color="auto" w:sz="4" w:space="0"/>
                  </w:tcBorders>
                  <w:noWrap w:val="0"/>
                  <w:vAlign w:val="center"/>
                </w:tcPr>
                <w:p w14:paraId="73E430E1">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250" w:type="pct"/>
                  <w:tcBorders>
                    <w:top w:val="single" w:color="auto" w:sz="4" w:space="0"/>
                    <w:bottom w:val="single" w:color="auto" w:sz="4" w:space="0"/>
                  </w:tcBorders>
                  <w:noWrap w:val="0"/>
                  <w:vAlign w:val="center"/>
                </w:tcPr>
                <w:p w14:paraId="36A5F53B">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0.0001478</w:t>
                  </w:r>
                </w:p>
              </w:tc>
            </w:tr>
          </w:tbl>
          <w:p w14:paraId="72D71A5C">
            <w:pPr>
              <w:keepNext w:val="0"/>
              <w:pageBreakBefore w:val="0"/>
              <w:overflowPunct/>
              <w:topLinePunct w:val="0"/>
              <w:bidi w:val="0"/>
              <w:adjustRightInd/>
              <w:snapToGrid/>
              <w:spacing w:line="360" w:lineRule="auto"/>
              <w:ind w:firstLine="482" w:firstLineChars="200"/>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2）有机废气</w:t>
            </w:r>
          </w:p>
          <w:p w14:paraId="74BCA321">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eastAsia" w:cs="Times New Roman"/>
                <w:b/>
                <w:bCs w:val="0"/>
                <w:color w:val="000000" w:themeColor="text1"/>
                <w:spacing w:val="0"/>
                <w:w w:val="100"/>
                <w:sz w:val="24"/>
                <w:szCs w:val="24"/>
                <w:lang w:val="en-US" w:eastAsia="zh-CN"/>
                <w14:textFill>
                  <w14:solidFill>
                    <w14:schemeClr w14:val="tx1"/>
                  </w14:solidFill>
                </w14:textFill>
              </w:rPr>
            </w:pPr>
            <w:r>
              <w:rPr>
                <w:rFonts w:hint="eastAsia" w:cs="Times New Roman"/>
                <w:b/>
                <w:bCs w:val="0"/>
                <w:color w:val="000000" w:themeColor="text1"/>
                <w:spacing w:val="0"/>
                <w:w w:val="100"/>
                <w:sz w:val="24"/>
                <w:szCs w:val="24"/>
                <w:lang w:val="en-US" w:eastAsia="zh-CN"/>
                <w14:textFill>
                  <w14:solidFill>
                    <w14:schemeClr w14:val="tx1"/>
                  </w14:solidFill>
                </w14:textFill>
              </w:rPr>
              <w:t>①发泡、流化干燥、成型、烘干工序废气</w:t>
            </w:r>
          </w:p>
          <w:p w14:paraId="19DC217B">
            <w:pPr>
              <w:pStyle w:val="5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000000" w:themeColor="text1"/>
                <w:lang w:val="en-US" w:eastAsia="zh-CN"/>
                <w14:textFill>
                  <w14:solidFill>
                    <w14:schemeClr w14:val="tx1"/>
                  </w14:solidFill>
                </w14:textFill>
              </w:rPr>
            </w:pPr>
            <w:r>
              <w:rPr>
                <w:rFonts w:hint="eastAsia" w:cs="Times New Roman"/>
                <w:b w:val="0"/>
                <w:bCs/>
                <w:color w:val="000000" w:themeColor="text1"/>
                <w:spacing w:val="0"/>
                <w:w w:val="100"/>
                <w:sz w:val="24"/>
                <w:szCs w:val="24"/>
                <w:lang w:val="en-US" w:eastAsia="zh-CN"/>
                <w14:textFill>
                  <w14:solidFill>
                    <w14:schemeClr w14:val="tx1"/>
                  </w14:solidFill>
                </w14:textFill>
              </w:rPr>
              <w:t>现有项目发泡、流化干燥、成型、烘干工序废气</w:t>
            </w:r>
            <w:r>
              <w:rPr>
                <w:rFonts w:hint="eastAsia" w:cs="Times New Roman"/>
                <w:color w:val="000000" w:themeColor="text1"/>
                <w:lang w:val="en-US" w:eastAsia="zh-CN"/>
                <w14:textFill>
                  <w14:solidFill>
                    <w14:schemeClr w14:val="tx1"/>
                  </w14:solidFill>
                </w14:textFill>
              </w:rPr>
              <w:t>经厂房通风后进行无组织排放，</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通过大气扩散和周边植被吸附后净化后，</w:t>
            </w:r>
            <w:r>
              <w:rPr>
                <w:rFonts w:hint="eastAsia" w:cs="Times New Roman" w:eastAsiaTheme="minorEastAsia"/>
                <w:color w:val="000000" w:themeColor="text1"/>
                <w:sz w:val="24"/>
                <w:szCs w:val="24"/>
                <w:highlight w:val="none"/>
                <w:lang w:val="en-US" w:eastAsia="zh-CN"/>
                <w14:textFill>
                  <w14:solidFill>
                    <w14:schemeClr w14:val="tx1"/>
                  </w14:solidFill>
                </w14:textFill>
              </w:rPr>
              <w:t>对周围环境影响不大。</w:t>
            </w:r>
          </w:p>
          <w:p w14:paraId="5403CFD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cs="Times New Roman"/>
                <w:b/>
                <w:bCs w:val="0"/>
                <w:color w:val="000000" w:themeColor="text1"/>
                <w:spacing w:val="0"/>
                <w:w w:val="100"/>
                <w:sz w:val="24"/>
                <w:szCs w:val="24"/>
                <w:lang w:val="en-US" w:eastAsia="zh-CN"/>
                <w14:textFill>
                  <w14:solidFill>
                    <w14:schemeClr w14:val="tx1"/>
                  </w14:solidFill>
                </w14:textFill>
              </w:rPr>
            </w:pPr>
            <w:r>
              <w:rPr>
                <w:rFonts w:hint="eastAsia" w:cs="Times New Roman"/>
                <w:b/>
                <w:bCs w:val="0"/>
                <w:color w:val="000000" w:themeColor="text1"/>
                <w:spacing w:val="0"/>
                <w:w w:val="100"/>
                <w:sz w:val="24"/>
                <w:szCs w:val="24"/>
                <w:lang w:val="en-US" w:eastAsia="zh-CN"/>
                <w14:textFill>
                  <w14:solidFill>
                    <w14:schemeClr w14:val="tx1"/>
                  </w14:solidFill>
                </w14:textFill>
              </w:rPr>
              <w:t>A.非甲烷总烃、苯乙烯</w:t>
            </w:r>
          </w:p>
          <w:p w14:paraId="58F7CB5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cs="Times New Roman"/>
                <w:bCs/>
                <w:color w:val="000000" w:themeColor="text1"/>
                <w:spacing w:val="0"/>
                <w:w w:val="100"/>
                <w:sz w:val="24"/>
                <w:szCs w:val="24"/>
                <w:lang w:val="en-US" w:eastAsia="zh-CN"/>
                <w14:textFill>
                  <w14:solidFill>
                    <w14:schemeClr w14:val="tx1"/>
                  </w14:solidFill>
                </w14:textFill>
              </w:rPr>
            </w:pPr>
            <w:r>
              <w:rPr>
                <w:rFonts w:hint="default" w:ascii="Times New Roman" w:hAnsi="Times New Roman" w:cs="Times New Roman"/>
                <w:bCs/>
                <w:color w:val="000000" w:themeColor="text1"/>
                <w:spacing w:val="0"/>
                <w:w w:val="100"/>
                <w:sz w:val="24"/>
                <w:szCs w:val="24"/>
                <w:lang w:val="en-US" w:eastAsia="zh-CN"/>
                <w14:textFill>
                  <w14:solidFill>
                    <w14:schemeClr w14:val="tx1"/>
                  </w14:solidFill>
                </w14:textFill>
              </w:rPr>
              <w:t>本项目的发泡工序、</w:t>
            </w:r>
            <w:r>
              <w:rPr>
                <w:rFonts w:hint="eastAsia" w:cs="Times New Roman"/>
                <w:b w:val="0"/>
                <w:bCs/>
                <w:color w:val="000000" w:themeColor="text1"/>
                <w:spacing w:val="0"/>
                <w:w w:val="100"/>
                <w:sz w:val="24"/>
                <w:szCs w:val="24"/>
                <w:lang w:val="en-US" w:eastAsia="zh-CN"/>
                <w14:textFill>
                  <w14:solidFill>
                    <w14:schemeClr w14:val="tx1"/>
                  </w14:solidFill>
                </w14:textFill>
              </w:rPr>
              <w:t>流化干燥</w:t>
            </w:r>
            <w:r>
              <w:rPr>
                <w:rFonts w:hint="default" w:ascii="Times New Roman" w:hAnsi="Times New Roman" w:cs="Times New Roman"/>
                <w:bCs/>
                <w:color w:val="000000" w:themeColor="text1"/>
                <w:spacing w:val="0"/>
                <w:w w:val="100"/>
                <w:sz w:val="24"/>
                <w:szCs w:val="24"/>
                <w:lang w:val="en-US" w:eastAsia="zh-CN"/>
                <w14:textFill>
                  <w14:solidFill>
                    <w14:schemeClr w14:val="tx1"/>
                  </w14:solidFill>
                </w14:textFill>
              </w:rPr>
              <w:t>工序、成型工序及烘干工序均会产生</w:t>
            </w:r>
            <w:r>
              <w:rPr>
                <w:rFonts w:hint="eastAsia" w:cs="Times New Roman"/>
                <w:bCs/>
                <w:color w:val="000000" w:themeColor="text1"/>
                <w:spacing w:val="0"/>
                <w:w w:val="100"/>
                <w:sz w:val="24"/>
                <w:szCs w:val="24"/>
                <w:lang w:val="en-US" w:eastAsia="zh-CN"/>
                <w14:textFill>
                  <w14:solidFill>
                    <w14:schemeClr w14:val="tx1"/>
                  </w14:solidFill>
                </w14:textFill>
              </w:rPr>
              <w:t>有机废气</w:t>
            </w:r>
            <w:r>
              <w:rPr>
                <w:rFonts w:hint="default" w:ascii="Times New Roman" w:hAnsi="Times New Roman" w:cs="Times New Roman"/>
                <w:bCs/>
                <w:color w:val="000000" w:themeColor="text1"/>
                <w:spacing w:val="0"/>
                <w:w w:val="100"/>
                <w:sz w:val="24"/>
                <w:szCs w:val="24"/>
                <w:lang w:val="en-US" w:eastAsia="zh-CN"/>
                <w14:textFill>
                  <w14:solidFill>
                    <w14:schemeClr w14:val="tx1"/>
                  </w14:solidFill>
                </w14:textFill>
              </w:rPr>
              <w:t>，</w:t>
            </w:r>
            <w:r>
              <w:rPr>
                <w:rFonts w:hint="eastAsia" w:cs="Times New Roman"/>
                <w:bCs/>
                <w:color w:val="000000" w:themeColor="text1"/>
                <w:spacing w:val="0"/>
                <w:w w:val="100"/>
                <w:sz w:val="24"/>
                <w:szCs w:val="24"/>
                <w:lang w:val="en-US" w:eastAsia="zh-CN"/>
                <w14:textFill>
                  <w14:solidFill>
                    <w14:schemeClr w14:val="tx1"/>
                  </w14:solidFill>
                </w14:textFill>
              </w:rPr>
              <w:t>有机废气</w:t>
            </w:r>
            <w:r>
              <w:rPr>
                <w:rFonts w:hint="eastAsia" w:ascii="Times New Roman" w:hAnsi="Times New Roman" w:cs="Times New Roman"/>
                <w:bCs/>
                <w:color w:val="000000" w:themeColor="text1"/>
                <w:spacing w:val="0"/>
                <w:w w:val="100"/>
                <w:sz w:val="24"/>
                <w:szCs w:val="24"/>
                <w:lang w:val="en-US" w:eastAsia="zh-CN"/>
                <w14:textFill>
                  <w14:solidFill>
                    <w14:schemeClr w14:val="tx1"/>
                  </w14:solidFill>
                </w14:textFill>
              </w:rPr>
              <w:t>在车间内呈无组织排放</w:t>
            </w:r>
            <w:r>
              <w:rPr>
                <w:rFonts w:hint="eastAsia" w:cs="Times New Roman"/>
                <w:bCs/>
                <w:color w:val="000000" w:themeColor="text1"/>
                <w:spacing w:val="0"/>
                <w:w w:val="100"/>
                <w:sz w:val="24"/>
                <w:szCs w:val="24"/>
                <w:lang w:val="en-US" w:eastAsia="zh-CN"/>
                <w14:textFill>
                  <w14:solidFill>
                    <w14:schemeClr w14:val="tx1"/>
                  </w14:solidFill>
                </w14:textFill>
              </w:rPr>
              <w:t>，</w:t>
            </w:r>
            <w:r>
              <w:rPr>
                <w:rFonts w:hint="default" w:ascii="Times New Roman" w:hAnsi="Times New Roman" w:cs="Times New Roman"/>
                <w:bCs/>
                <w:color w:val="000000" w:themeColor="text1"/>
                <w:spacing w:val="0"/>
                <w:w w:val="100"/>
                <w:sz w:val="24"/>
                <w:szCs w:val="24"/>
                <w:lang w:val="en-US" w:eastAsia="zh-CN"/>
                <w14:textFill>
                  <w14:solidFill>
                    <w14:schemeClr w14:val="tx1"/>
                  </w14:solidFill>
                </w14:textFill>
              </w:rPr>
              <w:t>主要在</w:t>
            </w:r>
            <w:r>
              <w:rPr>
                <w:rFonts w:hint="eastAsia" w:cs="Times New Roman"/>
                <w:bCs/>
                <w:color w:val="000000" w:themeColor="text1"/>
                <w:spacing w:val="0"/>
                <w:w w:val="100"/>
                <w:sz w:val="24"/>
                <w:szCs w:val="24"/>
                <w:lang w:val="en-US" w:eastAsia="zh-CN"/>
                <w14:textFill>
                  <w14:solidFill>
                    <w14:schemeClr w14:val="tx1"/>
                  </w14:solidFill>
                </w14:textFill>
              </w:rPr>
              <w:t>发泡工序和成型工序中产生</w:t>
            </w:r>
            <w:r>
              <w:rPr>
                <w:rFonts w:hint="eastAsia" w:ascii="Times New Roman" w:hAnsi="Times New Roman" w:cs="Times New Roman"/>
                <w:bCs/>
                <w:color w:val="000000" w:themeColor="text1"/>
                <w:spacing w:val="0"/>
                <w:w w:val="100"/>
                <w:sz w:val="24"/>
                <w:szCs w:val="24"/>
                <w:lang w:val="en-US" w:eastAsia="zh-CN"/>
                <w14:textFill>
                  <w14:solidFill>
                    <w14:schemeClr w14:val="tx1"/>
                  </w14:solidFill>
                </w14:textFill>
              </w:rPr>
              <w:t>；在</w:t>
            </w:r>
            <w:r>
              <w:rPr>
                <w:rFonts w:hint="eastAsia" w:cs="Times New Roman"/>
                <w:b w:val="0"/>
                <w:bCs/>
                <w:color w:val="000000" w:themeColor="text1"/>
                <w:spacing w:val="0"/>
                <w:w w:val="100"/>
                <w:sz w:val="24"/>
                <w:szCs w:val="24"/>
                <w:lang w:val="en-US" w:eastAsia="zh-CN"/>
                <w14:textFill>
                  <w14:solidFill>
                    <w14:schemeClr w14:val="tx1"/>
                  </w14:solidFill>
                </w14:textFill>
              </w:rPr>
              <w:t>流化干燥</w:t>
            </w:r>
            <w:r>
              <w:rPr>
                <w:rFonts w:hint="default" w:ascii="Times New Roman" w:hAnsi="Times New Roman" w:cs="Times New Roman"/>
                <w:b w:val="0"/>
                <w:bCs/>
                <w:color w:val="000000" w:themeColor="text1"/>
                <w:spacing w:val="0"/>
                <w:w w:val="100"/>
                <w:sz w:val="24"/>
                <w:szCs w:val="24"/>
                <w:lang w:val="en-US" w:eastAsia="zh-CN"/>
                <w14:textFill>
                  <w14:solidFill>
                    <w14:schemeClr w14:val="tx1"/>
                  </w14:solidFill>
                </w14:textFill>
              </w:rPr>
              <w:t>工序</w:t>
            </w:r>
            <w:r>
              <w:rPr>
                <w:rFonts w:hint="default" w:ascii="Times New Roman" w:hAnsi="Times New Roman" w:cs="Times New Roman"/>
                <w:bCs/>
                <w:color w:val="000000" w:themeColor="text1"/>
                <w:spacing w:val="0"/>
                <w:w w:val="100"/>
                <w:sz w:val="24"/>
                <w:szCs w:val="24"/>
                <w:lang w:val="en-US" w:eastAsia="zh-CN"/>
                <w14:textFill>
                  <w14:solidFill>
                    <w14:schemeClr w14:val="tx1"/>
                  </w14:solidFill>
                </w14:textFill>
              </w:rPr>
              <w:t>和烘干工序产生量极少</w:t>
            </w:r>
            <w:r>
              <w:rPr>
                <w:rFonts w:hint="eastAsia" w:ascii="Times New Roman" w:hAnsi="Times New Roman" w:cs="Times New Roman"/>
                <w:bCs/>
                <w:color w:val="000000" w:themeColor="text1"/>
                <w:spacing w:val="0"/>
                <w:w w:val="100"/>
                <w:sz w:val="24"/>
                <w:szCs w:val="24"/>
                <w:lang w:val="en-US" w:eastAsia="zh-CN"/>
                <w14:textFill>
                  <w14:solidFill>
                    <w14:schemeClr w14:val="tx1"/>
                  </w14:solidFill>
                </w14:textFill>
              </w:rPr>
              <w:t>，</w:t>
            </w:r>
            <w:r>
              <w:rPr>
                <w:rFonts w:hint="eastAsia" w:cs="Times New Roman"/>
                <w:bCs/>
                <w:color w:val="000000" w:themeColor="text1"/>
                <w:spacing w:val="0"/>
                <w:w w:val="100"/>
                <w:sz w:val="24"/>
                <w:szCs w:val="24"/>
                <w:lang w:val="en-US" w:eastAsia="zh-CN"/>
                <w14:textFill>
                  <w14:solidFill>
                    <w14:schemeClr w14:val="tx1"/>
                  </w14:solidFill>
                </w14:textFill>
              </w:rPr>
              <w:t>本次仅定性分析</w:t>
            </w:r>
            <w:r>
              <w:rPr>
                <w:rFonts w:hint="default" w:ascii="Times New Roman" w:hAnsi="Times New Roman" w:cs="Times New Roman"/>
                <w:bCs/>
                <w:color w:val="000000" w:themeColor="text1"/>
                <w:spacing w:val="0"/>
                <w:w w:val="100"/>
                <w:sz w:val="24"/>
                <w:szCs w:val="24"/>
                <w:lang w:val="en-US" w:eastAsia="zh-CN"/>
                <w14:textFill>
                  <w14:solidFill>
                    <w14:schemeClr w14:val="tx1"/>
                  </w14:solidFill>
                </w14:textFill>
              </w:rPr>
              <w:t>。</w:t>
            </w:r>
          </w:p>
          <w:p w14:paraId="6BF9B79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eastAsia" w:ascii="Times New Roman" w:hAnsi="Times New Roman" w:eastAsia="宋体" w:cs="Times New Roman"/>
                <w:bCs/>
                <w:color w:val="000000" w:themeColor="text1"/>
                <w:spacing w:val="0"/>
                <w:w w:val="100"/>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pacing w:val="0"/>
                <w:w w:val="100"/>
                <w:sz w:val="24"/>
                <w:szCs w:val="24"/>
                <w:lang w:val="en-US" w:eastAsia="zh-CN"/>
                <w14:textFill>
                  <w14:solidFill>
                    <w14:schemeClr w14:val="tx1"/>
                  </w14:solidFill>
                </w14:textFill>
              </w:rPr>
              <w:t>根据工业和信息</w:t>
            </w:r>
            <w:r>
              <w:rPr>
                <w:rFonts w:hint="eastAsia" w:cs="Times New Roman"/>
                <w:bCs/>
                <w:color w:val="000000" w:themeColor="text1"/>
                <w:spacing w:val="0"/>
                <w:w w:val="100"/>
                <w:sz w:val="24"/>
                <w:szCs w:val="24"/>
                <w:lang w:val="en-US" w:eastAsia="zh-CN"/>
                <w14:textFill>
                  <w14:solidFill>
                    <w14:schemeClr w14:val="tx1"/>
                  </w14:solidFill>
                </w14:textFill>
              </w:rPr>
              <w:t>化</w:t>
            </w:r>
            <w:r>
              <w:rPr>
                <w:rFonts w:hint="eastAsia" w:ascii="Times New Roman" w:hAnsi="Times New Roman" w:eastAsia="宋体" w:cs="Times New Roman"/>
                <w:bCs/>
                <w:color w:val="000000" w:themeColor="text1"/>
                <w:spacing w:val="0"/>
                <w:w w:val="100"/>
                <w:sz w:val="24"/>
                <w:szCs w:val="24"/>
                <w:lang w:val="en-US" w:eastAsia="zh-CN"/>
                <w14:textFill>
                  <w14:solidFill>
                    <w14:schemeClr w14:val="tx1"/>
                  </w14:solidFill>
                </w14:textFill>
              </w:rPr>
              <w:t>部发布《可发性聚苯乙烯（</w:t>
            </w:r>
            <w:r>
              <w:rPr>
                <w:rFonts w:hint="default" w:ascii="Times New Roman" w:hAnsi="Times New Roman" w:eastAsia="宋体" w:cs="Times New Roman"/>
                <w:bCs/>
                <w:color w:val="000000" w:themeColor="text1"/>
                <w:spacing w:val="0"/>
                <w:w w:val="100"/>
                <w:sz w:val="24"/>
                <w:szCs w:val="24"/>
                <w:lang w:val="en-US" w:eastAsia="zh-CN"/>
                <w14:textFill>
                  <w14:solidFill>
                    <w14:schemeClr w14:val="tx1"/>
                  </w14:solidFill>
                </w14:textFill>
              </w:rPr>
              <w:t>EPS</w:t>
            </w:r>
            <w:r>
              <w:rPr>
                <w:rFonts w:hint="eastAsia" w:ascii="Times New Roman" w:hAnsi="Times New Roman" w:eastAsia="宋体" w:cs="Times New Roman"/>
                <w:bCs/>
                <w:color w:val="000000" w:themeColor="text1"/>
                <w:spacing w:val="0"/>
                <w:w w:val="100"/>
                <w:sz w:val="24"/>
                <w:szCs w:val="24"/>
                <w:lang w:val="en-US" w:eastAsia="zh-CN"/>
                <w14:textFill>
                  <w14:solidFill>
                    <w14:schemeClr w14:val="tx1"/>
                  </w14:solidFill>
                </w14:textFill>
              </w:rPr>
              <w:t>）树脂》（</w:t>
            </w:r>
            <w:r>
              <w:rPr>
                <w:rFonts w:hint="default" w:ascii="Times New Roman" w:hAnsi="Times New Roman" w:eastAsia="宋体" w:cs="Times New Roman"/>
                <w:bCs/>
                <w:color w:val="000000" w:themeColor="text1"/>
                <w:spacing w:val="0"/>
                <w:w w:val="100"/>
                <w:sz w:val="24"/>
                <w:szCs w:val="24"/>
                <w:lang w:val="en-US" w:eastAsia="zh-CN"/>
                <w14:textFill>
                  <w14:solidFill>
                    <w14:schemeClr w14:val="tx1"/>
                  </w14:solidFill>
                </w14:textFill>
              </w:rPr>
              <w:t>QB/T4009-2010</w:t>
            </w:r>
            <w:r>
              <w:rPr>
                <w:rFonts w:hint="eastAsia" w:ascii="Times New Roman" w:hAnsi="Times New Roman" w:eastAsia="宋体" w:cs="Times New Roman"/>
                <w:bCs/>
                <w:color w:val="000000" w:themeColor="text1"/>
                <w:spacing w:val="0"/>
                <w:w w:val="100"/>
                <w:sz w:val="24"/>
                <w:szCs w:val="24"/>
                <w:lang w:val="en-US" w:eastAsia="zh-CN"/>
                <w14:textFill>
                  <w14:solidFill>
                    <w14:schemeClr w14:val="tx1"/>
                  </w14:solidFill>
                </w14:textFill>
              </w:rPr>
              <w:t>）的相关规定，</w:t>
            </w:r>
            <w:r>
              <w:rPr>
                <w:rFonts w:hint="default" w:ascii="Times New Roman" w:hAnsi="Times New Roman" w:eastAsia="宋体" w:cs="Times New Roman"/>
                <w:bCs/>
                <w:color w:val="000000" w:themeColor="text1"/>
                <w:spacing w:val="0"/>
                <w:w w:val="100"/>
                <w:sz w:val="24"/>
                <w:szCs w:val="24"/>
                <w:lang w:val="en-US" w:eastAsia="zh-CN"/>
                <w14:textFill>
                  <w14:solidFill>
                    <w14:schemeClr w14:val="tx1"/>
                  </w14:solidFill>
                </w14:textFill>
              </w:rPr>
              <w:t>EPS</w:t>
            </w:r>
            <w:r>
              <w:rPr>
                <w:rFonts w:hint="eastAsia" w:ascii="Times New Roman" w:hAnsi="Times New Roman" w:eastAsia="宋体" w:cs="Times New Roman"/>
                <w:bCs/>
                <w:color w:val="000000" w:themeColor="text1"/>
                <w:spacing w:val="0"/>
                <w:w w:val="100"/>
                <w:sz w:val="24"/>
                <w:szCs w:val="24"/>
                <w:lang w:val="en-US" w:eastAsia="zh-CN"/>
                <w14:textFill>
                  <w14:solidFill>
                    <w14:schemeClr w14:val="tx1"/>
                  </w14:solidFill>
                </w14:textFill>
              </w:rPr>
              <w:t>颗粒中发泡剂</w:t>
            </w:r>
            <w:r>
              <w:rPr>
                <w:rFonts w:hint="eastAsia" w:cs="Times New Roman"/>
                <w:bCs/>
                <w:color w:val="000000" w:themeColor="text1"/>
                <w:spacing w:val="0"/>
                <w:w w:val="100"/>
                <w:sz w:val="24"/>
                <w:szCs w:val="24"/>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w w:val="100"/>
                <w:sz w:val="24"/>
                <w:szCs w:val="24"/>
                <w:lang w:val="en-US" w:eastAsia="zh-CN"/>
                <w14:textFill>
                  <w14:solidFill>
                    <w14:schemeClr w14:val="tx1"/>
                  </w14:solidFill>
                </w14:textFill>
              </w:rPr>
              <w:t>以戊烷为主</w:t>
            </w:r>
            <w:r>
              <w:rPr>
                <w:rFonts w:hint="eastAsia" w:cs="Times New Roman"/>
                <w:bCs/>
                <w:color w:val="000000" w:themeColor="text1"/>
                <w:spacing w:val="0"/>
                <w:w w:val="100"/>
                <w:sz w:val="24"/>
                <w:szCs w:val="24"/>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w w:val="100"/>
                <w:sz w:val="24"/>
                <w:szCs w:val="24"/>
                <w:lang w:val="en-US" w:eastAsia="zh-CN"/>
                <w14:textFill>
                  <w14:solidFill>
                    <w14:schemeClr w14:val="tx1"/>
                  </w14:solidFill>
                </w14:textFill>
              </w:rPr>
              <w:t>含量为</w:t>
            </w:r>
            <w:r>
              <w:rPr>
                <w:rFonts w:hint="default" w:ascii="Times New Roman" w:hAnsi="Times New Roman" w:eastAsia="宋体" w:cs="Times New Roman"/>
                <w:bCs/>
                <w:color w:val="000000" w:themeColor="text1"/>
                <w:spacing w:val="0"/>
                <w:w w:val="100"/>
                <w:sz w:val="24"/>
                <w:szCs w:val="24"/>
                <w:lang w:val="en-US" w:eastAsia="zh-CN"/>
                <w14:textFill>
                  <w14:solidFill>
                    <w14:schemeClr w14:val="tx1"/>
                  </w14:solidFill>
                </w14:textFill>
              </w:rPr>
              <w:t>4.0%~6.8%</w:t>
            </w:r>
            <w:r>
              <w:rPr>
                <w:rFonts w:hint="eastAsia" w:ascii="Times New Roman" w:hAnsi="Times New Roman" w:eastAsia="宋体" w:cs="Times New Roman"/>
                <w:bCs/>
                <w:color w:val="000000" w:themeColor="text1"/>
                <w:spacing w:val="0"/>
                <w:w w:val="100"/>
                <w:sz w:val="24"/>
                <w:szCs w:val="24"/>
                <w:lang w:val="en-US" w:eastAsia="zh-CN"/>
                <w14:textFill>
                  <w14:solidFill>
                    <w14:schemeClr w14:val="tx1"/>
                  </w14:solidFill>
                </w14:textFill>
              </w:rPr>
              <w:t>，残留少量苯乙烯≤</w:t>
            </w:r>
            <w:r>
              <w:rPr>
                <w:rFonts w:hint="default" w:ascii="Times New Roman" w:hAnsi="Times New Roman" w:eastAsia="宋体" w:cs="Times New Roman"/>
                <w:bCs/>
                <w:color w:val="000000" w:themeColor="text1"/>
                <w:spacing w:val="0"/>
                <w:w w:val="100"/>
                <w:sz w:val="24"/>
                <w:szCs w:val="24"/>
                <w:lang w:val="en-US" w:eastAsia="zh-CN"/>
                <w14:textFill>
                  <w14:solidFill>
                    <w14:schemeClr w14:val="tx1"/>
                  </w14:solidFill>
                </w14:textFill>
              </w:rPr>
              <w:t>0.6%</w:t>
            </w:r>
            <w:r>
              <w:rPr>
                <w:rFonts w:hint="eastAsia" w:ascii="Times New Roman" w:hAnsi="Times New Roman" w:eastAsia="宋体" w:cs="Times New Roman"/>
                <w:bCs/>
                <w:color w:val="000000" w:themeColor="text1"/>
                <w:spacing w:val="0"/>
                <w:w w:val="100"/>
                <w:sz w:val="24"/>
                <w:szCs w:val="24"/>
                <w:lang w:val="en-US" w:eastAsia="zh-CN"/>
                <w14:textFill>
                  <w14:solidFill>
                    <w14:schemeClr w14:val="tx1"/>
                  </w14:solidFill>
                </w14:textFill>
              </w:rPr>
              <w:t>，本次环评取发泡剂含量取</w:t>
            </w:r>
            <w:r>
              <w:rPr>
                <w:rFonts w:hint="default" w:ascii="Times New Roman" w:hAnsi="Times New Roman" w:eastAsia="宋体" w:cs="Times New Roman"/>
                <w:bCs/>
                <w:color w:val="000000" w:themeColor="text1"/>
                <w:spacing w:val="0"/>
                <w:w w:val="100"/>
                <w:sz w:val="24"/>
                <w:szCs w:val="24"/>
                <w:lang w:val="en-US" w:eastAsia="zh-CN"/>
                <w14:textFill>
                  <w14:solidFill>
                    <w14:schemeClr w14:val="tx1"/>
                  </w14:solidFill>
                </w14:textFill>
              </w:rPr>
              <w:t>6.8%</w:t>
            </w:r>
            <w:r>
              <w:rPr>
                <w:rFonts w:hint="eastAsia" w:ascii="Times New Roman" w:hAnsi="Times New Roman" w:eastAsia="宋体" w:cs="Times New Roman"/>
                <w:bCs/>
                <w:color w:val="000000" w:themeColor="text1"/>
                <w:spacing w:val="0"/>
                <w:w w:val="100"/>
                <w:sz w:val="24"/>
                <w:szCs w:val="24"/>
                <w:lang w:val="en-US" w:eastAsia="zh-CN"/>
                <w14:textFill>
                  <w14:solidFill>
                    <w14:schemeClr w14:val="tx1"/>
                  </w14:solidFill>
                </w14:textFill>
              </w:rPr>
              <w:t>，苯乙烯残留量取</w:t>
            </w:r>
            <w:r>
              <w:rPr>
                <w:rFonts w:hint="default" w:ascii="Times New Roman" w:hAnsi="Times New Roman" w:eastAsia="宋体" w:cs="Times New Roman"/>
                <w:bCs/>
                <w:color w:val="000000" w:themeColor="text1"/>
                <w:spacing w:val="0"/>
                <w:w w:val="100"/>
                <w:sz w:val="24"/>
                <w:szCs w:val="24"/>
                <w:lang w:val="en-US" w:eastAsia="zh-CN"/>
                <w14:textFill>
                  <w14:solidFill>
                    <w14:schemeClr w14:val="tx1"/>
                  </w14:solidFill>
                </w14:textFill>
              </w:rPr>
              <w:t>0.6%</w:t>
            </w:r>
            <w:r>
              <w:rPr>
                <w:rFonts w:hint="eastAsia" w:ascii="Times New Roman" w:hAnsi="Times New Roman" w:eastAsia="宋体" w:cs="Times New Roman"/>
                <w:bCs/>
                <w:color w:val="000000" w:themeColor="text1"/>
                <w:spacing w:val="0"/>
                <w:w w:val="100"/>
                <w:sz w:val="24"/>
                <w:szCs w:val="24"/>
                <w:lang w:val="en-US" w:eastAsia="zh-CN"/>
                <w14:textFill>
                  <w14:solidFill>
                    <w14:schemeClr w14:val="tx1"/>
                  </w14:solidFill>
                </w14:textFill>
              </w:rPr>
              <w:t>。</w:t>
            </w:r>
          </w:p>
          <w:p w14:paraId="2052450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eastAsia" w:ascii="Times New Roman" w:hAnsi="Times New Roman" w:eastAsia="宋体" w:cs="Times New Roman"/>
                <w:bCs/>
                <w:color w:val="000000" w:themeColor="text1"/>
                <w:spacing w:val="0"/>
                <w:w w:val="100"/>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pacing w:val="0"/>
                <w:w w:val="100"/>
                <w:sz w:val="24"/>
                <w:szCs w:val="24"/>
                <w:lang w:val="en-US" w:eastAsia="zh-CN"/>
                <w14:textFill>
                  <w14:solidFill>
                    <w14:schemeClr w14:val="tx1"/>
                  </w14:solidFill>
                </w14:textFill>
              </w:rPr>
              <w:t>参考相关文献《聚氨酯（</w:t>
            </w:r>
            <w:r>
              <w:rPr>
                <w:rFonts w:hint="default" w:ascii="Times New Roman" w:hAnsi="Times New Roman" w:eastAsia="宋体" w:cs="Times New Roman"/>
                <w:bCs/>
                <w:color w:val="000000" w:themeColor="text1"/>
                <w:spacing w:val="0"/>
                <w:w w:val="100"/>
                <w:sz w:val="24"/>
                <w:szCs w:val="24"/>
                <w:lang w:val="en-US" w:eastAsia="zh-CN"/>
                <w14:textFill>
                  <w14:solidFill>
                    <w14:schemeClr w14:val="tx1"/>
                  </w14:solidFill>
                </w14:textFill>
              </w:rPr>
              <w:t>PUF</w:t>
            </w:r>
            <w:r>
              <w:rPr>
                <w:rFonts w:hint="eastAsia" w:ascii="Times New Roman" w:hAnsi="Times New Roman" w:eastAsia="宋体" w:cs="Times New Roman"/>
                <w:bCs/>
                <w:color w:val="000000" w:themeColor="text1"/>
                <w:spacing w:val="0"/>
                <w:w w:val="100"/>
                <w:sz w:val="24"/>
                <w:szCs w:val="24"/>
                <w:lang w:val="en-US" w:eastAsia="zh-CN"/>
                <w14:textFill>
                  <w14:solidFill>
                    <w14:schemeClr w14:val="tx1"/>
                  </w14:solidFill>
                </w14:textFill>
              </w:rPr>
              <w:t>）与发泡聚苯（</w:t>
            </w:r>
            <w:r>
              <w:rPr>
                <w:rFonts w:hint="default" w:ascii="Times New Roman" w:hAnsi="Times New Roman" w:eastAsia="宋体" w:cs="Times New Roman"/>
                <w:bCs/>
                <w:color w:val="000000" w:themeColor="text1"/>
                <w:spacing w:val="0"/>
                <w:w w:val="100"/>
                <w:sz w:val="24"/>
                <w:szCs w:val="24"/>
                <w:lang w:val="en-US" w:eastAsia="zh-CN"/>
                <w14:textFill>
                  <w14:solidFill>
                    <w14:schemeClr w14:val="tx1"/>
                  </w14:solidFill>
                </w14:textFill>
              </w:rPr>
              <w:t>EPS</w:t>
            </w:r>
            <w:r>
              <w:rPr>
                <w:rFonts w:hint="eastAsia" w:ascii="Times New Roman" w:hAnsi="Times New Roman" w:eastAsia="宋体" w:cs="Times New Roman"/>
                <w:bCs/>
                <w:color w:val="000000" w:themeColor="text1"/>
                <w:spacing w:val="0"/>
                <w:w w:val="100"/>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w w:val="100"/>
                <w:sz w:val="24"/>
                <w:szCs w:val="24"/>
                <w:lang w:val="en-US" w:eastAsia="zh-CN"/>
                <w14:textFill>
                  <w14:solidFill>
                    <w14:schemeClr w14:val="tx1"/>
                  </w14:solidFill>
                </w14:textFill>
              </w:rPr>
              <w:t>XPS</w:t>
            </w:r>
            <w:r>
              <w:rPr>
                <w:rFonts w:hint="eastAsia" w:ascii="Times New Roman" w:hAnsi="Times New Roman" w:eastAsia="宋体" w:cs="Times New Roman"/>
                <w:bCs/>
                <w:color w:val="000000" w:themeColor="text1"/>
                <w:spacing w:val="0"/>
                <w:w w:val="100"/>
                <w:sz w:val="24"/>
                <w:szCs w:val="24"/>
                <w:lang w:val="en-US" w:eastAsia="zh-CN"/>
                <w14:textFill>
                  <w14:solidFill>
                    <w14:schemeClr w14:val="tx1"/>
                  </w14:solidFill>
                </w14:textFill>
              </w:rPr>
              <w:t>）保温系统比较》（郭晓飞，郭春明：沈阳市聚氨酯科工贸公司，辽宁沈阳</w:t>
            </w:r>
            <w:r>
              <w:rPr>
                <w:rFonts w:hint="default" w:ascii="Times New Roman" w:hAnsi="Times New Roman" w:eastAsia="宋体" w:cs="Times New Roman"/>
                <w:bCs/>
                <w:color w:val="000000" w:themeColor="text1"/>
                <w:spacing w:val="0"/>
                <w:w w:val="100"/>
                <w:sz w:val="24"/>
                <w:szCs w:val="24"/>
                <w:lang w:val="en-US" w:eastAsia="zh-CN"/>
                <w14:textFill>
                  <w14:solidFill>
                    <w14:schemeClr w14:val="tx1"/>
                  </w14:solidFill>
                </w14:textFill>
              </w:rPr>
              <w:t>110032</w:t>
            </w:r>
            <w:r>
              <w:rPr>
                <w:rFonts w:hint="eastAsia" w:cs="Times New Roman"/>
                <w:bCs/>
                <w:color w:val="000000" w:themeColor="text1"/>
                <w:spacing w:val="0"/>
                <w:w w:val="100"/>
                <w:sz w:val="24"/>
                <w:szCs w:val="24"/>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w w:val="100"/>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w w:val="100"/>
                <w:sz w:val="24"/>
                <w:szCs w:val="24"/>
                <w:lang w:val="en-US" w:eastAsia="zh-CN"/>
                <w14:textFill>
                  <w14:solidFill>
                    <w14:schemeClr w14:val="tx1"/>
                  </w14:solidFill>
                </w14:textFill>
              </w:rPr>
              <w:t>EPS</w:t>
            </w:r>
            <w:r>
              <w:rPr>
                <w:rFonts w:hint="eastAsia" w:ascii="Times New Roman" w:hAnsi="Times New Roman" w:eastAsia="宋体" w:cs="Times New Roman"/>
                <w:bCs/>
                <w:color w:val="000000" w:themeColor="text1"/>
                <w:spacing w:val="0"/>
                <w:w w:val="100"/>
                <w:sz w:val="24"/>
                <w:szCs w:val="24"/>
                <w:lang w:val="en-US" w:eastAsia="zh-CN"/>
                <w14:textFill>
                  <w14:solidFill>
                    <w14:schemeClr w14:val="tx1"/>
                  </w14:solidFill>
                </w14:textFill>
              </w:rPr>
              <w:t>珠粒发泡闭孔率达</w:t>
            </w:r>
            <w:r>
              <w:rPr>
                <w:rFonts w:hint="default" w:ascii="Times New Roman" w:hAnsi="Times New Roman" w:eastAsia="宋体" w:cs="Times New Roman"/>
                <w:bCs/>
                <w:color w:val="000000" w:themeColor="text1"/>
                <w:spacing w:val="0"/>
                <w:w w:val="100"/>
                <w:sz w:val="24"/>
                <w:szCs w:val="24"/>
                <w:lang w:val="en-US" w:eastAsia="zh-CN"/>
                <w14:textFill>
                  <w14:solidFill>
                    <w14:schemeClr w14:val="tx1"/>
                  </w14:solidFill>
                </w14:textFill>
              </w:rPr>
              <w:t>99%</w:t>
            </w:r>
            <w:r>
              <w:rPr>
                <w:rFonts w:hint="eastAsia" w:ascii="Times New Roman" w:hAnsi="Times New Roman" w:eastAsia="宋体" w:cs="Times New Roman"/>
                <w:bCs/>
                <w:color w:val="000000" w:themeColor="text1"/>
                <w:spacing w:val="0"/>
                <w:w w:val="100"/>
                <w:sz w:val="24"/>
                <w:szCs w:val="24"/>
                <w:lang w:val="en-US" w:eastAsia="zh-CN"/>
                <w14:textFill>
                  <w14:solidFill>
                    <w14:schemeClr w14:val="tx1"/>
                  </w14:solidFill>
                </w14:textFill>
              </w:rPr>
              <w:t>，属于闭孔泡沫材料，发泡时发泡剂绝大多数留在泡孔内，仅少部分会逸出至大气环境中，本次环评取</w:t>
            </w:r>
            <w:r>
              <w:rPr>
                <w:rFonts w:hint="default" w:ascii="Times New Roman" w:hAnsi="Times New Roman" w:eastAsia="宋体" w:cs="Times New Roman"/>
                <w:bCs/>
                <w:color w:val="000000" w:themeColor="text1"/>
                <w:spacing w:val="0"/>
                <w:w w:val="100"/>
                <w:sz w:val="24"/>
                <w:szCs w:val="24"/>
                <w:lang w:val="en-US" w:eastAsia="zh-CN"/>
                <w14:textFill>
                  <w14:solidFill>
                    <w14:schemeClr w14:val="tx1"/>
                  </w14:solidFill>
                </w14:textFill>
              </w:rPr>
              <w:t>EPS</w:t>
            </w:r>
            <w:r>
              <w:rPr>
                <w:rFonts w:hint="eastAsia" w:ascii="Times New Roman" w:hAnsi="Times New Roman" w:eastAsia="宋体" w:cs="Times New Roman"/>
                <w:bCs/>
                <w:color w:val="000000" w:themeColor="text1"/>
                <w:spacing w:val="0"/>
                <w:w w:val="100"/>
                <w:sz w:val="24"/>
                <w:szCs w:val="24"/>
                <w:lang w:val="en-US" w:eastAsia="zh-CN"/>
                <w14:textFill>
                  <w14:solidFill>
                    <w14:schemeClr w14:val="tx1"/>
                  </w14:solidFill>
                </w14:textFill>
              </w:rPr>
              <w:t>珠粒发泡闭孔率</w:t>
            </w:r>
            <w:r>
              <w:rPr>
                <w:rFonts w:hint="default" w:ascii="Times New Roman" w:hAnsi="Times New Roman" w:eastAsia="宋体" w:cs="Times New Roman"/>
                <w:bCs/>
                <w:color w:val="000000" w:themeColor="text1"/>
                <w:spacing w:val="0"/>
                <w:w w:val="100"/>
                <w:sz w:val="24"/>
                <w:szCs w:val="24"/>
                <w:lang w:val="en-US" w:eastAsia="zh-CN"/>
                <w14:textFill>
                  <w14:solidFill>
                    <w14:schemeClr w14:val="tx1"/>
                  </w14:solidFill>
                </w14:textFill>
              </w:rPr>
              <w:t>98%</w:t>
            </w:r>
            <w:r>
              <w:rPr>
                <w:rFonts w:hint="eastAsia" w:ascii="Times New Roman" w:hAnsi="Times New Roman" w:eastAsia="宋体" w:cs="Times New Roman"/>
                <w:bCs/>
                <w:color w:val="000000" w:themeColor="text1"/>
                <w:spacing w:val="0"/>
                <w:w w:val="100"/>
                <w:sz w:val="24"/>
                <w:szCs w:val="24"/>
                <w:lang w:val="en-US" w:eastAsia="zh-CN"/>
                <w14:textFill>
                  <w14:solidFill>
                    <w14:schemeClr w14:val="tx1"/>
                  </w14:solidFill>
                </w14:textFill>
              </w:rPr>
              <w:t>，即有</w:t>
            </w:r>
            <w:r>
              <w:rPr>
                <w:rFonts w:hint="default" w:ascii="Times New Roman" w:hAnsi="Times New Roman" w:eastAsia="宋体" w:cs="Times New Roman"/>
                <w:bCs/>
                <w:color w:val="000000" w:themeColor="text1"/>
                <w:spacing w:val="0"/>
                <w:w w:val="100"/>
                <w:sz w:val="24"/>
                <w:szCs w:val="24"/>
                <w:lang w:val="en-US" w:eastAsia="zh-CN"/>
                <w14:textFill>
                  <w14:solidFill>
                    <w14:schemeClr w14:val="tx1"/>
                  </w14:solidFill>
                </w14:textFill>
              </w:rPr>
              <w:t>2%</w:t>
            </w:r>
            <w:r>
              <w:rPr>
                <w:rFonts w:hint="eastAsia" w:ascii="Times New Roman" w:hAnsi="Times New Roman" w:eastAsia="宋体" w:cs="Times New Roman"/>
                <w:bCs/>
                <w:color w:val="000000" w:themeColor="text1"/>
                <w:spacing w:val="0"/>
                <w:w w:val="100"/>
                <w:sz w:val="24"/>
                <w:szCs w:val="24"/>
                <w:lang w:val="en-US" w:eastAsia="zh-CN"/>
                <w14:textFill>
                  <w14:solidFill>
                    <w14:schemeClr w14:val="tx1"/>
                  </w14:solidFill>
                </w14:textFill>
              </w:rPr>
              <w:t>的发泡剂逸出，本项目可发性聚苯乙烯</w:t>
            </w:r>
            <w:r>
              <w:rPr>
                <w:rFonts w:hint="default" w:ascii="Times New Roman" w:hAnsi="Times New Roman" w:eastAsia="宋体" w:cs="Times New Roman"/>
                <w:bCs/>
                <w:color w:val="000000" w:themeColor="text1"/>
                <w:spacing w:val="0"/>
                <w:w w:val="100"/>
                <w:sz w:val="24"/>
                <w:szCs w:val="24"/>
                <w:lang w:val="en-US" w:eastAsia="zh-CN"/>
                <w14:textFill>
                  <w14:solidFill>
                    <w14:schemeClr w14:val="tx1"/>
                  </w14:solidFill>
                </w14:textFill>
              </w:rPr>
              <w:t>EPS</w:t>
            </w:r>
            <w:r>
              <w:rPr>
                <w:rFonts w:hint="eastAsia" w:ascii="Times New Roman" w:hAnsi="Times New Roman" w:eastAsia="宋体" w:cs="Times New Roman"/>
                <w:bCs/>
                <w:color w:val="000000" w:themeColor="text1"/>
                <w:spacing w:val="0"/>
                <w:w w:val="100"/>
                <w:sz w:val="24"/>
                <w:szCs w:val="24"/>
                <w:lang w:val="en-US" w:eastAsia="zh-CN"/>
                <w14:textFill>
                  <w14:solidFill>
                    <w14:schemeClr w14:val="tx1"/>
                  </w14:solidFill>
                </w14:textFill>
              </w:rPr>
              <w:t>原料年用量为150</w:t>
            </w:r>
            <w:r>
              <w:rPr>
                <w:rFonts w:hint="default" w:ascii="Times New Roman" w:hAnsi="Times New Roman" w:eastAsia="宋体" w:cs="Times New Roman"/>
                <w:bCs/>
                <w:color w:val="000000" w:themeColor="text1"/>
                <w:spacing w:val="0"/>
                <w:w w:val="100"/>
                <w:sz w:val="24"/>
                <w:szCs w:val="24"/>
                <w:lang w:val="en-US" w:eastAsia="zh-CN"/>
                <w14:textFill>
                  <w14:solidFill>
                    <w14:schemeClr w14:val="tx1"/>
                  </w14:solidFill>
                </w14:textFill>
              </w:rPr>
              <w:t>t</w:t>
            </w:r>
            <w:r>
              <w:rPr>
                <w:rFonts w:hint="eastAsia" w:cs="Times New Roman"/>
                <w:bCs/>
                <w:color w:val="000000" w:themeColor="text1"/>
                <w:spacing w:val="0"/>
                <w:w w:val="100"/>
                <w:sz w:val="24"/>
                <w:szCs w:val="24"/>
                <w:lang w:val="en-US" w:eastAsia="zh-CN"/>
                <w14:textFill>
                  <w14:solidFill>
                    <w14:schemeClr w14:val="tx1"/>
                  </w14:solidFill>
                </w14:textFill>
              </w:rPr>
              <w:t>。</w:t>
            </w:r>
          </w:p>
          <w:p w14:paraId="7224B40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eastAsia" w:ascii="Times New Roman" w:hAnsi="Times New Roman" w:eastAsia="宋体" w:cs="Times New Roman"/>
                <w:bCs/>
                <w:color w:val="000000" w:themeColor="text1"/>
                <w:spacing w:val="0"/>
                <w:w w:val="100"/>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pacing w:val="0"/>
                <w:w w:val="100"/>
                <w:sz w:val="24"/>
                <w:szCs w:val="24"/>
                <w:lang w:val="en-US" w:eastAsia="zh-CN"/>
                <w14:textFill>
                  <w14:solidFill>
                    <w14:schemeClr w14:val="tx1"/>
                  </w14:solidFill>
                </w14:textFill>
              </w:rPr>
              <w:t>则非甲烷总烃产生量为0.2</w:t>
            </w:r>
            <w:r>
              <w:rPr>
                <w:rFonts w:hint="eastAsia" w:cs="Times New Roman"/>
                <w:bCs/>
                <w:color w:val="000000" w:themeColor="text1"/>
                <w:spacing w:val="0"/>
                <w:w w:val="100"/>
                <w:sz w:val="24"/>
                <w:szCs w:val="24"/>
                <w:lang w:val="en-US" w:eastAsia="zh-CN"/>
                <w14:textFill>
                  <w14:solidFill>
                    <w14:schemeClr w14:val="tx1"/>
                  </w14:solidFill>
                </w14:textFill>
              </w:rPr>
              <w:t>04t</w:t>
            </w:r>
            <w:r>
              <w:rPr>
                <w:rFonts w:hint="default" w:ascii="Times New Roman" w:hAnsi="Times New Roman" w:eastAsia="宋体" w:cs="Times New Roman"/>
                <w:bCs/>
                <w:color w:val="000000" w:themeColor="text1"/>
                <w:spacing w:val="0"/>
                <w:w w:val="100"/>
                <w:sz w:val="24"/>
                <w:szCs w:val="24"/>
                <w:lang w:val="en-US" w:eastAsia="zh-CN"/>
                <w14:textFill>
                  <w14:solidFill>
                    <w14:schemeClr w14:val="tx1"/>
                  </w14:solidFill>
                </w14:textFill>
              </w:rPr>
              <w:t>/a</w:t>
            </w:r>
            <w:r>
              <w:rPr>
                <w:rFonts w:hint="eastAsia" w:ascii="Times New Roman" w:hAnsi="Times New Roman" w:eastAsia="宋体" w:cs="Times New Roman"/>
                <w:bCs/>
                <w:color w:val="000000" w:themeColor="text1"/>
                <w:spacing w:val="0"/>
                <w:w w:val="100"/>
                <w:sz w:val="24"/>
                <w:szCs w:val="24"/>
                <w:lang w:val="en-US" w:eastAsia="zh-CN"/>
                <w14:textFill>
                  <w14:solidFill>
                    <w14:schemeClr w14:val="tx1"/>
                  </w14:solidFill>
                </w14:textFill>
              </w:rPr>
              <w:t>，其中，苯乙烯产生量为</w:t>
            </w:r>
            <w:r>
              <w:rPr>
                <w:rFonts w:hint="default" w:ascii="Times New Roman" w:hAnsi="Times New Roman" w:eastAsia="宋体" w:cs="Times New Roman"/>
                <w:bCs/>
                <w:color w:val="000000" w:themeColor="text1"/>
                <w:spacing w:val="0"/>
                <w:w w:val="100"/>
                <w:sz w:val="24"/>
                <w:szCs w:val="24"/>
                <w:lang w:val="en-US" w:eastAsia="zh-CN"/>
                <w14:textFill>
                  <w14:solidFill>
                    <w14:schemeClr w14:val="tx1"/>
                  </w14:solidFill>
                </w14:textFill>
              </w:rPr>
              <w:t>0.</w:t>
            </w:r>
            <w:r>
              <w:rPr>
                <w:rFonts w:hint="eastAsia" w:cs="Times New Roman"/>
                <w:bCs/>
                <w:color w:val="000000" w:themeColor="text1"/>
                <w:spacing w:val="0"/>
                <w:w w:val="100"/>
                <w:sz w:val="24"/>
                <w:szCs w:val="24"/>
                <w:lang w:val="en-US" w:eastAsia="zh-CN"/>
                <w14:textFill>
                  <w14:solidFill>
                    <w14:schemeClr w14:val="tx1"/>
                  </w14:solidFill>
                </w14:textFill>
              </w:rPr>
              <w:t>018</w:t>
            </w:r>
            <w:r>
              <w:rPr>
                <w:rFonts w:hint="default" w:ascii="Times New Roman" w:hAnsi="Times New Roman" w:eastAsia="宋体" w:cs="Times New Roman"/>
                <w:bCs/>
                <w:color w:val="000000" w:themeColor="text1"/>
                <w:spacing w:val="0"/>
                <w:w w:val="100"/>
                <w:sz w:val="24"/>
                <w:szCs w:val="24"/>
                <w:lang w:val="en-US" w:eastAsia="zh-CN"/>
                <w14:textFill>
                  <w14:solidFill>
                    <w14:schemeClr w14:val="tx1"/>
                  </w14:solidFill>
                </w14:textFill>
              </w:rPr>
              <w:t>t/a</w:t>
            </w:r>
            <w:r>
              <w:rPr>
                <w:rFonts w:hint="eastAsia" w:ascii="Times New Roman" w:hAnsi="Times New Roman" w:eastAsia="宋体" w:cs="Times New Roman"/>
                <w:bCs/>
                <w:color w:val="000000" w:themeColor="text1"/>
                <w:spacing w:val="0"/>
                <w:w w:val="100"/>
                <w:sz w:val="24"/>
                <w:szCs w:val="24"/>
                <w:lang w:val="en-US" w:eastAsia="zh-CN"/>
                <w14:textFill>
                  <w14:solidFill>
                    <w14:schemeClr w14:val="tx1"/>
                  </w14:solidFill>
                </w14:textFill>
              </w:rPr>
              <w:t>。</w:t>
            </w:r>
          </w:p>
          <w:p w14:paraId="1ECACF78">
            <w:pPr>
              <w:adjustRightInd w:val="0"/>
              <w:snapToGrid w:val="0"/>
              <w:spacing w:line="360" w:lineRule="auto"/>
              <w:ind w:firstLine="482" w:firstLineChars="200"/>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B.</w:t>
            </w:r>
            <w:r>
              <w:rPr>
                <w:rFonts w:hint="eastAsia" w:ascii="Times New Roman" w:hAnsi="Times New Roman" w:eastAsia="宋体" w:cs="Times New Roman"/>
                <w:b/>
                <w:bCs/>
                <w:color w:val="000000" w:themeColor="text1"/>
                <w:sz w:val="24"/>
                <w:lang w:val="en-US" w:eastAsia="zh-CN"/>
                <w14:textFill>
                  <w14:solidFill>
                    <w14:schemeClr w14:val="tx1"/>
                  </w14:solidFill>
                </w14:textFill>
              </w:rPr>
              <w:t>甲苯、乙苯</w:t>
            </w:r>
          </w:p>
          <w:p w14:paraId="02898F98">
            <w:pPr>
              <w:adjustRightInd w:val="0"/>
              <w:snapToGrid w:val="0"/>
              <w:spacing w:line="360" w:lineRule="auto"/>
              <w:ind w:firstLine="480" w:firstLineChars="200"/>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参考</w:t>
            </w:r>
            <w:r>
              <w:rPr>
                <w:rFonts w:hint="default" w:ascii="Times New Roman" w:hAnsi="Times New Roman" w:eastAsia="宋体" w:cs="Times New Roman"/>
                <w:color w:val="000000" w:themeColor="text1"/>
                <w:sz w:val="24"/>
                <w:lang w:val="en-US" w:eastAsia="zh-CN"/>
                <w14:textFill>
                  <w14:solidFill>
                    <w14:schemeClr w14:val="tx1"/>
                  </w14:solidFill>
                </w14:textFill>
              </w:rPr>
              <w:t>《气相色谱—质谱法分析聚苯乙烯加热分解产物》（林华影等，中国卫生检验杂志，2009</w:t>
            </w:r>
            <w:r>
              <w:rPr>
                <w:rFonts w:hint="eastAsia" w:ascii="Times New Roman" w:hAnsi="Times New Roman" w:eastAsia="宋体" w:cs="Times New Roman"/>
                <w:color w:val="000000" w:themeColor="text1"/>
                <w:sz w:val="24"/>
                <w:lang w:val="en-US" w:eastAsia="zh-CN"/>
                <w14:textFill>
                  <w14:solidFill>
                    <w14:schemeClr w14:val="tx1"/>
                  </w14:solidFill>
                </w14:textFill>
              </w:rPr>
              <w:t>年9月第19卷第9期</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聚苯乙烯在不同温度的加工条件下，所释放于工作场所空气中的毒害物质的种类、数量</w:t>
            </w:r>
            <w:r>
              <w:rPr>
                <w:rFonts w:hint="eastAsia" w:ascii="Times New Roman" w:hAnsi="Times New Roman" w:eastAsia="宋体" w:cs="Times New Roman"/>
                <w:color w:val="000000" w:themeColor="text1"/>
                <w:sz w:val="24"/>
                <w:lang w:val="en-US" w:eastAsia="zh-CN"/>
                <w14:textFill>
                  <w14:solidFill>
                    <w14:schemeClr w14:val="tx1"/>
                  </w14:solidFill>
                </w14:textFill>
              </w:rPr>
              <w:t>，详见下表。</w:t>
            </w:r>
          </w:p>
          <w:p w14:paraId="049A03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表 </w:t>
            </w:r>
            <w:r>
              <w:rPr>
                <w:rFonts w:hint="eastAsia" w:cs="Times New Roman"/>
                <w:b/>
                <w:bCs/>
                <w:color w:val="000000" w:themeColor="text1"/>
                <w:sz w:val="21"/>
                <w:szCs w:val="21"/>
                <w:lang w:val="en-US" w:eastAsia="zh-CN"/>
                <w14:textFill>
                  <w14:solidFill>
                    <w14:schemeClr w14:val="tx1"/>
                  </w14:solidFill>
                </w14:textFill>
              </w:rPr>
              <w:t>2-13</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不同温度条件下聚苯乙烯的加热产物种类和浓度单位：</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mg/m</w:t>
            </w:r>
            <w:r>
              <w:rPr>
                <w:rFonts w:hint="default"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3</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7"/>
              <w:gridCol w:w="1007"/>
              <w:gridCol w:w="1008"/>
              <w:gridCol w:w="1008"/>
              <w:gridCol w:w="1008"/>
              <w:gridCol w:w="1009"/>
              <w:gridCol w:w="1009"/>
              <w:gridCol w:w="1009"/>
            </w:tblGrid>
            <w:tr w14:paraId="1655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restart"/>
                  <w:vAlign w:val="center"/>
                </w:tcPr>
                <w:p w14:paraId="0754CB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加热产物</w:t>
                  </w:r>
                </w:p>
              </w:tc>
              <w:tc>
                <w:tcPr>
                  <w:tcW w:w="7058" w:type="dxa"/>
                  <w:gridSpan w:val="7"/>
                  <w:vAlign w:val="center"/>
                </w:tcPr>
                <w:p w14:paraId="237D0D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温度℃</w:t>
                  </w:r>
                </w:p>
              </w:tc>
            </w:tr>
            <w:tr w14:paraId="18058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vAlign w:val="center"/>
                </w:tcPr>
                <w:p w14:paraId="23D788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007" w:type="dxa"/>
                  <w:vAlign w:val="center"/>
                </w:tcPr>
                <w:p w14:paraId="60C127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80℃</w:t>
                  </w:r>
                </w:p>
              </w:tc>
              <w:tc>
                <w:tcPr>
                  <w:tcW w:w="1008" w:type="dxa"/>
                  <w:vAlign w:val="center"/>
                </w:tcPr>
                <w:p w14:paraId="6AEF15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100℃</w:t>
                  </w:r>
                </w:p>
              </w:tc>
              <w:tc>
                <w:tcPr>
                  <w:tcW w:w="1008" w:type="dxa"/>
                  <w:vAlign w:val="center"/>
                </w:tcPr>
                <w:p w14:paraId="425167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120℃</w:t>
                  </w:r>
                </w:p>
              </w:tc>
              <w:tc>
                <w:tcPr>
                  <w:tcW w:w="1008" w:type="dxa"/>
                  <w:vAlign w:val="center"/>
                </w:tcPr>
                <w:p w14:paraId="32577D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140℃</w:t>
                  </w:r>
                </w:p>
              </w:tc>
              <w:tc>
                <w:tcPr>
                  <w:tcW w:w="1009" w:type="dxa"/>
                  <w:vAlign w:val="center"/>
                </w:tcPr>
                <w:p w14:paraId="3AFBE2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160℃</w:t>
                  </w:r>
                </w:p>
              </w:tc>
              <w:tc>
                <w:tcPr>
                  <w:tcW w:w="1009" w:type="dxa"/>
                  <w:vAlign w:val="center"/>
                </w:tcPr>
                <w:p w14:paraId="79AB14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180℃</w:t>
                  </w:r>
                </w:p>
              </w:tc>
              <w:tc>
                <w:tcPr>
                  <w:tcW w:w="1009" w:type="dxa"/>
                  <w:vAlign w:val="center"/>
                </w:tcPr>
                <w:p w14:paraId="190816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200℃</w:t>
                  </w:r>
                </w:p>
              </w:tc>
            </w:tr>
            <w:tr w14:paraId="15DBA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Align w:val="center"/>
                </w:tcPr>
                <w:p w14:paraId="4DDC82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甲苯</w:t>
                  </w:r>
                </w:p>
              </w:tc>
              <w:tc>
                <w:tcPr>
                  <w:tcW w:w="1007" w:type="dxa"/>
                  <w:vAlign w:val="center"/>
                </w:tcPr>
                <w:p w14:paraId="505E2E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0.08</w:t>
                  </w:r>
                </w:p>
              </w:tc>
              <w:tc>
                <w:tcPr>
                  <w:tcW w:w="1008" w:type="dxa"/>
                  <w:vAlign w:val="center"/>
                </w:tcPr>
                <w:p w14:paraId="514EBB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0.1</w:t>
                  </w:r>
                </w:p>
              </w:tc>
              <w:tc>
                <w:tcPr>
                  <w:tcW w:w="1008" w:type="dxa"/>
                  <w:vAlign w:val="center"/>
                </w:tcPr>
                <w:p w14:paraId="2180DA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0.2</w:t>
                  </w:r>
                </w:p>
              </w:tc>
              <w:tc>
                <w:tcPr>
                  <w:tcW w:w="1008" w:type="dxa"/>
                  <w:vAlign w:val="center"/>
                </w:tcPr>
                <w:p w14:paraId="57F757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0.22</w:t>
                  </w:r>
                </w:p>
              </w:tc>
              <w:tc>
                <w:tcPr>
                  <w:tcW w:w="1009" w:type="dxa"/>
                  <w:vAlign w:val="center"/>
                </w:tcPr>
                <w:p w14:paraId="262F20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0.73</w:t>
                  </w:r>
                </w:p>
              </w:tc>
              <w:tc>
                <w:tcPr>
                  <w:tcW w:w="1009" w:type="dxa"/>
                  <w:vAlign w:val="center"/>
                </w:tcPr>
                <w:p w14:paraId="03B18A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1.24</w:t>
                  </w:r>
                </w:p>
              </w:tc>
              <w:tc>
                <w:tcPr>
                  <w:tcW w:w="1009" w:type="dxa"/>
                  <w:vAlign w:val="center"/>
                </w:tcPr>
                <w:p w14:paraId="744EF4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2.28</w:t>
                  </w:r>
                </w:p>
              </w:tc>
            </w:tr>
            <w:tr w14:paraId="4FA6E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Align w:val="center"/>
                </w:tcPr>
                <w:p w14:paraId="0E70ED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乙苯</w:t>
                  </w:r>
                </w:p>
              </w:tc>
              <w:tc>
                <w:tcPr>
                  <w:tcW w:w="1007" w:type="dxa"/>
                  <w:vAlign w:val="center"/>
                </w:tcPr>
                <w:p w14:paraId="0FD457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未检出</w:t>
                  </w:r>
                </w:p>
              </w:tc>
              <w:tc>
                <w:tcPr>
                  <w:tcW w:w="1008" w:type="dxa"/>
                  <w:vAlign w:val="center"/>
                </w:tcPr>
                <w:p w14:paraId="45A4C0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未检出</w:t>
                  </w:r>
                </w:p>
              </w:tc>
              <w:tc>
                <w:tcPr>
                  <w:tcW w:w="1008" w:type="dxa"/>
                  <w:vAlign w:val="center"/>
                </w:tcPr>
                <w:p w14:paraId="144F8C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未检出</w:t>
                  </w:r>
                </w:p>
              </w:tc>
              <w:tc>
                <w:tcPr>
                  <w:tcW w:w="1008" w:type="dxa"/>
                  <w:vAlign w:val="center"/>
                </w:tcPr>
                <w:p w14:paraId="433B01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0.18</w:t>
                  </w:r>
                </w:p>
              </w:tc>
              <w:tc>
                <w:tcPr>
                  <w:tcW w:w="1009" w:type="dxa"/>
                  <w:vAlign w:val="center"/>
                </w:tcPr>
                <w:p w14:paraId="23230E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0.38</w:t>
                  </w:r>
                </w:p>
              </w:tc>
              <w:tc>
                <w:tcPr>
                  <w:tcW w:w="1009" w:type="dxa"/>
                  <w:vAlign w:val="center"/>
                </w:tcPr>
                <w:p w14:paraId="104794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0.66</w:t>
                  </w:r>
                </w:p>
              </w:tc>
              <w:tc>
                <w:tcPr>
                  <w:tcW w:w="1009" w:type="dxa"/>
                  <w:vAlign w:val="center"/>
                </w:tcPr>
                <w:p w14:paraId="0B6F3B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1.06</w:t>
                  </w:r>
                </w:p>
              </w:tc>
            </w:tr>
          </w:tbl>
          <w:p w14:paraId="5A4D20DA">
            <w:pPr>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 xml:space="preserve">根据上表，在 </w:t>
            </w:r>
            <w:r>
              <w:rPr>
                <w:rFonts w:hint="default" w:ascii="Times New Roman" w:hAnsi="Times New Roman" w:eastAsia="宋体" w:cs="Times New Roman"/>
                <w:color w:val="000000" w:themeColor="text1"/>
                <w:sz w:val="24"/>
                <w:lang w:val="en-US" w:eastAsia="zh-CN"/>
                <w14:textFill>
                  <w14:solidFill>
                    <w14:schemeClr w14:val="tx1"/>
                  </w14:solidFill>
                </w14:textFill>
              </w:rPr>
              <w:t>120</w:t>
            </w:r>
            <w:r>
              <w:rPr>
                <w:rFonts w:hint="eastAsia" w:ascii="Times New Roman" w:hAnsi="Times New Roman" w:eastAsia="宋体" w:cs="Times New Roman"/>
                <w:color w:val="000000" w:themeColor="text1"/>
                <w:sz w:val="24"/>
                <w:lang w:val="en-US" w:eastAsia="zh-CN"/>
                <w14:textFill>
                  <w14:solidFill>
                    <w14:schemeClr w14:val="tx1"/>
                  </w14:solidFill>
                </w14:textFill>
              </w:rPr>
              <w:t>℃以下，EPS生产环节基本无乙苯释放，但会有甲苯产生。</w:t>
            </w:r>
            <w:r>
              <w:rPr>
                <w:rFonts w:hint="default" w:ascii="Times New Roman" w:hAnsi="Times New Roman" w:eastAsia="宋体" w:cs="Times New Roman"/>
                <w:color w:val="000000" w:themeColor="text1"/>
                <w:sz w:val="24"/>
                <w:lang w:val="en-US" w:eastAsia="zh-CN"/>
                <w14:textFill>
                  <w14:solidFill>
                    <w14:schemeClr w14:val="tx1"/>
                  </w14:solidFill>
                </w14:textFill>
              </w:rPr>
              <w:t>不同的加热温度条件下分解产物不同，温度越高，分解产物的种类越多，浓度越大。</w:t>
            </w:r>
          </w:p>
          <w:p w14:paraId="67D31EC3">
            <w:pPr>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根据建设单位提供资料，项目发泡温度在90~100℃，实验中80~120℃未检出乙苯、苯乙烯，考虑到检出限等条件限制，本次环评参考</w:t>
            </w:r>
            <w:r>
              <w:rPr>
                <w:rFonts w:hint="default" w:ascii="Times New Roman" w:hAnsi="Times New Roman" w:eastAsia="宋体" w:cs="Times New Roman"/>
                <w:color w:val="000000" w:themeColor="text1"/>
                <w:sz w:val="24"/>
                <w:lang w:val="en-US" w:eastAsia="zh-CN"/>
                <w14:textFill>
                  <w14:solidFill>
                    <w14:schemeClr w14:val="tx1"/>
                  </w14:solidFill>
                </w14:textFill>
              </w:rPr>
              <w:t>140</w:t>
            </w:r>
            <w:r>
              <w:rPr>
                <w:rFonts w:hint="eastAsia" w:ascii="Times New Roman" w:hAnsi="Times New Roman" w:eastAsia="宋体" w:cs="Times New Roman"/>
                <w:color w:val="000000" w:themeColor="text1"/>
                <w:sz w:val="24"/>
                <w:lang w:val="en-US" w:eastAsia="zh-CN"/>
                <w14:textFill>
                  <w14:solidFill>
                    <w14:schemeClr w14:val="tx1"/>
                  </w14:solidFill>
                </w14:textFill>
              </w:rPr>
              <w:t>℃时甲苯、乙苯产生情况进行计算。</w:t>
            </w:r>
          </w:p>
          <w:p w14:paraId="2DB74FBD">
            <w:pPr>
              <w:adjustRightInd w:val="0"/>
              <w:snapToGrid w:val="0"/>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参考</w:t>
            </w:r>
            <w:r>
              <w:rPr>
                <w:rFonts w:hint="default" w:ascii="Times New Roman" w:hAnsi="Times New Roman" w:eastAsia="宋体" w:cs="Times New Roman"/>
                <w:color w:val="000000" w:themeColor="text1"/>
                <w:sz w:val="24"/>
                <w:lang w:val="en-US" w:eastAsia="zh-CN"/>
                <w14:textFill>
                  <w14:solidFill>
                    <w14:schemeClr w14:val="tx1"/>
                  </w14:solidFill>
                </w14:textFill>
              </w:rPr>
              <w:t>实验结果</w:t>
            </w:r>
            <w:r>
              <w:rPr>
                <w:rFonts w:hint="eastAsia" w:ascii="Times New Roman" w:hAnsi="Times New Roman" w:eastAsia="宋体" w:cs="Times New Roman"/>
                <w:color w:val="000000" w:themeColor="text1"/>
                <w:sz w:val="24"/>
                <w:lang w:val="en-US" w:eastAsia="zh-CN"/>
                <w14:textFill>
                  <w14:solidFill>
                    <w14:schemeClr w14:val="tx1"/>
                  </w14:solidFill>
                </w14:textFill>
              </w:rPr>
              <w:t>，根据试验条件是25g的聚苯乙烯粉末于在250ml碘量瓶容器里，加热0.5h，则对应温度下污染物产生量详见下表。</w:t>
            </w:r>
          </w:p>
          <w:p w14:paraId="5077E4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表 </w:t>
            </w:r>
            <w:r>
              <w:rPr>
                <w:rFonts w:hint="eastAsia" w:cs="Times New Roman"/>
                <w:b/>
                <w:bCs/>
                <w:color w:val="000000" w:themeColor="text1"/>
                <w:sz w:val="21"/>
                <w:szCs w:val="21"/>
                <w:lang w:val="en-US" w:eastAsia="zh-CN"/>
                <w14:textFill>
                  <w14:solidFill>
                    <w14:schemeClr w14:val="tx1"/>
                  </w14:solidFill>
                </w14:textFill>
              </w:rPr>
              <w:t>2-14</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  140℃温度条件下聚苯乙烯的加热产物种类和浓度单位：</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mg/m</w:t>
            </w:r>
            <w:r>
              <w:rPr>
                <w:rFonts w:hint="default"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3</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935"/>
              <w:gridCol w:w="889"/>
              <w:gridCol w:w="873"/>
              <w:gridCol w:w="844"/>
              <w:gridCol w:w="1142"/>
              <w:gridCol w:w="2510"/>
            </w:tblGrid>
            <w:tr w14:paraId="2595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vAlign w:val="center"/>
                </w:tcPr>
                <w:p w14:paraId="539DB5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聚苯乙烯原料</w:t>
                  </w:r>
                </w:p>
              </w:tc>
              <w:tc>
                <w:tcPr>
                  <w:tcW w:w="935" w:type="dxa"/>
                  <w:vAlign w:val="center"/>
                </w:tcPr>
                <w:p w14:paraId="25AFAC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实验体积</w:t>
                  </w:r>
                </w:p>
              </w:tc>
              <w:tc>
                <w:tcPr>
                  <w:tcW w:w="889" w:type="dxa"/>
                  <w:vAlign w:val="center"/>
                </w:tcPr>
                <w:p w14:paraId="0C0EAE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加热时间</w:t>
                  </w:r>
                </w:p>
              </w:tc>
              <w:tc>
                <w:tcPr>
                  <w:tcW w:w="873" w:type="dxa"/>
                  <w:vAlign w:val="center"/>
                </w:tcPr>
                <w:p w14:paraId="105E17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加热温度</w:t>
                  </w:r>
                </w:p>
              </w:tc>
              <w:tc>
                <w:tcPr>
                  <w:tcW w:w="844" w:type="dxa"/>
                  <w:vAlign w:val="center"/>
                </w:tcPr>
                <w:p w14:paraId="63786C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污染物</w:t>
                  </w:r>
                </w:p>
              </w:tc>
              <w:tc>
                <w:tcPr>
                  <w:tcW w:w="1142" w:type="dxa"/>
                  <w:vAlign w:val="center"/>
                </w:tcPr>
                <w:p w14:paraId="587FE9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对应污染物浓度</w:t>
                  </w:r>
                </w:p>
              </w:tc>
              <w:tc>
                <w:tcPr>
                  <w:tcW w:w="2510" w:type="dxa"/>
                  <w:vAlign w:val="center"/>
                </w:tcPr>
                <w:p w14:paraId="6C4F37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污染物产生量</w:t>
                  </w:r>
                </w:p>
              </w:tc>
            </w:tr>
            <w:tr w14:paraId="5DB4E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vMerge w:val="restart"/>
                  <w:vAlign w:val="center"/>
                </w:tcPr>
                <w:p w14:paraId="5E1CCF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25g</w:t>
                  </w:r>
                </w:p>
              </w:tc>
              <w:tc>
                <w:tcPr>
                  <w:tcW w:w="935" w:type="dxa"/>
                  <w:vMerge w:val="restart"/>
                  <w:vAlign w:val="center"/>
                </w:tcPr>
                <w:p w14:paraId="725CD6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250ml</w:t>
                  </w:r>
                </w:p>
              </w:tc>
              <w:tc>
                <w:tcPr>
                  <w:tcW w:w="889" w:type="dxa"/>
                  <w:vMerge w:val="restart"/>
                  <w:vAlign w:val="center"/>
                </w:tcPr>
                <w:p w14:paraId="162993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0.5h</w:t>
                  </w:r>
                </w:p>
              </w:tc>
              <w:tc>
                <w:tcPr>
                  <w:tcW w:w="873" w:type="dxa"/>
                  <w:vMerge w:val="restart"/>
                  <w:vAlign w:val="center"/>
                </w:tcPr>
                <w:p w14:paraId="32165E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r>
                    <w:rPr>
                      <w:rFonts w:hint="eastAsia" w:cs="Times New Roman"/>
                      <w:color w:val="000000" w:themeColor="text1"/>
                      <w:sz w:val="21"/>
                      <w:szCs w:val="21"/>
                      <w:vertAlign w:val="baseline"/>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c>
                <w:tcPr>
                  <w:tcW w:w="844" w:type="dxa"/>
                  <w:vAlign w:val="center"/>
                </w:tcPr>
                <w:p w14:paraId="577C5C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甲苯</w:t>
                  </w:r>
                </w:p>
              </w:tc>
              <w:tc>
                <w:tcPr>
                  <w:tcW w:w="1142" w:type="dxa"/>
                  <w:vAlign w:val="center"/>
                </w:tcPr>
                <w:p w14:paraId="476189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0.22</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p>
              </w:tc>
              <w:tc>
                <w:tcPr>
                  <w:tcW w:w="2510" w:type="dxa"/>
                  <w:vAlign w:val="center"/>
                </w:tcPr>
                <w:p w14:paraId="5AA171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0.000</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11mg/25g=4.4mg/t</w:t>
                  </w:r>
                </w:p>
              </w:tc>
            </w:tr>
            <w:tr w14:paraId="313E1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vMerge w:val="continue"/>
                  <w:vAlign w:val="center"/>
                </w:tcPr>
                <w:p w14:paraId="121B2D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935" w:type="dxa"/>
                  <w:vMerge w:val="continue"/>
                  <w:vAlign w:val="center"/>
                </w:tcPr>
                <w:p w14:paraId="6CBFA6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89" w:type="dxa"/>
                  <w:vMerge w:val="continue"/>
                  <w:vAlign w:val="center"/>
                </w:tcPr>
                <w:p w14:paraId="13F478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73" w:type="dxa"/>
                  <w:vMerge w:val="continue"/>
                  <w:vAlign w:val="center"/>
                </w:tcPr>
                <w:p w14:paraId="2F0605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44" w:type="dxa"/>
                  <w:vAlign w:val="center"/>
                </w:tcPr>
                <w:p w14:paraId="2429ED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乙苯</w:t>
                  </w:r>
                </w:p>
              </w:tc>
              <w:tc>
                <w:tcPr>
                  <w:tcW w:w="1142" w:type="dxa"/>
                  <w:vAlign w:val="center"/>
                </w:tcPr>
                <w:p w14:paraId="520186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0.18</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p>
              </w:tc>
              <w:tc>
                <w:tcPr>
                  <w:tcW w:w="2510" w:type="dxa"/>
                  <w:vAlign w:val="center"/>
                </w:tcPr>
                <w:p w14:paraId="34B52E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0.00009mg/25g=3.6mg/t</w:t>
                  </w:r>
                </w:p>
              </w:tc>
            </w:tr>
          </w:tbl>
          <w:p w14:paraId="35BBDA4D">
            <w:pPr>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综上所述，项目EPS用量为150t，则甲苯产生量为0.00066t/a，乙苯产生量为0.00054t/a。</w:t>
            </w:r>
          </w:p>
          <w:p w14:paraId="056C7C84">
            <w:pPr>
              <w:pStyle w:val="5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000000" w:themeColor="text1"/>
                <w:lang w:val="en-US" w:eastAsia="zh-CN"/>
                <w14:textFill>
                  <w14:solidFill>
                    <w14:schemeClr w14:val="tx1"/>
                  </w14:solidFill>
                </w14:textFill>
              </w:rPr>
            </w:pPr>
            <w:r>
              <w:rPr>
                <w:rFonts w:hint="eastAsia" w:cs="Times New Roman"/>
                <w:b w:val="0"/>
                <w:bCs/>
                <w:color w:val="000000" w:themeColor="text1"/>
                <w:spacing w:val="0"/>
                <w:w w:val="100"/>
                <w:sz w:val="24"/>
                <w:szCs w:val="24"/>
                <w:lang w:val="en-US" w:eastAsia="zh-CN"/>
                <w14:textFill>
                  <w14:solidFill>
                    <w14:schemeClr w14:val="tx1"/>
                  </w14:solidFill>
                </w14:textFill>
              </w:rPr>
              <w:t>发泡、流化干燥、成型、烘干工序废气</w:t>
            </w:r>
            <w:r>
              <w:rPr>
                <w:rFonts w:hint="eastAsia" w:cs="Times New Roman"/>
                <w:color w:val="000000" w:themeColor="text1"/>
                <w:lang w:val="en-US" w:eastAsia="zh-CN"/>
                <w14:textFill>
                  <w14:solidFill>
                    <w14:schemeClr w14:val="tx1"/>
                  </w14:solidFill>
                </w14:textFill>
              </w:rPr>
              <w:t>经厂房通风后进行无组织排放，</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通过大气扩散和周边植被吸附后净化后，</w:t>
            </w:r>
            <w:r>
              <w:rPr>
                <w:rFonts w:hint="eastAsia" w:cs="Times New Roman" w:eastAsiaTheme="minorEastAsia"/>
                <w:color w:val="000000" w:themeColor="text1"/>
                <w:sz w:val="24"/>
                <w:szCs w:val="24"/>
                <w:highlight w:val="none"/>
                <w:lang w:val="en-US" w:eastAsia="zh-CN"/>
                <w14:textFill>
                  <w14:solidFill>
                    <w14:schemeClr w14:val="tx1"/>
                  </w14:solidFill>
                </w14:textFill>
              </w:rPr>
              <w:t>对周围环境影响不大。</w:t>
            </w:r>
          </w:p>
          <w:p w14:paraId="263000EC">
            <w:pPr>
              <w:pStyle w:val="51"/>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②切割</w:t>
            </w:r>
            <w:r>
              <w:rPr>
                <w:rFonts w:hint="eastAsia" w:ascii="Times New Roman" w:hAnsi="Times New Roman" w:eastAsia="宋体" w:cs="Times New Roman"/>
                <w:b/>
                <w:bCs/>
                <w:color w:val="000000" w:themeColor="text1"/>
                <w:lang w:val="en-US" w:eastAsia="zh-CN"/>
                <w14:textFill>
                  <w14:solidFill>
                    <w14:schemeClr w14:val="tx1"/>
                  </w14:solidFill>
                </w14:textFill>
              </w:rPr>
              <w:t>废气</w:t>
            </w:r>
          </w:p>
          <w:p w14:paraId="311994D0">
            <w:pPr>
              <w:pStyle w:val="5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项目</w:t>
            </w:r>
            <w:r>
              <w:rPr>
                <w:rFonts w:hint="eastAsia" w:ascii="Times New Roman" w:hAnsi="Times New Roman" w:eastAsia="宋体" w:cs="Times New Roman"/>
                <w:color w:val="000000" w:themeColor="text1"/>
                <w:lang w:val="en-US" w:eastAsia="zh-CN"/>
                <w14:textFill>
                  <w14:solidFill>
                    <w14:schemeClr w14:val="tx1"/>
                  </w14:solidFill>
                </w14:textFill>
              </w:rPr>
              <w:t>EPS泡沫块采用电热丝切割加工成客户所需的造型。切割过程中通过高温热融丝对泡沫板局部进行切割，电热丝切割温度约85-100℃。根据建设单位提供的资料，</w:t>
            </w:r>
            <w:r>
              <w:rPr>
                <w:rFonts w:hint="eastAsia" w:cs="Times New Roman"/>
                <w:color w:val="000000" w:themeColor="text1"/>
                <w:lang w:val="en-US" w:eastAsia="zh-CN"/>
                <w14:textFill>
                  <w14:solidFill>
                    <w14:schemeClr w14:val="tx1"/>
                  </w14:solidFill>
                </w14:textFill>
              </w:rPr>
              <w:t>根据不同产品规订单格需求，</w:t>
            </w:r>
            <w:r>
              <w:rPr>
                <w:rFonts w:hint="eastAsia" w:ascii="Times New Roman" w:hAnsi="Times New Roman" w:eastAsia="宋体" w:cs="Times New Roman"/>
                <w:color w:val="000000" w:themeColor="text1"/>
                <w:lang w:val="en-US" w:eastAsia="zh-CN"/>
                <w14:textFill>
                  <w14:solidFill>
                    <w14:schemeClr w14:val="tx1"/>
                  </w14:solidFill>
                </w14:textFill>
              </w:rPr>
              <w:t>需切割的泡沫横截面约</w:t>
            </w:r>
            <w:r>
              <w:rPr>
                <w:rFonts w:hint="eastAsia" w:cs="Times New Roman"/>
                <w:color w:val="000000" w:themeColor="text1"/>
                <w:lang w:val="en-US" w:eastAsia="zh-CN"/>
                <w14:textFill>
                  <w14:solidFill>
                    <w14:schemeClr w14:val="tx1"/>
                  </w14:solidFill>
                </w14:textFill>
              </w:rPr>
              <w:t>5~</w:t>
            </w:r>
            <w:r>
              <w:rPr>
                <w:rFonts w:hint="eastAsia" w:ascii="Times New Roman" w:hAnsi="Times New Roman" w:eastAsia="宋体" w:cs="Times New Roman"/>
                <w:color w:val="000000" w:themeColor="text1"/>
                <w:lang w:val="en-US" w:eastAsia="zh-CN"/>
                <w14:textFill>
                  <w14:solidFill>
                    <w14:schemeClr w14:val="tx1"/>
                  </w14:solidFill>
                </w14:textFill>
              </w:rPr>
              <w:t>8万</w:t>
            </w:r>
            <w:r>
              <w:rPr>
                <w:rFonts w:hint="eastAsia" w:cs="Times New Roman"/>
                <w:color w:val="000000" w:themeColor="text1"/>
                <w:lang w:val="en-US" w:eastAsia="zh-CN"/>
                <w14:textFill>
                  <w14:solidFill>
                    <w14:schemeClr w14:val="tx1"/>
                  </w14:solidFill>
                </w14:textFill>
              </w:rPr>
              <w:t>m</w:t>
            </w:r>
            <w:r>
              <w:rPr>
                <w:rFonts w:hint="eastAsia" w:cs="Times New Roman"/>
                <w:color w:val="000000" w:themeColor="text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本次以8</w:t>
            </w:r>
            <w:r>
              <w:rPr>
                <w:rFonts w:hint="eastAsia" w:ascii="Times New Roman" w:hAnsi="Times New Roman" w:eastAsia="宋体" w:cs="Times New Roman"/>
                <w:color w:val="000000" w:themeColor="text1"/>
                <w:lang w:val="en-US" w:eastAsia="zh-CN"/>
                <w14:textFill>
                  <w14:solidFill>
                    <w14:schemeClr w14:val="tx1"/>
                  </w14:solidFill>
                </w14:textFill>
              </w:rPr>
              <w:t>万</w:t>
            </w:r>
            <w:r>
              <w:rPr>
                <w:rFonts w:hint="eastAsia" w:cs="Times New Roman"/>
                <w:color w:val="000000" w:themeColor="text1"/>
                <w:lang w:val="en-US" w:eastAsia="zh-CN"/>
                <w14:textFill>
                  <w14:solidFill>
                    <w14:schemeClr w14:val="tx1"/>
                  </w14:solidFill>
                </w14:textFill>
              </w:rPr>
              <w:t>m</w:t>
            </w:r>
            <w:r>
              <w:rPr>
                <w:rFonts w:hint="eastAsia" w:cs="Times New Roman"/>
                <w:color w:val="000000" w:themeColor="text1"/>
                <w:vertAlign w:val="superscript"/>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计，</w:t>
            </w:r>
            <w:r>
              <w:rPr>
                <w:rFonts w:hint="eastAsia" w:ascii="Times New Roman" w:hAnsi="Times New Roman" w:eastAsia="宋体" w:cs="Times New Roman"/>
                <w:color w:val="000000" w:themeColor="text1"/>
                <w:lang w:val="en-US" w:eastAsia="zh-CN"/>
                <w14:textFill>
                  <w14:solidFill>
                    <w14:schemeClr w14:val="tx1"/>
                  </w14:solidFill>
                </w14:textFill>
              </w:rPr>
              <w:t>受热厚度约5mm，EPS泡沫密度约30kg/m</w:t>
            </w:r>
            <w:r>
              <w:rPr>
                <w:rFonts w:hint="eastAsia" w:ascii="Times New Roman" w:hAnsi="Times New Roman" w:eastAsia="宋体" w:cs="Times New Roman"/>
                <w:color w:val="000000" w:themeColor="text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lang w:val="en-US" w:eastAsia="zh-CN"/>
                <w14:textFill>
                  <w14:solidFill>
                    <w14:schemeClr w14:val="tx1"/>
                  </w14:solidFill>
                </w14:textFill>
              </w:rPr>
              <w:t>，受热面重约12t/a。</w:t>
            </w:r>
          </w:p>
          <w:p w14:paraId="4DF4E222">
            <w:pPr>
              <w:pStyle w:val="5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该工序中无粉尘产生，仅有泡沫板切割部位因电容丝保温接触产生的少量挥发性有机废气，包括非甲烷总烃、甲苯、乙苯等</w:t>
            </w:r>
            <w:r>
              <w:rPr>
                <w:rFonts w:hint="eastAsia"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本次参考</w:t>
            </w:r>
            <w:r>
              <w:rPr>
                <w:rFonts w:hint="default" w:ascii="Times New Roman" w:hAnsi="Times New Roman" w:eastAsia="宋体" w:cs="Times New Roman"/>
                <w:color w:val="000000" w:themeColor="text1"/>
                <w:lang w:val="en-US" w:eastAsia="zh-CN"/>
                <w14:textFill>
                  <w14:solidFill>
                    <w14:schemeClr w14:val="tx1"/>
                  </w14:solidFill>
                </w14:textFill>
              </w:rPr>
              <w:t>《排放源统计调查产排污核实方法和系数手册》中《292塑料制品行业技术手册》中推荐的</w:t>
            </w:r>
            <w:r>
              <w:rPr>
                <w:rFonts w:hint="eastAsia" w:cs="Times New Roman"/>
                <w:color w:val="000000" w:themeColor="text1"/>
                <w:lang w:val="en-US" w:eastAsia="zh-CN"/>
                <w14:textFill>
                  <w14:solidFill>
                    <w14:schemeClr w14:val="tx1"/>
                  </w14:solidFill>
                </w14:textFill>
              </w:rPr>
              <w:t>“2926塑料包装箱及容器制造行业，吸塑裁切挥发性有机物</w:t>
            </w:r>
            <w:r>
              <w:rPr>
                <w:rFonts w:hint="default" w:ascii="Times New Roman" w:hAnsi="Times New Roman" w:eastAsia="宋体" w:cs="Times New Roman"/>
                <w:color w:val="000000" w:themeColor="text1"/>
                <w:lang w:val="en-US" w:eastAsia="zh-CN"/>
                <w14:textFill>
                  <w14:solidFill>
                    <w14:schemeClr w14:val="tx1"/>
                  </w14:solidFill>
                </w14:textFill>
              </w:rPr>
              <w:t>排放系数为</w:t>
            </w:r>
            <w:r>
              <w:rPr>
                <w:rFonts w:hint="eastAsia" w:ascii="Times New Roman" w:hAnsi="Times New Roman" w:eastAsia="宋体"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9</w:t>
            </w:r>
            <w:r>
              <w:rPr>
                <w:rFonts w:hint="default" w:ascii="Times New Roman" w:hAnsi="Times New Roman" w:eastAsia="宋体" w:cs="Times New Roman"/>
                <w:color w:val="000000" w:themeColor="text1"/>
                <w:lang w:val="en-US" w:eastAsia="zh-CN"/>
                <w14:textFill>
                  <w14:solidFill>
                    <w14:schemeClr w14:val="tx1"/>
                  </w14:solidFill>
                </w14:textFill>
              </w:rPr>
              <w:t>kg/吨-产品进行计算</w:t>
            </w:r>
            <w:r>
              <w:rPr>
                <w:rFonts w:hint="eastAsia" w:cs="Times New Roman"/>
                <w:color w:val="000000" w:themeColor="text1"/>
                <w:lang w:val="en-US" w:eastAsia="zh-CN"/>
                <w14:textFill>
                  <w14:solidFill>
                    <w14:schemeClr w14:val="tx1"/>
                  </w14:solidFill>
                </w14:textFill>
              </w:rPr>
              <w:t>，”，非甲烷总烃产生量为0.0228t/a。</w:t>
            </w:r>
          </w:p>
          <w:p w14:paraId="58ACCB09">
            <w:pPr>
              <w:pStyle w:val="5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甲苯、乙苯产生量参照上表2-14进行计算，即切割过程中非甲烷总烃产生量为0.0228t/a，甲苯产生量为0.0000528t/a，乙苯产生量为0.0000432t/a。</w:t>
            </w:r>
          </w:p>
          <w:p w14:paraId="59EECE1D">
            <w:pPr>
              <w:pStyle w:val="5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b w:val="0"/>
                <w:bCs/>
                <w:color w:val="000000" w:themeColor="text1"/>
                <w:spacing w:val="0"/>
                <w:w w:val="100"/>
                <w:sz w:val="24"/>
                <w:szCs w:val="24"/>
                <w:lang w:val="en-US" w:eastAsia="zh-CN"/>
                <w14:textFill>
                  <w14:solidFill>
                    <w14:schemeClr w14:val="tx1"/>
                  </w14:solidFill>
                </w14:textFill>
              </w:rPr>
              <w:t>项目生产过程中产生的切割废气</w:t>
            </w:r>
            <w:r>
              <w:rPr>
                <w:rFonts w:hint="eastAsia" w:cs="Times New Roman"/>
                <w:color w:val="000000" w:themeColor="text1"/>
                <w:lang w:val="en-US" w:eastAsia="zh-CN"/>
                <w14:textFill>
                  <w14:solidFill>
                    <w14:schemeClr w14:val="tx1"/>
                  </w14:solidFill>
                </w14:textFill>
              </w:rPr>
              <w:t>经厂房通风后进行无组织排放，</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通过大气扩散和周边植被吸附后净化后，</w:t>
            </w:r>
            <w:r>
              <w:rPr>
                <w:rFonts w:hint="eastAsia" w:cs="Times New Roman" w:eastAsiaTheme="minorEastAsia"/>
                <w:color w:val="000000" w:themeColor="text1"/>
                <w:sz w:val="24"/>
                <w:szCs w:val="24"/>
                <w:highlight w:val="none"/>
                <w:lang w:val="en-US" w:eastAsia="zh-CN"/>
                <w14:textFill>
                  <w14:solidFill>
                    <w14:schemeClr w14:val="tx1"/>
                  </w14:solidFill>
                </w14:textFill>
              </w:rPr>
              <w:t>对周围环境影响不大。</w:t>
            </w:r>
          </w:p>
          <w:p w14:paraId="11596766">
            <w:pPr>
              <w:adjustRightInd w:val="0"/>
              <w:snapToGrid w:val="0"/>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4</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w:t>
            </w:r>
            <w:r>
              <w:rPr>
                <w:rFonts w:hint="eastAsia" w:cs="Times New Roman"/>
                <w:b/>
                <w:bCs/>
                <w:color w:val="000000" w:themeColor="text1"/>
                <w:sz w:val="24"/>
                <w:lang w:eastAsia="zh-CN"/>
                <w14:textFill>
                  <w14:solidFill>
                    <w14:schemeClr w14:val="tx1"/>
                  </w14:solidFill>
                </w14:textFill>
              </w:rPr>
              <w:t>燃煤</w:t>
            </w:r>
            <w:r>
              <w:rPr>
                <w:rFonts w:hint="default" w:ascii="Times New Roman" w:hAnsi="Times New Roman" w:cs="Times New Roman"/>
                <w:b/>
                <w:bCs/>
                <w:color w:val="000000" w:themeColor="text1"/>
                <w:sz w:val="24"/>
                <w:lang w:eastAsia="zh-CN"/>
                <w14:textFill>
                  <w14:solidFill>
                    <w14:schemeClr w14:val="tx1"/>
                  </w14:solidFill>
                </w14:textFill>
              </w:rPr>
              <w:t>堆放</w:t>
            </w:r>
            <w:r>
              <w:rPr>
                <w:rFonts w:hint="default" w:ascii="Times New Roman" w:hAnsi="Times New Roman" w:cs="Times New Roman"/>
                <w:b/>
                <w:bCs/>
                <w:color w:val="000000" w:themeColor="text1"/>
                <w:sz w:val="24"/>
                <w14:textFill>
                  <w14:solidFill>
                    <w14:schemeClr w14:val="tx1"/>
                  </w14:solidFill>
                </w14:textFill>
              </w:rPr>
              <w:t>粉尘</w:t>
            </w:r>
          </w:p>
          <w:p w14:paraId="62F249C2">
            <w:pPr>
              <w:adjustRightInd w:val="0"/>
              <w:snapToGrid w:val="0"/>
              <w:spacing w:line="360" w:lineRule="auto"/>
              <w:ind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sz w:val="24"/>
                <w:lang w:eastAsia="zh-CN"/>
                <w14:textFill>
                  <w14:solidFill>
                    <w14:schemeClr w14:val="tx1"/>
                  </w14:solidFill>
                </w14:textFill>
              </w:rPr>
              <w:t>燃煤</w:t>
            </w:r>
            <w:r>
              <w:rPr>
                <w:rFonts w:hint="default" w:ascii="Times New Roman" w:hAnsi="Times New Roman" w:cs="Times New Roman"/>
                <w:color w:val="000000" w:themeColor="text1"/>
                <w:sz w:val="24"/>
                <w14:textFill>
                  <w14:solidFill>
                    <w14:schemeClr w14:val="tx1"/>
                  </w14:solidFill>
                </w14:textFill>
              </w:rPr>
              <w:t>装卸及储存过程会产生粉尘，为无组织排放，根据《环境影响评价实用技术指南》（机械工业出版社2008年4月第一版），无组织排放源的确定采用估算法，按照原料年使用量的</w:t>
            </w:r>
            <w:r>
              <w:rPr>
                <w:rFonts w:hint="default" w:ascii="Times New Roman" w:hAnsi="Times New Roman" w:cs="Times New Roman"/>
                <w:color w:val="000000" w:themeColor="text1"/>
                <w:sz w:val="24"/>
                <w:lang w:val="en-US" w:eastAsia="zh-CN"/>
                <w14:textFill>
                  <w14:solidFill>
                    <w14:schemeClr w14:val="tx1"/>
                  </w14:solidFill>
                </w14:textFill>
              </w:rPr>
              <w:t>0.01%~0.04%</w:t>
            </w:r>
            <w:r>
              <w:rPr>
                <w:rFonts w:hint="default" w:ascii="Times New Roman" w:hAnsi="Times New Roman" w:cs="Times New Roman"/>
                <w:color w:val="000000" w:themeColor="text1"/>
                <w:sz w:val="24"/>
                <w14:textFill>
                  <w14:solidFill>
                    <w14:schemeClr w14:val="tx1"/>
                  </w14:solidFill>
                </w14:textFill>
              </w:rPr>
              <w:t>计算</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本次按照</w:t>
            </w:r>
            <w:r>
              <w:rPr>
                <w:rFonts w:hint="default" w:ascii="Times New Roman" w:hAnsi="Times New Roman" w:cs="Times New Roman"/>
                <w:color w:val="000000" w:themeColor="text1"/>
                <w:sz w:val="24"/>
                <w:lang w:val="en-US" w:eastAsia="zh-CN"/>
                <w14:textFill>
                  <w14:solidFill>
                    <w14:schemeClr w14:val="tx1"/>
                  </w14:solidFill>
                </w14:textFill>
              </w:rPr>
              <w:t>0.04%</w:t>
            </w:r>
            <w:r>
              <w:rPr>
                <w:rFonts w:hint="default" w:ascii="Times New Roman" w:hAnsi="Times New Roman" w:cs="Times New Roman"/>
                <w:color w:val="000000" w:themeColor="text1"/>
                <w:sz w:val="24"/>
                <w14:textFill>
                  <w14:solidFill>
                    <w14:schemeClr w14:val="tx1"/>
                  </w14:solidFill>
                </w14:textFill>
              </w:rPr>
              <w:t>计</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本项目煤年用量为</w:t>
            </w:r>
            <w:r>
              <w:rPr>
                <w:rFonts w:hint="eastAsia" w:cs="Times New Roman"/>
                <w:color w:val="000000" w:themeColor="text1"/>
                <w:sz w:val="24"/>
                <w:lang w:val="en-US" w:eastAsia="zh-CN"/>
                <w14:textFill>
                  <w14:solidFill>
                    <w14:schemeClr w14:val="tx1"/>
                  </w14:solidFill>
                </w14:textFill>
              </w:rPr>
              <w:t>672t/a，</w:t>
            </w:r>
            <w:r>
              <w:rPr>
                <w:rFonts w:hint="default" w:ascii="Times New Roman" w:hAnsi="Times New Roman" w:cs="Times New Roman"/>
                <w:color w:val="000000" w:themeColor="text1"/>
                <w:sz w:val="24"/>
                <w:lang w:eastAsia="zh-CN"/>
                <w14:textFill>
                  <w14:solidFill>
                    <w14:schemeClr w14:val="tx1"/>
                  </w14:solidFill>
                </w14:textFill>
              </w:rPr>
              <w:t>粉尘产生量为0.2688</w:t>
            </w:r>
            <w:r>
              <w:rPr>
                <w:rFonts w:hint="default" w:ascii="Times New Roman" w:hAnsi="Times New Roman" w:cs="Times New Roman"/>
                <w:color w:val="000000" w:themeColor="text1"/>
                <w:sz w:val="24"/>
                <w:lang w:val="en-US" w:eastAsia="zh-CN"/>
                <w14:textFill>
                  <w14:solidFill>
                    <w14:schemeClr w14:val="tx1"/>
                  </w14:solidFill>
                </w14:textFill>
              </w:rPr>
              <w:t>t/a。</w:t>
            </w:r>
          </w:p>
          <w:p w14:paraId="644E9874">
            <w:pPr>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本项目不设置露天堆场，</w:t>
            </w:r>
            <w:r>
              <w:rPr>
                <w:rFonts w:hint="default" w:ascii="Times New Roman" w:hAnsi="Times New Roman" w:eastAsia="宋体" w:cs="Times New Roman"/>
                <w:color w:val="000000" w:themeColor="text1"/>
                <w:sz w:val="24"/>
                <w14:textFill>
                  <w14:solidFill>
                    <w14:schemeClr w14:val="tx1"/>
                  </w14:solidFill>
                </w14:textFill>
              </w:rPr>
              <w:t>项目</w:t>
            </w:r>
            <w:r>
              <w:rPr>
                <w:rFonts w:hint="eastAsia" w:cs="Times New Roman"/>
                <w:color w:val="000000" w:themeColor="text1"/>
                <w:sz w:val="24"/>
                <w:lang w:eastAsia="zh-CN"/>
                <w14:textFill>
                  <w14:solidFill>
                    <w14:schemeClr w14:val="tx1"/>
                  </w14:solidFill>
                </w14:textFill>
              </w:rPr>
              <w:t>燃煤</w:t>
            </w:r>
            <w:r>
              <w:rPr>
                <w:rFonts w:hint="default" w:ascii="Times New Roman" w:hAnsi="Times New Roman" w:eastAsia="宋体" w:cs="Times New Roman"/>
                <w:color w:val="000000" w:themeColor="text1"/>
                <w:sz w:val="24"/>
                <w14:textFill>
                  <w14:solidFill>
                    <w14:schemeClr w14:val="tx1"/>
                  </w14:solidFill>
                </w14:textFill>
              </w:rPr>
              <w:t>主要以袋装</w:t>
            </w:r>
            <w:r>
              <w:rPr>
                <w:rFonts w:hint="eastAsia" w:cs="Times New Roman"/>
                <w:color w:val="000000" w:themeColor="text1"/>
                <w:sz w:val="24"/>
                <w:lang w:eastAsia="zh-CN"/>
                <w14:textFill>
                  <w14:solidFill>
                    <w14:schemeClr w14:val="tx1"/>
                  </w14:solidFill>
                </w14:textFill>
              </w:rPr>
              <w:t>及散装</w:t>
            </w:r>
            <w:r>
              <w:rPr>
                <w:rFonts w:hint="default" w:ascii="Times New Roman" w:hAnsi="Times New Roman" w:eastAsia="宋体" w:cs="Times New Roman"/>
                <w:color w:val="000000" w:themeColor="text1"/>
                <w:sz w:val="24"/>
                <w14:textFill>
                  <w14:solidFill>
                    <w14:schemeClr w14:val="tx1"/>
                  </w14:solidFill>
                </w14:textFill>
              </w:rPr>
              <w:t>的方式堆放</w:t>
            </w:r>
            <w:r>
              <w:rPr>
                <w:rFonts w:hint="default" w:ascii="Times New Roman" w:hAnsi="Times New Roman" w:eastAsia="宋体" w:cs="Times New Roman"/>
                <w:color w:val="000000" w:themeColor="text1"/>
                <w:sz w:val="24"/>
                <w:lang w:eastAsia="zh-CN"/>
                <w14:textFill>
                  <w14:solidFill>
                    <w14:schemeClr w14:val="tx1"/>
                  </w14:solidFill>
                </w14:textFill>
              </w:rPr>
              <w:t>在锅炉房内，参照</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HYPERLINK "https://www.mee.gov.cn/xxgk2018/xxgk/xxgk01/202106/W020210624327149500026.pdf"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排放源统计调查产排污核算方法和系数手册</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中</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固体物料堆存颗粒物产排污核算系数手册</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围挡粉尘控制措施控制效率为</w:t>
            </w:r>
            <w:r>
              <w:rPr>
                <w:rFonts w:hint="default" w:ascii="Times New Roman" w:hAnsi="Times New Roman" w:eastAsia="宋体" w:cs="Times New Roman"/>
                <w:color w:val="000000" w:themeColor="text1"/>
                <w:sz w:val="24"/>
                <w:lang w:val="en-US" w:eastAsia="zh-CN"/>
                <w14:textFill>
                  <w14:solidFill>
                    <w14:schemeClr w14:val="tx1"/>
                  </w14:solidFill>
                </w14:textFill>
              </w:rPr>
              <w:t>60%，</w:t>
            </w:r>
            <w:r>
              <w:rPr>
                <w:rFonts w:hint="eastAsia" w:cs="Times New Roman"/>
                <w:color w:val="000000" w:themeColor="text1"/>
                <w:sz w:val="24"/>
                <w:lang w:val="en-US" w:eastAsia="zh-CN"/>
                <w14:textFill>
                  <w14:solidFill>
                    <w14:schemeClr w14:val="tx1"/>
                  </w14:solidFill>
                </w14:textFill>
              </w:rPr>
              <w:t>堆放时间每日按24h计，</w:t>
            </w:r>
            <w:r>
              <w:rPr>
                <w:rFonts w:hint="default" w:ascii="Times New Roman" w:hAnsi="Times New Roman" w:eastAsia="宋体" w:cs="Times New Roman"/>
                <w:color w:val="000000" w:themeColor="text1"/>
                <w:sz w:val="24"/>
                <w:lang w:val="en-US" w:eastAsia="zh-CN"/>
                <w14:textFill>
                  <w14:solidFill>
                    <w14:schemeClr w14:val="tx1"/>
                  </w14:solidFill>
                </w14:textFill>
              </w:rPr>
              <w:t>故本项目粉尘</w:t>
            </w:r>
            <w:r>
              <w:rPr>
                <w:rFonts w:hint="default" w:ascii="Times New Roman" w:hAnsi="Times New Roman" w:cs="Times New Roman"/>
                <w:color w:val="000000" w:themeColor="text1"/>
                <w:sz w:val="24"/>
                <w14:textFill>
                  <w14:solidFill>
                    <w14:schemeClr w14:val="tx1"/>
                  </w14:solidFill>
                </w14:textFill>
              </w:rPr>
              <w:t>排</w:t>
            </w:r>
            <w:r>
              <w:rPr>
                <w:rFonts w:hint="default" w:ascii="Times New Roman" w:hAnsi="Times New Roman" w:eastAsia="宋体" w:cs="Times New Roman"/>
                <w:color w:val="000000" w:themeColor="text1"/>
                <w:sz w:val="24"/>
                <w:lang w:eastAsia="zh-CN"/>
                <w14:textFill>
                  <w14:solidFill>
                    <w14:schemeClr w14:val="tx1"/>
                  </w14:solidFill>
                </w14:textFill>
              </w:rPr>
              <w:t>放量为</w:t>
            </w:r>
            <w:r>
              <w:rPr>
                <w:rFonts w:hint="default" w:ascii="Times New Roman" w:hAnsi="Times New Roman" w:eastAsia="宋体" w:cs="Times New Roman"/>
                <w:color w:val="000000" w:themeColor="text1"/>
                <w:sz w:val="24"/>
                <w:lang w:val="en-US" w:eastAsia="zh-CN"/>
                <w14:textFill>
                  <w14:solidFill>
                    <w14:schemeClr w14:val="tx1"/>
                  </w14:solidFill>
                </w14:textFill>
              </w:rPr>
              <w:t>0.10752t/a，0.0</w:t>
            </w:r>
            <w:r>
              <w:rPr>
                <w:rFonts w:hint="eastAsia" w:cs="Times New Roman"/>
                <w:color w:val="000000" w:themeColor="text1"/>
                <w:sz w:val="24"/>
                <w:lang w:val="en-US" w:eastAsia="zh-CN"/>
                <w14:textFill>
                  <w14:solidFill>
                    <w14:schemeClr w14:val="tx1"/>
                  </w14:solidFill>
                </w14:textFill>
              </w:rPr>
              <w:t>149</w:t>
            </w:r>
            <w:r>
              <w:rPr>
                <w:rFonts w:hint="default" w:ascii="Times New Roman" w:hAnsi="Times New Roman" w:eastAsia="宋体" w:cs="Times New Roman"/>
                <w:color w:val="000000" w:themeColor="text1"/>
                <w:sz w:val="24"/>
                <w:lang w:val="en-US" w:eastAsia="zh-CN"/>
                <w14:textFill>
                  <w14:solidFill>
                    <w14:schemeClr w14:val="tx1"/>
                  </w14:solidFill>
                </w14:textFill>
              </w:rPr>
              <w:t>kg/h。</w:t>
            </w:r>
          </w:p>
          <w:p w14:paraId="24FF61E0">
            <w:pPr>
              <w:pStyle w:val="51"/>
              <w:keepNext w:val="0"/>
              <w:keepLines/>
              <w:pageBreakBefore w:val="0"/>
              <w:kinsoku/>
              <w:overflowPunct/>
              <w:bidi w:val="0"/>
              <w:adjustRightInd/>
              <w:ind w:firstLine="480"/>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pPr>
            <w:r>
              <w:rPr>
                <w:rFonts w:hint="eastAsia" w:cs="Times New Roman" w:eastAsiaTheme="minorEastAsia"/>
                <w:b/>
                <w:bCs/>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t>异味</w:t>
            </w:r>
          </w:p>
          <w:p w14:paraId="1DEA077E">
            <w:pPr>
              <w:pStyle w:val="51"/>
              <w:keepNext w:val="0"/>
              <w:keepLines/>
              <w:pageBreakBefore w:val="0"/>
              <w:kinsoku/>
              <w:overflowPunct/>
              <w:bidi w:val="0"/>
              <w:adjustRightInd/>
              <w:ind w:firstLine="480"/>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现有项目</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在EPS泡沫颗粒生产过程中，会产生一定的特殊异味</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项目使用塑料颗粒均为新料，生产过程中会产生极少量的臭气，</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通过大气扩散和周边植被吸附后净化后，</w:t>
            </w:r>
            <w:r>
              <w:rPr>
                <w:rFonts w:hint="eastAsia" w:cs="Times New Roman" w:eastAsiaTheme="minorEastAsia"/>
                <w:color w:val="000000" w:themeColor="text1"/>
                <w:sz w:val="24"/>
                <w:szCs w:val="24"/>
                <w:highlight w:val="none"/>
                <w:lang w:val="en-US" w:eastAsia="zh-CN"/>
                <w14:textFill>
                  <w14:solidFill>
                    <w14:schemeClr w14:val="tx1"/>
                  </w14:solidFill>
                </w14:textFill>
              </w:rPr>
              <w:t>进行无组织排放</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异味</w:t>
            </w:r>
            <w:r>
              <w:rPr>
                <w:rFonts w:hint="eastAsia" w:ascii="Times New Roman" w:hAnsi="Times New Roman" w:eastAsia="宋体" w:cs="Times New Roman"/>
                <w:color w:val="000000" w:themeColor="text1"/>
                <w:lang w:val="en-US" w:eastAsia="zh-CN"/>
                <w14:textFill>
                  <w14:solidFill>
                    <w14:schemeClr w14:val="tx1"/>
                  </w14:solidFill>
                </w14:textFill>
              </w:rPr>
              <w:t>以臭气浓度来表征。臭气浓度无量纲，不进行定量分析</w:t>
            </w:r>
            <w:r>
              <w:rPr>
                <w:rFonts w:hint="eastAsia" w:cs="Times New Roman" w:eastAsiaTheme="minorEastAsia"/>
                <w:color w:val="000000" w:themeColor="text1"/>
                <w:sz w:val="24"/>
                <w:szCs w:val="24"/>
                <w:highlight w:val="none"/>
                <w:lang w:val="en-US" w:eastAsia="zh-CN"/>
                <w14:textFill>
                  <w14:solidFill>
                    <w14:schemeClr w14:val="tx1"/>
                  </w14:solidFill>
                </w14:textFill>
              </w:rPr>
              <w:t>。</w:t>
            </w:r>
          </w:p>
          <w:p w14:paraId="0045D86C">
            <w:pPr>
              <w:pStyle w:val="51"/>
              <w:keepNext w:val="0"/>
              <w:keepLines/>
              <w:pageBreakBefore w:val="0"/>
              <w:kinsoku/>
              <w:overflowPunct/>
              <w:bidi w:val="0"/>
              <w:adjustRightInd/>
              <w:ind w:firstLine="480"/>
              <w:rPr>
                <w:rFonts w:hint="eastAsia"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pPr>
            <w:r>
              <w:rPr>
                <w:rFonts w:hint="eastAsia" w:cs="Times New Roman" w:eastAsiaTheme="minorEastAsia"/>
                <w:b/>
                <w:bCs/>
                <w:color w:val="000000" w:themeColor="text1"/>
                <w:sz w:val="24"/>
                <w:szCs w:val="24"/>
                <w:highlight w:val="none"/>
                <w:lang w:val="en-US" w:eastAsia="zh-CN"/>
                <w14:textFill>
                  <w14:solidFill>
                    <w14:schemeClr w14:val="tx1"/>
                  </w14:solidFill>
                </w14:textFill>
              </w:rPr>
              <w:t>6</w:t>
            </w:r>
            <w:r>
              <w:rPr>
                <w:rFonts w:hint="eastAsia"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t>）厨房油烟</w:t>
            </w:r>
          </w:p>
          <w:p w14:paraId="1C15FCD3">
            <w:pPr>
              <w:tabs>
                <w:tab w:val="left" w:pos="567"/>
              </w:tabs>
              <w:snapToGrid w:val="0"/>
              <w:spacing w:line="360" w:lineRule="auto"/>
              <w:ind w:firstLine="480" w:firstLineChars="200"/>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根据调查，</w:t>
            </w:r>
            <w:r>
              <w:rPr>
                <w:rFonts w:hint="eastAsia" w:cs="Times New Roman"/>
                <w:color w:val="000000" w:themeColor="text1"/>
                <w:sz w:val="24"/>
                <w:lang w:eastAsia="zh-CN"/>
                <w14:textFill>
                  <w14:solidFill>
                    <w14:schemeClr w14:val="tx1"/>
                  </w14:solidFill>
                </w14:textFill>
              </w:rPr>
              <w:t>现有项目</w:t>
            </w:r>
            <w:r>
              <w:rPr>
                <w:rFonts w:hint="default" w:ascii="Times New Roman" w:hAnsi="Times New Roman" w:cs="Times New Roman"/>
                <w:color w:val="000000" w:themeColor="text1"/>
                <w:sz w:val="24"/>
                <w14:textFill>
                  <w14:solidFill>
                    <w14:schemeClr w14:val="tx1"/>
                  </w14:solidFill>
                </w14:textFill>
              </w:rPr>
              <w:t>设有1个食堂，食堂使用电、液化气等清洁能源作为燃料，食堂厨房炊事用灶的基准灶头数</w:t>
            </w:r>
            <w:r>
              <w:rPr>
                <w:rFonts w:hint="eastAsia"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个，食堂设置规模属于小型，</w:t>
            </w:r>
            <w:r>
              <w:rPr>
                <w:rFonts w:hint="eastAsia" w:cs="Times New Roman"/>
                <w:color w:val="000000" w:themeColor="text1"/>
                <w:sz w:val="24"/>
                <w:lang w:eastAsia="zh-CN"/>
                <w14:textFill>
                  <w14:solidFill>
                    <w14:schemeClr w14:val="tx1"/>
                  </w14:solidFill>
                </w14:textFill>
              </w:rPr>
              <w:t>现有项目</w:t>
            </w:r>
            <w:r>
              <w:rPr>
                <w:rFonts w:hint="eastAsia" w:ascii="Times New Roman" w:hAnsi="Times New Roman" w:cs="Times New Roman"/>
                <w:color w:val="000000" w:themeColor="text1"/>
                <w:sz w:val="24"/>
                <w:lang w:eastAsia="zh-CN"/>
                <w14:textFill>
                  <w14:solidFill>
                    <w14:schemeClr w14:val="tx1"/>
                  </w14:solidFill>
                </w14:textFill>
              </w:rPr>
              <w:t>劳动定员为</w:t>
            </w:r>
            <w:r>
              <w:rPr>
                <w:rFonts w:hint="eastAsia" w:ascii="Times New Roman" w:hAnsi="Times New Roman" w:cs="Times New Roman"/>
                <w:color w:val="000000" w:themeColor="text1"/>
                <w:sz w:val="24"/>
                <w:lang w:val="en-US" w:eastAsia="zh-CN"/>
                <w14:textFill>
                  <w14:solidFill>
                    <w14:schemeClr w14:val="tx1"/>
                  </w14:solidFill>
                </w14:textFill>
              </w:rPr>
              <w:t>12人</w:t>
            </w:r>
            <w:r>
              <w:rPr>
                <w:rFonts w:hint="eastAsia" w:cs="Times New Roman"/>
                <w:color w:val="000000" w:themeColor="text1"/>
                <w:sz w:val="24"/>
                <w:lang w:val="en-US" w:eastAsia="zh-CN"/>
                <w14:textFill>
                  <w14:solidFill>
                    <w14:schemeClr w14:val="tx1"/>
                  </w14:solidFill>
                </w14:textFill>
              </w:rPr>
              <w:t>。</w:t>
            </w:r>
          </w:p>
          <w:p w14:paraId="50D2E0C6">
            <w:pPr>
              <w:pStyle w:val="51"/>
              <w:keepNext w:val="0"/>
              <w:keepLines/>
              <w:pageBreakBefore w:val="0"/>
              <w:kinsoku/>
              <w:overflowPunct/>
              <w:bidi w:val="0"/>
              <w:adjustRightInd/>
              <w:ind w:firstLine="480"/>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年工作时间为300天（每天烹饪2h），根据《中国居民平衡膳食宝塔》，每人每天食用油不超过25g或30g，本次环评按照30g计，则本项目耗油量为0.36kg/d、0.108t/a。餐饮油烟挥发系数为2.83%，则项目食堂油烟排放量为0.00306t/a、0.0051kg/h。根据调查，厨房未设置油烟净化器。油烟经通风扇处理后排至外环境无组织排放。</w:t>
            </w:r>
          </w:p>
          <w:p w14:paraId="072D1C28">
            <w:pPr>
              <w:pStyle w:val="51"/>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color w:val="000000" w:themeColor="text1"/>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表</w:t>
            </w:r>
            <w:r>
              <w:rPr>
                <w:rFonts w:hint="eastAsia" w:cs="Times New Roman"/>
                <w:b/>
                <w:bCs/>
                <w:color w:val="000000" w:themeColor="text1"/>
                <w:sz w:val="21"/>
                <w:szCs w:val="21"/>
                <w:lang w:val="en-US" w:eastAsia="zh-CN"/>
                <w14:textFill>
                  <w14:solidFill>
                    <w14:schemeClr w14:val="tx1"/>
                  </w14:solidFill>
                </w14:textFill>
              </w:rPr>
              <w:t>2-15</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eastAsia" w:cs="Times New Roman"/>
                <w:b/>
                <w:bCs/>
                <w:color w:val="000000" w:themeColor="text1"/>
                <w:sz w:val="21"/>
                <w:szCs w:val="21"/>
                <w:lang w:val="en-US" w:eastAsia="zh-CN"/>
                <w14:textFill>
                  <w14:solidFill>
                    <w14:schemeClr w14:val="tx1"/>
                  </w14:solidFill>
                </w14:textFill>
              </w:rPr>
              <w:t>现有项目</w:t>
            </w:r>
            <w:r>
              <w:rPr>
                <w:rFonts w:hint="eastAsia" w:eastAsia="宋体" w:cs="Times New Roman"/>
                <w:b/>
                <w:bCs/>
                <w:color w:val="000000" w:themeColor="text1"/>
                <w:sz w:val="21"/>
                <w:szCs w:val="21"/>
                <w:lang w:val="en-US" w:eastAsia="zh-CN"/>
                <w14:textFill>
                  <w14:solidFill>
                    <w14:schemeClr w14:val="tx1"/>
                  </w14:solidFill>
                </w14:textFill>
              </w:rPr>
              <w:t>无</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组织废气源强一览表</w:t>
            </w:r>
          </w:p>
          <w:tbl>
            <w:tblPr>
              <w:tblStyle w:val="34"/>
              <w:tblW w:w="49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0"/>
              <w:gridCol w:w="1345"/>
              <w:gridCol w:w="1310"/>
              <w:gridCol w:w="1739"/>
              <w:gridCol w:w="1136"/>
              <w:gridCol w:w="1554"/>
            </w:tblGrid>
            <w:tr w14:paraId="38D5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0" w:type="pct"/>
                  <w:vMerge w:val="restart"/>
                  <w:noWrap w:val="0"/>
                  <w:vAlign w:val="center"/>
                </w:tcPr>
                <w:p w14:paraId="22556474">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产生环节</w:t>
                  </w:r>
                </w:p>
              </w:tc>
              <w:tc>
                <w:tcPr>
                  <w:tcW w:w="803" w:type="pct"/>
                  <w:vMerge w:val="restart"/>
                  <w:noWrap w:val="0"/>
                  <w:vAlign w:val="center"/>
                </w:tcPr>
                <w:p w14:paraId="6A536D70">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污染物种类</w:t>
                  </w:r>
                </w:p>
              </w:tc>
              <w:tc>
                <w:tcPr>
                  <w:tcW w:w="782" w:type="pct"/>
                  <w:vMerge w:val="restart"/>
                  <w:noWrap w:val="0"/>
                  <w:vAlign w:val="center"/>
                </w:tcPr>
                <w:p w14:paraId="31F0B2E5">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产生量t/a</w:t>
                  </w:r>
                </w:p>
              </w:tc>
              <w:tc>
                <w:tcPr>
                  <w:tcW w:w="1038" w:type="pct"/>
                  <w:vMerge w:val="restart"/>
                  <w:noWrap w:val="0"/>
                  <w:vAlign w:val="center"/>
                </w:tcPr>
                <w:p w14:paraId="1C2878A0">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治理措施</w:t>
                  </w:r>
                </w:p>
              </w:tc>
              <w:tc>
                <w:tcPr>
                  <w:tcW w:w="1605" w:type="pct"/>
                  <w:gridSpan w:val="2"/>
                  <w:noWrap w:val="0"/>
                  <w:vAlign w:val="center"/>
                </w:tcPr>
                <w:p w14:paraId="41AC889B">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排放情况</w:t>
                  </w:r>
                </w:p>
              </w:tc>
            </w:tr>
            <w:tr w14:paraId="6F60D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0" w:type="pct"/>
                  <w:vMerge w:val="continue"/>
                  <w:noWrap w:val="0"/>
                  <w:vAlign w:val="center"/>
                </w:tcPr>
                <w:p w14:paraId="0D486766">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p>
              </w:tc>
              <w:tc>
                <w:tcPr>
                  <w:tcW w:w="803" w:type="pct"/>
                  <w:vMerge w:val="continue"/>
                  <w:noWrap w:val="0"/>
                  <w:vAlign w:val="center"/>
                </w:tcPr>
                <w:p w14:paraId="4E614D66">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p>
              </w:tc>
              <w:tc>
                <w:tcPr>
                  <w:tcW w:w="782" w:type="pct"/>
                  <w:vMerge w:val="continue"/>
                  <w:noWrap w:val="0"/>
                  <w:vAlign w:val="center"/>
                </w:tcPr>
                <w:p w14:paraId="4791C834">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p>
              </w:tc>
              <w:tc>
                <w:tcPr>
                  <w:tcW w:w="1038" w:type="pct"/>
                  <w:vMerge w:val="continue"/>
                  <w:noWrap w:val="0"/>
                  <w:vAlign w:val="center"/>
                </w:tcPr>
                <w:p w14:paraId="10949DA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tc>
              <w:tc>
                <w:tcPr>
                  <w:tcW w:w="678" w:type="pct"/>
                  <w:noWrap w:val="0"/>
                  <w:vAlign w:val="center"/>
                </w:tcPr>
                <w:p w14:paraId="37164F7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排放量t/a</w:t>
                  </w:r>
                </w:p>
              </w:tc>
              <w:tc>
                <w:tcPr>
                  <w:tcW w:w="926" w:type="pct"/>
                  <w:noWrap w:val="0"/>
                  <w:vAlign w:val="center"/>
                </w:tcPr>
                <w:p w14:paraId="623F12F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速率kg/h</w:t>
                  </w:r>
                </w:p>
              </w:tc>
            </w:tr>
            <w:tr w14:paraId="287D4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0" w:type="pct"/>
                  <w:vMerge w:val="restart"/>
                  <w:noWrap w:val="0"/>
                  <w:vAlign w:val="center"/>
                </w:tcPr>
                <w:p w14:paraId="38FE1724">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发泡、流化干燥、成型、烘干工序</w:t>
                  </w:r>
                </w:p>
              </w:tc>
              <w:tc>
                <w:tcPr>
                  <w:tcW w:w="803" w:type="pct"/>
                  <w:noWrap w:val="0"/>
                  <w:vAlign w:val="center"/>
                </w:tcPr>
                <w:p w14:paraId="45E2E25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非甲烷总烃</w:t>
                  </w:r>
                </w:p>
              </w:tc>
              <w:tc>
                <w:tcPr>
                  <w:tcW w:w="782" w:type="pct"/>
                  <w:noWrap w:val="0"/>
                  <w:vAlign w:val="center"/>
                </w:tcPr>
                <w:p w14:paraId="5FF1181B">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0.204</w:t>
                  </w:r>
                </w:p>
              </w:tc>
              <w:tc>
                <w:tcPr>
                  <w:tcW w:w="1038" w:type="pct"/>
                  <w:vMerge w:val="restart"/>
                  <w:noWrap w:val="0"/>
                  <w:vAlign w:val="center"/>
                </w:tcPr>
                <w:p w14:paraId="564D0BC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车间加强通风、自然稀释扩散</w:t>
                  </w:r>
                </w:p>
              </w:tc>
              <w:tc>
                <w:tcPr>
                  <w:tcW w:w="678" w:type="pct"/>
                  <w:noWrap w:val="0"/>
                  <w:vAlign w:val="center"/>
                </w:tcPr>
                <w:p w14:paraId="19DACE08">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0.204</w:t>
                  </w:r>
                </w:p>
              </w:tc>
              <w:tc>
                <w:tcPr>
                  <w:tcW w:w="926" w:type="pct"/>
                  <w:noWrap w:val="0"/>
                  <w:vAlign w:val="center"/>
                </w:tcPr>
                <w:p w14:paraId="02B7673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0.085</w:t>
                  </w:r>
                </w:p>
              </w:tc>
            </w:tr>
            <w:tr w14:paraId="6774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70" w:type="pct"/>
                  <w:vMerge w:val="continue"/>
                  <w:noWrap w:val="0"/>
                  <w:vAlign w:val="center"/>
                </w:tcPr>
                <w:p w14:paraId="3371EB02">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p>
              </w:tc>
              <w:tc>
                <w:tcPr>
                  <w:tcW w:w="803" w:type="pct"/>
                  <w:noWrap w:val="0"/>
                  <w:vAlign w:val="center"/>
                </w:tcPr>
                <w:p w14:paraId="2F6D69B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甲苯</w:t>
                  </w:r>
                </w:p>
              </w:tc>
              <w:tc>
                <w:tcPr>
                  <w:tcW w:w="782" w:type="pct"/>
                  <w:noWrap w:val="0"/>
                  <w:vAlign w:val="center"/>
                </w:tcPr>
                <w:p w14:paraId="735AC2A1">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0.00066</w:t>
                  </w:r>
                </w:p>
              </w:tc>
              <w:tc>
                <w:tcPr>
                  <w:tcW w:w="1038" w:type="pct"/>
                  <w:vMerge w:val="continue"/>
                  <w:noWrap w:val="0"/>
                  <w:vAlign w:val="center"/>
                </w:tcPr>
                <w:p w14:paraId="324B0C1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678" w:type="pct"/>
                  <w:noWrap w:val="0"/>
                  <w:vAlign w:val="center"/>
                </w:tcPr>
                <w:p w14:paraId="19282F12">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0.00066</w:t>
                  </w:r>
                </w:p>
              </w:tc>
              <w:tc>
                <w:tcPr>
                  <w:tcW w:w="926" w:type="pct"/>
                  <w:noWrap w:val="0"/>
                  <w:vAlign w:val="center"/>
                </w:tcPr>
                <w:p w14:paraId="47DDD26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0.000275</w:t>
                  </w:r>
                </w:p>
              </w:tc>
            </w:tr>
            <w:tr w14:paraId="7C76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0" w:type="pct"/>
                  <w:vMerge w:val="continue"/>
                  <w:noWrap w:val="0"/>
                  <w:vAlign w:val="center"/>
                </w:tcPr>
                <w:p w14:paraId="5C6F122A">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p>
              </w:tc>
              <w:tc>
                <w:tcPr>
                  <w:tcW w:w="803" w:type="pct"/>
                  <w:noWrap w:val="0"/>
                  <w:vAlign w:val="center"/>
                </w:tcPr>
                <w:p w14:paraId="724B1AF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乙苯</w:t>
                  </w:r>
                </w:p>
              </w:tc>
              <w:tc>
                <w:tcPr>
                  <w:tcW w:w="782" w:type="pct"/>
                  <w:noWrap w:val="0"/>
                  <w:vAlign w:val="center"/>
                </w:tcPr>
                <w:p w14:paraId="2BA42D60">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0.00054</w:t>
                  </w:r>
                </w:p>
              </w:tc>
              <w:tc>
                <w:tcPr>
                  <w:tcW w:w="1038" w:type="pct"/>
                  <w:vMerge w:val="continue"/>
                  <w:noWrap w:val="0"/>
                  <w:vAlign w:val="center"/>
                </w:tcPr>
                <w:p w14:paraId="61A37F4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678" w:type="pct"/>
                  <w:noWrap w:val="0"/>
                  <w:vAlign w:val="center"/>
                </w:tcPr>
                <w:p w14:paraId="42B3202D">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0.00054</w:t>
                  </w:r>
                </w:p>
              </w:tc>
              <w:tc>
                <w:tcPr>
                  <w:tcW w:w="926" w:type="pct"/>
                  <w:noWrap w:val="0"/>
                  <w:vAlign w:val="center"/>
                </w:tcPr>
                <w:p w14:paraId="3F950A2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0.000225</w:t>
                  </w:r>
                </w:p>
              </w:tc>
            </w:tr>
            <w:tr w14:paraId="59CCD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0" w:type="pct"/>
                  <w:vMerge w:val="continue"/>
                  <w:noWrap w:val="0"/>
                  <w:vAlign w:val="center"/>
                </w:tcPr>
                <w:p w14:paraId="68642227">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p>
              </w:tc>
              <w:tc>
                <w:tcPr>
                  <w:tcW w:w="803" w:type="pct"/>
                  <w:noWrap w:val="0"/>
                  <w:vAlign w:val="center"/>
                </w:tcPr>
                <w:p w14:paraId="2045182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苯乙烯</w:t>
                  </w:r>
                </w:p>
              </w:tc>
              <w:tc>
                <w:tcPr>
                  <w:tcW w:w="782" w:type="pct"/>
                  <w:noWrap w:val="0"/>
                  <w:vAlign w:val="center"/>
                </w:tcPr>
                <w:p w14:paraId="192AE207">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0.018</w:t>
                  </w:r>
                </w:p>
              </w:tc>
              <w:tc>
                <w:tcPr>
                  <w:tcW w:w="1038" w:type="pct"/>
                  <w:vMerge w:val="continue"/>
                  <w:noWrap w:val="0"/>
                  <w:vAlign w:val="center"/>
                </w:tcPr>
                <w:p w14:paraId="61FB541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678" w:type="pct"/>
                  <w:noWrap w:val="0"/>
                  <w:vAlign w:val="center"/>
                </w:tcPr>
                <w:p w14:paraId="5790D885">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0.018</w:t>
                  </w:r>
                </w:p>
              </w:tc>
              <w:tc>
                <w:tcPr>
                  <w:tcW w:w="926" w:type="pct"/>
                  <w:noWrap w:val="0"/>
                  <w:vAlign w:val="center"/>
                </w:tcPr>
                <w:p w14:paraId="6DE5343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0.0075</w:t>
                  </w:r>
                </w:p>
              </w:tc>
            </w:tr>
            <w:tr w14:paraId="15634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770" w:type="pct"/>
                  <w:vMerge w:val="restart"/>
                  <w:noWrap w:val="0"/>
                  <w:vAlign w:val="center"/>
                </w:tcPr>
                <w:p w14:paraId="4B7215D9">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切割工序</w:t>
                  </w:r>
                </w:p>
              </w:tc>
              <w:tc>
                <w:tcPr>
                  <w:tcW w:w="803" w:type="pct"/>
                  <w:noWrap w:val="0"/>
                  <w:vAlign w:val="center"/>
                </w:tcPr>
                <w:p w14:paraId="0FF5C3F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非甲烷总烃</w:t>
                  </w:r>
                </w:p>
              </w:tc>
              <w:tc>
                <w:tcPr>
                  <w:tcW w:w="782" w:type="pct"/>
                  <w:noWrap w:val="0"/>
                  <w:vAlign w:val="center"/>
                </w:tcPr>
                <w:p w14:paraId="03CD7276">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0.0228</w:t>
                  </w:r>
                </w:p>
              </w:tc>
              <w:tc>
                <w:tcPr>
                  <w:tcW w:w="1038" w:type="pct"/>
                  <w:vMerge w:val="restart"/>
                  <w:noWrap w:val="0"/>
                  <w:vAlign w:val="center"/>
                </w:tcPr>
                <w:p w14:paraId="3487520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车间加强通风、自然稀释扩散</w:t>
                  </w:r>
                </w:p>
              </w:tc>
              <w:tc>
                <w:tcPr>
                  <w:tcW w:w="678" w:type="pct"/>
                  <w:noWrap w:val="0"/>
                  <w:vAlign w:val="center"/>
                </w:tcPr>
                <w:p w14:paraId="5E53D785">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0.0228</w:t>
                  </w:r>
                </w:p>
              </w:tc>
              <w:tc>
                <w:tcPr>
                  <w:tcW w:w="926" w:type="pct"/>
                  <w:noWrap w:val="0"/>
                  <w:vAlign w:val="center"/>
                </w:tcPr>
                <w:p w14:paraId="315E4C3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0.0095</w:t>
                  </w:r>
                </w:p>
              </w:tc>
            </w:tr>
            <w:tr w14:paraId="31638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0" w:type="pct"/>
                  <w:vMerge w:val="continue"/>
                  <w:noWrap w:val="0"/>
                  <w:vAlign w:val="center"/>
                </w:tcPr>
                <w:p w14:paraId="3A5F42BC">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p>
              </w:tc>
              <w:tc>
                <w:tcPr>
                  <w:tcW w:w="803" w:type="pct"/>
                  <w:noWrap w:val="0"/>
                  <w:vAlign w:val="center"/>
                </w:tcPr>
                <w:p w14:paraId="48F40E0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甲苯</w:t>
                  </w:r>
                </w:p>
              </w:tc>
              <w:tc>
                <w:tcPr>
                  <w:tcW w:w="782" w:type="pct"/>
                  <w:noWrap w:val="0"/>
                  <w:vAlign w:val="center"/>
                </w:tcPr>
                <w:p w14:paraId="66B3FE06">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0.0000528</w:t>
                  </w:r>
                </w:p>
              </w:tc>
              <w:tc>
                <w:tcPr>
                  <w:tcW w:w="1038" w:type="pct"/>
                  <w:vMerge w:val="continue"/>
                  <w:noWrap w:val="0"/>
                  <w:vAlign w:val="center"/>
                </w:tcPr>
                <w:p w14:paraId="7EC878C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678" w:type="pct"/>
                  <w:noWrap w:val="0"/>
                  <w:vAlign w:val="center"/>
                </w:tcPr>
                <w:p w14:paraId="3CDEB053">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0.0000528</w:t>
                  </w:r>
                </w:p>
              </w:tc>
              <w:tc>
                <w:tcPr>
                  <w:tcW w:w="926" w:type="pct"/>
                  <w:noWrap w:val="0"/>
                  <w:vAlign w:val="center"/>
                </w:tcPr>
                <w:p w14:paraId="28CFD6B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0.000022</w:t>
                  </w:r>
                </w:p>
              </w:tc>
            </w:tr>
            <w:tr w14:paraId="0D7AE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0" w:type="pct"/>
                  <w:vMerge w:val="continue"/>
                  <w:noWrap w:val="0"/>
                  <w:vAlign w:val="center"/>
                </w:tcPr>
                <w:p w14:paraId="75C6C97D">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p>
              </w:tc>
              <w:tc>
                <w:tcPr>
                  <w:tcW w:w="803" w:type="pct"/>
                  <w:noWrap w:val="0"/>
                  <w:vAlign w:val="center"/>
                </w:tcPr>
                <w:p w14:paraId="06E25F5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乙苯</w:t>
                  </w:r>
                </w:p>
              </w:tc>
              <w:tc>
                <w:tcPr>
                  <w:tcW w:w="782" w:type="pct"/>
                  <w:noWrap w:val="0"/>
                  <w:vAlign w:val="center"/>
                </w:tcPr>
                <w:p w14:paraId="1BA99633">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0.0000432</w:t>
                  </w:r>
                </w:p>
              </w:tc>
              <w:tc>
                <w:tcPr>
                  <w:tcW w:w="1038" w:type="pct"/>
                  <w:vMerge w:val="continue"/>
                  <w:noWrap w:val="0"/>
                  <w:vAlign w:val="center"/>
                </w:tcPr>
                <w:p w14:paraId="01CA8FA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678" w:type="pct"/>
                  <w:noWrap w:val="0"/>
                  <w:vAlign w:val="center"/>
                </w:tcPr>
                <w:p w14:paraId="796C8A4F">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0.0000432</w:t>
                  </w:r>
                </w:p>
              </w:tc>
              <w:tc>
                <w:tcPr>
                  <w:tcW w:w="926" w:type="pct"/>
                  <w:noWrap w:val="0"/>
                  <w:vAlign w:val="center"/>
                </w:tcPr>
                <w:p w14:paraId="4857CF0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0.000018</w:t>
                  </w:r>
                </w:p>
              </w:tc>
            </w:tr>
            <w:tr w14:paraId="6889D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0" w:type="pct"/>
                  <w:noWrap w:val="0"/>
                  <w:vAlign w:val="center"/>
                </w:tcPr>
                <w:p w14:paraId="115AD462">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异味</w:t>
                  </w:r>
                </w:p>
              </w:tc>
              <w:tc>
                <w:tcPr>
                  <w:tcW w:w="803" w:type="pct"/>
                  <w:noWrap w:val="0"/>
                  <w:vAlign w:val="center"/>
                </w:tcPr>
                <w:p w14:paraId="0A46E673">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臭气浓度</w:t>
                  </w:r>
                </w:p>
              </w:tc>
              <w:tc>
                <w:tcPr>
                  <w:tcW w:w="782" w:type="pct"/>
                  <w:noWrap w:val="0"/>
                  <w:vAlign w:val="center"/>
                </w:tcPr>
                <w:p w14:paraId="4F4642C4">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无量纲</w:t>
                  </w:r>
                </w:p>
              </w:tc>
              <w:tc>
                <w:tcPr>
                  <w:tcW w:w="1038" w:type="pct"/>
                  <w:noWrap w:val="0"/>
                  <w:vAlign w:val="center"/>
                </w:tcPr>
                <w:p w14:paraId="218BE44D">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车间加强通风、自然稀释扩散</w:t>
                  </w:r>
                </w:p>
              </w:tc>
              <w:tc>
                <w:tcPr>
                  <w:tcW w:w="678" w:type="pct"/>
                  <w:noWrap w:val="0"/>
                  <w:vAlign w:val="center"/>
                </w:tcPr>
                <w:p w14:paraId="65C270A2">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926" w:type="pct"/>
                  <w:noWrap w:val="0"/>
                  <w:vAlign w:val="center"/>
                </w:tcPr>
                <w:p w14:paraId="34972819">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74383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0" w:type="pct"/>
                  <w:noWrap w:val="0"/>
                  <w:vAlign w:val="center"/>
                </w:tcPr>
                <w:p w14:paraId="7CFFD5C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燃煤</w:t>
                  </w:r>
                  <w:r>
                    <w:rPr>
                      <w:rFonts w:hint="eastAsia" w:ascii="Times New Roman" w:hAnsi="Times New Roman" w:eastAsia="宋体" w:cs="Times New Roman"/>
                      <w:color w:val="000000" w:themeColor="text1"/>
                      <w:lang w:val="en-US" w:eastAsia="zh-CN"/>
                      <w14:textFill>
                        <w14:solidFill>
                          <w14:schemeClr w14:val="tx1"/>
                        </w14:solidFill>
                      </w14:textFill>
                    </w:rPr>
                    <w:t>堆放粉尘</w:t>
                  </w:r>
                </w:p>
              </w:tc>
              <w:tc>
                <w:tcPr>
                  <w:tcW w:w="803" w:type="pct"/>
                  <w:noWrap w:val="0"/>
                  <w:vAlign w:val="center"/>
                </w:tcPr>
                <w:p w14:paraId="5978684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颗粒物</w:t>
                  </w:r>
                </w:p>
              </w:tc>
              <w:tc>
                <w:tcPr>
                  <w:tcW w:w="782" w:type="pct"/>
                  <w:noWrap w:val="0"/>
                  <w:vAlign w:val="center"/>
                </w:tcPr>
                <w:p w14:paraId="448FEB7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0.2688</w:t>
                  </w:r>
                </w:p>
              </w:tc>
              <w:tc>
                <w:tcPr>
                  <w:tcW w:w="1038" w:type="pct"/>
                  <w:noWrap w:val="0"/>
                  <w:vAlign w:val="center"/>
                </w:tcPr>
                <w:p w14:paraId="47F60BC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燃煤</w:t>
                  </w:r>
                  <w:r>
                    <w:rPr>
                      <w:rFonts w:hint="default" w:ascii="Times New Roman" w:hAnsi="Times New Roman" w:eastAsia="宋体" w:cs="Times New Roman"/>
                      <w:color w:val="000000" w:themeColor="text1"/>
                      <w:lang w:val="en-US" w:eastAsia="zh-CN"/>
                      <w14:textFill>
                        <w14:solidFill>
                          <w14:schemeClr w14:val="tx1"/>
                        </w14:solidFill>
                      </w14:textFill>
                    </w:rPr>
                    <w:t>以袋装的方式堆放在锅炉房内，粉尘控制措施控制效率为60%</w:t>
                  </w:r>
                </w:p>
              </w:tc>
              <w:tc>
                <w:tcPr>
                  <w:tcW w:w="678" w:type="pct"/>
                  <w:noWrap w:val="0"/>
                  <w:vAlign w:val="center"/>
                </w:tcPr>
                <w:p w14:paraId="122EBFD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0.10752</w:t>
                  </w:r>
                </w:p>
              </w:tc>
              <w:tc>
                <w:tcPr>
                  <w:tcW w:w="926" w:type="pct"/>
                  <w:noWrap w:val="0"/>
                  <w:vAlign w:val="center"/>
                </w:tcPr>
                <w:p w14:paraId="3066301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0.0149</w:t>
                  </w:r>
                </w:p>
              </w:tc>
            </w:tr>
            <w:tr w14:paraId="4B975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0" w:type="pct"/>
                  <w:noWrap w:val="0"/>
                  <w:vAlign w:val="center"/>
                </w:tcPr>
                <w:p w14:paraId="38346071">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厨房油烟</w:t>
                  </w:r>
                </w:p>
              </w:tc>
              <w:tc>
                <w:tcPr>
                  <w:tcW w:w="803" w:type="pct"/>
                  <w:noWrap w:val="0"/>
                  <w:vAlign w:val="center"/>
                </w:tcPr>
                <w:p w14:paraId="575F291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油烟</w:t>
                  </w:r>
                </w:p>
              </w:tc>
              <w:tc>
                <w:tcPr>
                  <w:tcW w:w="782" w:type="pct"/>
                  <w:noWrap w:val="0"/>
                  <w:vAlign w:val="center"/>
                </w:tcPr>
                <w:p w14:paraId="39DEAE4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0.00306</w:t>
                  </w:r>
                </w:p>
              </w:tc>
              <w:tc>
                <w:tcPr>
                  <w:tcW w:w="1038" w:type="pct"/>
                  <w:noWrap w:val="0"/>
                  <w:vAlign w:val="center"/>
                </w:tcPr>
                <w:p w14:paraId="408255B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加强通风、自然稀释扩散</w:t>
                  </w:r>
                </w:p>
              </w:tc>
              <w:tc>
                <w:tcPr>
                  <w:tcW w:w="678" w:type="pct"/>
                  <w:noWrap w:val="0"/>
                  <w:vAlign w:val="center"/>
                </w:tcPr>
                <w:p w14:paraId="54335570">
                  <w:pPr>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0.00306</w:t>
                  </w:r>
                </w:p>
              </w:tc>
              <w:tc>
                <w:tcPr>
                  <w:tcW w:w="926" w:type="pct"/>
                  <w:noWrap w:val="0"/>
                  <w:vAlign w:val="center"/>
                </w:tcPr>
                <w:p w14:paraId="0FD58DA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0.0051</w:t>
                  </w:r>
                </w:p>
              </w:tc>
            </w:tr>
          </w:tbl>
          <w:p w14:paraId="4BD5A135">
            <w:pPr>
              <w:pStyle w:val="5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w:t>
            </w:r>
            <w:r>
              <w:rPr>
                <w:rFonts w:hint="eastAsia" w:cs="Times New Roman"/>
                <w:color w:val="000000" w:themeColor="text1"/>
                <w:sz w:val="24"/>
                <w:szCs w:val="24"/>
                <w:lang w:val="en-US" w:eastAsia="zh-CN"/>
                <w14:textFill>
                  <w14:solidFill>
                    <w14:schemeClr w14:val="tx1"/>
                  </w14:solidFill>
                </w14:textFill>
              </w:rPr>
              <w:t>现有项目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竣工验收监测结果，厂界无组织颗粒物、非甲烷总烃</w:t>
            </w:r>
            <w:r>
              <w:rPr>
                <w:rFonts w:hint="eastAsia" w:cs="Times New Roman"/>
                <w:color w:val="000000" w:themeColor="text1"/>
                <w:sz w:val="24"/>
                <w:szCs w:val="24"/>
                <w:lang w:val="en-US" w:eastAsia="zh-CN"/>
                <w14:textFill>
                  <w14:solidFill>
                    <w14:schemeClr w14:val="tx1"/>
                  </w14:solidFill>
                </w14:textFill>
              </w:rPr>
              <w:t>能够</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《合成树脂工业污染物排放标准》</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GB31572-2015</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表9标准限值</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（颗粒</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物≤1</w:t>
            </w:r>
            <w:r>
              <w:rPr>
                <w:b w:val="0"/>
                <w:bCs w:val="0"/>
                <w:color w:val="000000" w:themeColor="text1"/>
                <w:sz w:val="24"/>
                <w:szCs w:val="24"/>
                <w14:textFill>
                  <w14:solidFill>
                    <w14:schemeClr w14:val="tx1"/>
                  </w14:solidFill>
                </w14:textFill>
              </w:rPr>
              <w:t>mg/m</w:t>
            </w:r>
            <w:r>
              <w:rPr>
                <w:b w:val="0"/>
                <w:bCs w:val="0"/>
                <w:color w:val="000000" w:themeColor="text1"/>
                <w:sz w:val="24"/>
                <w:szCs w:val="24"/>
                <w:vertAlign w:val="superscript"/>
                <w14:textFill>
                  <w14:solidFill>
                    <w14:schemeClr w14:val="tx1"/>
                  </w14:solidFill>
                </w14:textFill>
              </w:rPr>
              <w:t>3</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，非甲烷总烃≤4</w:t>
            </w:r>
            <w:r>
              <w:rPr>
                <w:b w:val="0"/>
                <w:bCs w:val="0"/>
                <w:color w:val="000000" w:themeColor="text1"/>
                <w:sz w:val="24"/>
                <w:szCs w:val="24"/>
                <w14:textFill>
                  <w14:solidFill>
                    <w14:schemeClr w14:val="tx1"/>
                  </w14:solidFill>
                </w14:textFill>
              </w:rPr>
              <w:t>mg/m</w:t>
            </w:r>
            <w:r>
              <w:rPr>
                <w:b w:val="0"/>
                <w:bCs w:val="0"/>
                <w:color w:val="000000" w:themeColor="text1"/>
                <w:sz w:val="24"/>
                <w:szCs w:val="24"/>
                <w:vertAlign w:val="superscript"/>
                <w14:textFill>
                  <w14:solidFill>
                    <w14:schemeClr w14:val="tx1"/>
                  </w14:solidFill>
                </w14:textFill>
              </w:rPr>
              <w:t>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p>
          <w:p w14:paraId="07AF600F">
            <w:pPr>
              <w:pStyle w:val="18"/>
              <w:adjustRightInd/>
              <w:spacing w:line="360" w:lineRule="auto"/>
              <w:ind w:firstLine="482" w:firstLineChars="200"/>
              <w:rPr>
                <w:rFonts w:hint="eastAsia" w:ascii="Times New Roman" w:hAnsi="Courier New" w:eastAsia="宋体" w:cs="Times New Roman"/>
                <w:b/>
                <w:bCs w:val="0"/>
                <w:color w:val="000000" w:themeColor="text1"/>
                <w:lang w:val="en-US" w:eastAsia="zh-CN"/>
                <w14:textFill>
                  <w14:solidFill>
                    <w14:schemeClr w14:val="tx1"/>
                  </w14:solidFill>
                </w14:textFill>
              </w:rPr>
            </w:pPr>
            <w:r>
              <w:rPr>
                <w:rFonts w:hint="eastAsia" w:ascii="Times New Roman" w:hAnsi="Courier New" w:eastAsia="宋体" w:cs="Times New Roman"/>
                <w:b/>
                <w:bCs w:val="0"/>
                <w:color w:val="000000" w:themeColor="text1"/>
                <w:lang w:val="en-US" w:eastAsia="zh-CN"/>
                <w14:textFill>
                  <w14:solidFill>
                    <w14:schemeClr w14:val="tx1"/>
                  </w14:solidFill>
                </w14:textFill>
              </w:rPr>
              <w:t>（2）废水</w:t>
            </w:r>
          </w:p>
          <w:p w14:paraId="14DA656E">
            <w:pPr>
              <w:pStyle w:val="5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Times New Roman" w:cs="Times New Roman"/>
                <w:color w:val="000000" w:themeColor="text1"/>
                <w:kern w:val="0"/>
                <w:sz w:val="24"/>
                <w:lang w:val="en-US" w:eastAsia="zh-CN" w:bidi="ar"/>
                <w14:textFill>
                  <w14:solidFill>
                    <w14:schemeClr w14:val="tx1"/>
                  </w14:solidFill>
                </w14:textFill>
              </w:rPr>
            </w:pPr>
            <w:r>
              <w:rPr>
                <w:rFonts w:hint="eastAsia" w:eastAsia="Times New Roman" w:cs="Times New Roman"/>
                <w:color w:val="000000" w:themeColor="text1"/>
                <w:kern w:val="0"/>
                <w:sz w:val="24"/>
                <w:lang w:val="en-US" w:eastAsia="zh-CN" w:bidi="ar"/>
                <w14:textFill>
                  <w14:solidFill>
                    <w14:schemeClr w14:val="tx1"/>
                  </w14:solidFill>
                </w14:textFill>
              </w:rPr>
              <w:t>现有项目</w:t>
            </w:r>
            <w:r>
              <w:rPr>
                <w:rFonts w:hint="default" w:ascii="Times New Roman" w:hAnsi="Times New Roman" w:cs="Times New Roman" w:eastAsiaTheme="minorEastAsia"/>
                <w:color w:val="000000" w:themeColor="text1"/>
                <w14:textFill>
                  <w14:solidFill>
                    <w14:schemeClr w14:val="tx1"/>
                  </w14:solidFill>
                </w14:textFill>
              </w:rPr>
              <w:t>营期废水主要为生产废水和</w:t>
            </w:r>
            <w:r>
              <w:rPr>
                <w:rFonts w:hint="default" w:ascii="Times New Roman" w:hAnsi="Times New Roman" w:cs="Times New Roman" w:eastAsiaTheme="minorEastAsia"/>
                <w:color w:val="000000" w:themeColor="text1"/>
                <w:lang w:val="en-US" w:eastAsia="zh-CN"/>
                <w14:textFill>
                  <w14:solidFill>
                    <w14:schemeClr w14:val="tx1"/>
                  </w14:solidFill>
                </w14:textFill>
              </w:rPr>
              <w:t>生活污水</w:t>
            </w:r>
            <w:r>
              <w:rPr>
                <w:rFonts w:hint="default" w:ascii="Times New Roman" w:hAnsi="Times New Roman" w:cs="Times New Roman" w:eastAsiaTheme="minorEastAsia"/>
                <w:color w:val="000000" w:themeColor="text1"/>
                <w14:textFill>
                  <w14:solidFill>
                    <w14:schemeClr w14:val="tx1"/>
                  </w14:solidFill>
                </w14:textFill>
              </w:rPr>
              <w:t>，项目废水产排</w:t>
            </w:r>
            <w:r>
              <w:rPr>
                <w:rFonts w:hint="default" w:ascii="Times New Roman" w:hAnsi="Times New Roman" w:cs="Times New Roman" w:eastAsiaTheme="minorEastAsia"/>
                <w:color w:val="000000" w:themeColor="text1"/>
                <w:lang w:eastAsia="zh-CN"/>
                <w14:textFill>
                  <w14:solidFill>
                    <w14:schemeClr w14:val="tx1"/>
                  </w14:solidFill>
                </w14:textFill>
              </w:rPr>
              <w:t>情况</w:t>
            </w:r>
            <w:r>
              <w:rPr>
                <w:rFonts w:hint="default" w:ascii="Times New Roman" w:hAnsi="Times New Roman" w:cs="Times New Roman" w:eastAsiaTheme="minorEastAsia"/>
                <w:color w:val="000000" w:themeColor="text1"/>
                <w14:textFill>
                  <w14:solidFill>
                    <w14:schemeClr w14:val="tx1"/>
                  </w14:solidFill>
                </w14:textFill>
              </w:rPr>
              <w:t>如下</w:t>
            </w:r>
          </w:p>
          <w:p w14:paraId="25F45948">
            <w:pPr>
              <w:keepNext w:val="0"/>
              <w:keepLines w:val="0"/>
              <w:pageBreakBefore w:val="0"/>
              <w:widowControl w:val="0"/>
              <w:kinsoku/>
              <w:wordWrap w:val="0"/>
              <w:overflowPunct/>
              <w:topLinePunct/>
              <w:autoSpaceDE/>
              <w:autoSpaceDN/>
              <w:bidi w:val="0"/>
              <w:adjustRightInd/>
              <w:spacing w:line="360" w:lineRule="auto"/>
              <w:ind w:firstLine="482" w:firstLineChars="20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1）生活污水</w:t>
            </w:r>
          </w:p>
          <w:p w14:paraId="4BAACB8D">
            <w:pPr>
              <w:keepNext w:val="0"/>
              <w:pageBreakBefore w:val="0"/>
              <w:kinsoku/>
              <w:overflowPunct/>
              <w:topLinePunct w:val="0"/>
              <w:bidi w:val="0"/>
              <w:adjustRightInd/>
              <w:snapToGrid/>
              <w:spacing w:line="360" w:lineRule="auto"/>
              <w:ind w:left="0" w:leftChars="0" w:right="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根据调查，厂区</w:t>
            </w:r>
            <w:r>
              <w:rPr>
                <w:rFonts w:hint="eastAsia" w:ascii="Times New Roman" w:hAnsi="Times New Roman" w:eastAsia="宋体" w:cs="Times New Roman"/>
                <w:color w:val="000000" w:themeColor="text1"/>
                <w:sz w:val="24"/>
                <w:lang w:val="en-US" w:eastAsia="zh-CN"/>
                <w14:textFill>
                  <w14:solidFill>
                    <w14:schemeClr w14:val="tx1"/>
                  </w14:solidFill>
                </w14:textFill>
              </w:rPr>
              <w:t>现有员工为12人，</w:t>
            </w:r>
            <w:r>
              <w:rPr>
                <w:rFonts w:hint="default" w:ascii="Times New Roman" w:hAnsi="Times New Roman" w:eastAsia="宋体" w:cs="Times New Roman"/>
                <w:color w:val="000000" w:themeColor="text1"/>
                <w:sz w:val="24"/>
                <w:lang w:val="en-US" w:eastAsia="zh-CN"/>
                <w14:textFill>
                  <w14:solidFill>
                    <w14:schemeClr w14:val="tx1"/>
                  </w14:solidFill>
                </w14:textFill>
              </w:rPr>
              <w:t>员工均为周边村庄人员，在厂区内</w:t>
            </w:r>
            <w:r>
              <w:rPr>
                <w:rFonts w:hint="eastAsia" w:ascii="Times New Roman" w:hAnsi="Times New Roman" w:eastAsia="宋体" w:cs="Times New Roman"/>
                <w:color w:val="000000" w:themeColor="text1"/>
                <w:sz w:val="24"/>
                <w:lang w:val="en-US" w:eastAsia="zh-CN"/>
                <w14:textFill>
                  <w14:solidFill>
                    <w14:schemeClr w14:val="tx1"/>
                  </w14:solidFill>
                </w14:textFill>
              </w:rPr>
              <w:t>用餐，不在厂区内住宿。</w:t>
            </w:r>
          </w:p>
          <w:p w14:paraId="77692AD5">
            <w:pPr>
              <w:pageBreakBefore w:val="0"/>
              <w:kinsoku/>
              <w:overflowPunct/>
              <w:topLinePunct w:val="0"/>
              <w:bidi w:val="0"/>
              <w:spacing w:line="360" w:lineRule="auto"/>
              <w:ind w:left="0" w:leftChars="0" w:right="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参照《云南省地方用水定额标准》（DB53/T168-2019）</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表13农村居民生活用水定额</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，员工生活用水按</w:t>
            </w:r>
            <w:r>
              <w:rPr>
                <w:rFonts w:hint="eastAsia" w:ascii="Times New Roman" w:hAnsi="Times New Roman" w:eastAsia="宋体" w:cs="Times New Roman"/>
                <w:color w:val="000000" w:themeColor="text1"/>
                <w:sz w:val="24"/>
                <w:lang w:val="en-US" w:eastAsia="zh-CN"/>
                <w14:textFill>
                  <w14:solidFill>
                    <w14:schemeClr w14:val="tx1"/>
                  </w14:solidFill>
                </w14:textFill>
              </w:rPr>
              <w:t>65</w:t>
            </w:r>
            <w:r>
              <w:rPr>
                <w:rFonts w:hint="default" w:ascii="Times New Roman" w:hAnsi="Times New Roman" w:eastAsia="宋体" w:cs="Times New Roman"/>
                <w:color w:val="000000" w:themeColor="text1"/>
                <w:sz w:val="24"/>
                <w:lang w:val="en-US" w:eastAsia="zh-CN"/>
                <w14:textFill>
                  <w14:solidFill>
                    <w14:schemeClr w14:val="tx1"/>
                  </w14:solidFill>
                </w14:textFill>
              </w:rPr>
              <w:t>L/人·d计，项目年工作</w:t>
            </w:r>
            <w:r>
              <w:rPr>
                <w:rFonts w:hint="eastAsia" w:ascii="Times New Roman" w:hAnsi="Times New Roman" w:eastAsia="宋体" w:cs="Times New Roman"/>
                <w:color w:val="000000" w:themeColor="text1"/>
                <w:sz w:val="24"/>
                <w:lang w:val="en-US" w:eastAsia="zh-CN"/>
                <w14:textFill>
                  <w14:solidFill>
                    <w14:schemeClr w14:val="tx1"/>
                  </w14:solidFill>
                </w14:textFill>
              </w:rPr>
              <w:t>30</w:t>
            </w:r>
            <w:r>
              <w:rPr>
                <w:rFonts w:hint="default" w:ascii="Times New Roman" w:hAnsi="Times New Roman" w:eastAsia="宋体" w:cs="Times New Roman"/>
                <w:color w:val="000000" w:themeColor="text1"/>
                <w:sz w:val="24"/>
                <w:lang w:val="en-US" w:eastAsia="zh-CN"/>
                <w14:textFill>
                  <w14:solidFill>
                    <w14:schemeClr w14:val="tx1"/>
                  </w14:solidFill>
                </w14:textFill>
              </w:rPr>
              <w:t>0天，则用水量为0.</w:t>
            </w:r>
            <w:r>
              <w:rPr>
                <w:rFonts w:hint="eastAsia" w:ascii="Times New Roman" w:hAnsi="Times New Roman" w:eastAsia="宋体" w:cs="Times New Roman"/>
                <w:color w:val="000000" w:themeColor="text1"/>
                <w:sz w:val="24"/>
                <w:lang w:val="en-US" w:eastAsia="zh-CN"/>
                <w14:textFill>
                  <w14:solidFill>
                    <w14:schemeClr w14:val="tx1"/>
                  </w14:solidFill>
                </w14:textFill>
              </w:rPr>
              <w:t>78</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/d，</w:t>
            </w:r>
            <w:r>
              <w:rPr>
                <w:rFonts w:hint="eastAsia" w:ascii="Times New Roman" w:hAnsi="Times New Roman" w:eastAsia="宋体" w:cs="Times New Roman"/>
                <w:color w:val="000000" w:themeColor="text1"/>
                <w:sz w:val="24"/>
                <w:lang w:val="en-US" w:eastAsia="zh-CN"/>
                <w14:textFill>
                  <w14:solidFill>
                    <w14:schemeClr w14:val="tx1"/>
                  </w14:solidFill>
                </w14:textFill>
              </w:rPr>
              <w:t>234</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/a；污水量按用水量80%计，则本项目生活污水产生量为0.</w:t>
            </w:r>
            <w:r>
              <w:rPr>
                <w:rFonts w:hint="eastAsia" w:ascii="Times New Roman" w:hAnsi="Times New Roman" w:eastAsia="宋体" w:cs="Times New Roman"/>
                <w:color w:val="000000" w:themeColor="text1"/>
                <w:sz w:val="24"/>
                <w:lang w:val="en-US" w:eastAsia="zh-CN"/>
                <w14:textFill>
                  <w14:solidFill>
                    <w14:schemeClr w14:val="tx1"/>
                  </w14:solidFill>
                </w14:textFill>
              </w:rPr>
              <w:t>624</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/d，187.2m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w:t>
            </w:r>
            <w:r>
              <w:rPr>
                <w:rFonts w:hint="default" w:ascii="Times New Roman" w:hAnsi="Times New Roman" w:cs="Times New Roman"/>
                <w:color w:val="000000" w:themeColor="text1"/>
                <w:sz w:val="24"/>
                <w:lang w:eastAsia="zh-CN"/>
                <w14:textFill>
                  <w14:solidFill>
                    <w14:schemeClr w14:val="tx1"/>
                  </w14:solidFill>
                </w14:textFill>
              </w:rPr>
              <w:t>。</w:t>
            </w:r>
          </w:p>
          <w:p w14:paraId="4B09F9B3">
            <w:pPr>
              <w:pStyle w:val="5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现有员工生活污水经隔油池、化粪池处理后用于厂区内菜地浇洒</w:t>
            </w:r>
            <w:r>
              <w:rPr>
                <w:rFonts w:hint="eastAsia" w:cs="Times New Roman"/>
                <w:color w:val="000000" w:themeColor="text1"/>
                <w:sz w:val="24"/>
                <w:lang w:val="en-US" w:eastAsia="zh-CN"/>
                <w14:textFill>
                  <w14:solidFill>
                    <w14:schemeClr w14:val="tx1"/>
                  </w14:solidFill>
                </w14:textFill>
              </w:rPr>
              <w:t>。</w:t>
            </w:r>
          </w:p>
          <w:p w14:paraId="3D06AD3C">
            <w:pPr>
              <w:keepNext w:val="0"/>
              <w:pageBreakBefore w:val="0"/>
              <w:kinsoku/>
              <w:overflowPunct/>
              <w:topLinePunct w:val="0"/>
              <w:bidi w:val="0"/>
              <w:adjustRightInd/>
              <w:snapToGrid/>
              <w:spacing w:line="360" w:lineRule="auto"/>
              <w:ind w:left="0" w:leftChars="0" w:right="0" w:firstLine="482" w:firstLineChars="200"/>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2）生产废水</w:t>
            </w:r>
          </w:p>
          <w:p w14:paraId="4F1DD21B">
            <w:pPr>
              <w:pStyle w:val="5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color w:val="000000" w:themeColor="text1"/>
                <w:lang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现有项目</w:t>
            </w:r>
            <w:r>
              <w:rPr>
                <w:rFonts w:hint="default" w:ascii="Times New Roman" w:hAnsi="Times New Roman" w:eastAsia="宋体" w:cs="Times New Roman"/>
                <w:color w:val="000000" w:themeColor="text1"/>
                <w:sz w:val="24"/>
                <w:lang w:val="en-US" w:eastAsia="zh-CN"/>
                <w14:textFill>
                  <w14:solidFill>
                    <w14:schemeClr w14:val="tx1"/>
                  </w14:solidFill>
                </w14:textFill>
              </w:rPr>
              <w:t>设置</w:t>
            </w:r>
            <w:r>
              <w:rPr>
                <w:rFonts w:hint="eastAsia" w:ascii="Times New Roman" w:hAnsi="Times New Roman" w:eastAsia="宋体" w:cs="Times New Roman"/>
                <w:color w:val="000000" w:themeColor="text1"/>
                <w:sz w:val="24"/>
                <w:lang w:val="en-US" w:eastAsia="zh-CN"/>
                <w14:textFill>
                  <w14:solidFill>
                    <w14:schemeClr w14:val="tx1"/>
                  </w14:solidFill>
                </w14:textFill>
              </w:rPr>
              <w:t>1台</w:t>
            </w: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t/h的</w:t>
            </w:r>
            <w:r>
              <w:rPr>
                <w:rFonts w:hint="eastAsia" w:cs="Times New Roman"/>
                <w:color w:val="000000" w:themeColor="text1"/>
                <w:sz w:val="24"/>
                <w:lang w:val="en-US" w:eastAsia="zh-CN"/>
                <w14:textFill>
                  <w14:solidFill>
                    <w14:schemeClr w14:val="tx1"/>
                  </w14:solidFill>
                </w14:textFill>
              </w:rPr>
              <w:t>燃煤锅炉</w:t>
            </w:r>
            <w:r>
              <w:rPr>
                <w:rFonts w:hint="default" w:ascii="Times New Roman" w:hAnsi="Times New Roman" w:eastAsia="宋体" w:cs="Times New Roman"/>
                <w:color w:val="000000" w:themeColor="text1"/>
                <w:sz w:val="24"/>
                <w:lang w:val="en-US" w:eastAsia="zh-CN"/>
                <w14:textFill>
                  <w14:solidFill>
                    <w14:schemeClr w14:val="tx1"/>
                  </w14:solidFill>
                </w14:textFill>
              </w:rPr>
              <w:t>为泡沫</w:t>
            </w:r>
            <w:r>
              <w:rPr>
                <w:rFonts w:hint="eastAsia" w:cs="Times New Roman"/>
                <w:color w:val="000000" w:themeColor="text1"/>
                <w:sz w:val="24"/>
                <w:lang w:val="en-US" w:eastAsia="zh-CN"/>
                <w14:textFill>
                  <w14:solidFill>
                    <w14:schemeClr w14:val="tx1"/>
                  </w14:solidFill>
                </w14:textFill>
              </w:rPr>
              <w:t>颗粒</w:t>
            </w:r>
            <w:r>
              <w:rPr>
                <w:rFonts w:hint="default" w:ascii="Times New Roman" w:hAnsi="Times New Roman" w:eastAsia="宋体" w:cs="Times New Roman"/>
                <w:color w:val="000000" w:themeColor="text1"/>
                <w:sz w:val="24"/>
                <w:lang w:val="en-US" w:eastAsia="zh-CN"/>
                <w14:textFill>
                  <w14:solidFill>
                    <w14:schemeClr w14:val="tx1"/>
                  </w14:solidFill>
                </w14:textFill>
              </w:rPr>
              <w:t>生产过程提供所需的蒸汽</w:t>
            </w:r>
            <w:r>
              <w:rPr>
                <w:rFonts w:hint="eastAsia" w:cs="Times New Roman"/>
                <w:color w:val="000000" w:themeColor="text1"/>
                <w:sz w:val="24"/>
                <w:lang w:val="en-US" w:eastAsia="zh-CN"/>
                <w14:textFill>
                  <w14:solidFill>
                    <w14:schemeClr w14:val="tx1"/>
                  </w14:solidFill>
                </w14:textFill>
              </w:rPr>
              <w:t>，现有项目</w:t>
            </w:r>
            <w:r>
              <w:rPr>
                <w:rFonts w:hint="default" w:ascii="Times New Roman" w:hAnsi="Times New Roman" w:cs="Times New Roman"/>
                <w:b w:val="0"/>
                <w:bCs w:val="0"/>
                <w:color w:val="000000" w:themeColor="text1"/>
                <w:lang w:eastAsia="zh-CN"/>
                <w14:textFill>
                  <w14:solidFill>
                    <w14:schemeClr w14:val="tx1"/>
                  </w14:solidFill>
                </w14:textFill>
              </w:rPr>
              <w:t>生产过程中产生的生产废水主要为</w:t>
            </w:r>
            <w:r>
              <w:rPr>
                <w:rFonts w:hint="default" w:ascii="Times New Roman" w:hAnsi="Times New Roman" w:cs="Times New Roman"/>
                <w:b w:val="0"/>
                <w:bCs w:val="0"/>
                <w:color w:val="000000" w:themeColor="text1"/>
                <w14:textFill>
                  <w14:solidFill>
                    <w14:schemeClr w14:val="tx1"/>
                  </w14:solidFill>
                </w14:textFill>
              </w:rPr>
              <w:t>锅炉排污</w:t>
            </w:r>
            <w:r>
              <w:rPr>
                <w:rFonts w:hint="default" w:ascii="Times New Roman" w:hAnsi="Times New Roman" w:cs="Times New Roman"/>
                <w:b w:val="0"/>
                <w:bCs w:val="0"/>
                <w:color w:val="000000" w:themeColor="text1"/>
                <w:lang w:eastAsia="zh-CN"/>
                <w14:textFill>
                  <w14:solidFill>
                    <w14:schemeClr w14:val="tx1"/>
                  </w14:solidFill>
                </w14:textFill>
              </w:rPr>
              <w:t>水</w:t>
            </w:r>
            <w:r>
              <w:rPr>
                <w:rFonts w:hint="eastAsia" w:cs="Times New Roman"/>
                <w:b w:val="0"/>
                <w:bCs w:val="0"/>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现有项目未设置软水制备设备。</w:t>
            </w:r>
          </w:p>
          <w:p w14:paraId="7F4F8EDA">
            <w:pPr>
              <w:pStyle w:val="51"/>
              <w:keepNext w:val="0"/>
              <w:pageBreakBefore w:val="0"/>
              <w:overflowPunct/>
              <w:topLinePunct w:val="0"/>
              <w:bidi w:val="0"/>
              <w:adjustRightInd/>
              <w:snapToGrid/>
              <w:ind w:firstLine="482"/>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w:t>
            </w:r>
            <w:r>
              <w:rPr>
                <w:rFonts w:hint="default" w:ascii="Times New Roman" w:hAnsi="Times New Roman" w:eastAsia="宋体" w:cs="Times New Roman"/>
                <w:color w:val="000000" w:themeColor="text1"/>
                <w:sz w:val="24"/>
                <w:lang w:val="en-US" w:eastAsia="zh-CN"/>
                <w14:textFill>
                  <w14:solidFill>
                    <w14:schemeClr w14:val="tx1"/>
                  </w14:solidFill>
                </w14:textFill>
              </w:rPr>
              <w:t>《排放源统计调查产排污核算方法和系数手册》（公告2021年第24号）中</w:t>
            </w:r>
            <w:r>
              <w:rPr>
                <w:rFonts w:hint="default" w:ascii="Times New Roman" w:hAnsi="Times New Roman" w:cs="Times New Roman"/>
                <w:color w:val="000000" w:themeColor="text1"/>
                <w14:textFill>
                  <w14:solidFill>
                    <w14:schemeClr w14:val="tx1"/>
                  </w14:solidFill>
                </w14:textFill>
              </w:rPr>
              <w:t>《锅炉产排污量核算系数手册》</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4430工业锅炉（热力生产和供应行业）产排污系数表-工业废水量和</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化学需氧量</w:t>
            </w:r>
            <w:r>
              <w:rPr>
                <w:rFonts w:hint="eastAsia"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w:t>
            </w:r>
            <w:r>
              <w:rPr>
                <w:rFonts w:hint="eastAsia" w:cs="Times New Roman"/>
                <w:color w:val="000000" w:themeColor="text1"/>
                <w:lang w:eastAsia="zh-CN"/>
                <w14:textFill>
                  <w14:solidFill>
                    <w14:schemeClr w14:val="tx1"/>
                  </w14:solidFill>
                </w14:textFill>
              </w:rPr>
              <w:t>燃煤</w:t>
            </w:r>
            <w:r>
              <w:rPr>
                <w:rFonts w:hint="default" w:ascii="Times New Roman" w:hAnsi="Times New Roman" w:cs="Times New Roman"/>
                <w:color w:val="000000" w:themeColor="text1"/>
                <w14:textFill>
                  <w14:solidFill>
                    <w14:schemeClr w14:val="tx1"/>
                  </w14:solidFill>
                </w14:textFill>
              </w:rPr>
              <w:t>工业锅炉的产排污系数进行计算</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bCs/>
                <w:color w:val="000000" w:themeColor="text1"/>
                <w:spacing w:val="6"/>
                <w:sz w:val="24"/>
                <w:lang w:eastAsia="zh-CN"/>
                <w14:textFill>
                  <w14:solidFill>
                    <w14:schemeClr w14:val="tx1"/>
                  </w14:solidFill>
                </w14:textFill>
              </w:rPr>
              <w:t>锅炉排污水产污系</w:t>
            </w:r>
            <w:r>
              <w:rPr>
                <w:rFonts w:hint="default" w:ascii="Times New Roman" w:hAnsi="Times New Roman" w:cs="Times New Roman"/>
                <w:bCs/>
                <w:color w:val="000000" w:themeColor="text1"/>
                <w:spacing w:val="6"/>
                <w:sz w:val="24"/>
                <w:szCs w:val="24"/>
                <w:lang w:eastAsia="zh-CN"/>
                <w14:textFill>
                  <w14:solidFill>
                    <w14:schemeClr w14:val="tx1"/>
                  </w14:solidFill>
                </w14:textFill>
              </w:rPr>
              <w:t>数为</w:t>
            </w:r>
            <w:r>
              <w:rPr>
                <w:rFonts w:hint="default" w:ascii="Times New Roman" w:hAnsi="Times New Roman" w:cs="Times New Roman"/>
                <w:bCs/>
                <w:color w:val="000000" w:themeColor="text1"/>
                <w:spacing w:val="6"/>
                <w:sz w:val="24"/>
                <w:szCs w:val="24"/>
                <w:lang w:val="en-US" w:eastAsia="zh-CN"/>
                <w14:textFill>
                  <w14:solidFill>
                    <w14:schemeClr w14:val="tx1"/>
                  </w14:solidFill>
                </w14:textFill>
              </w:rPr>
              <w:t>0.</w:t>
            </w:r>
            <w:r>
              <w:rPr>
                <w:rFonts w:hint="eastAsia" w:ascii="Times New Roman" w:hAnsi="Times New Roman" w:cs="Times New Roman"/>
                <w:bCs/>
                <w:color w:val="000000" w:themeColor="text1"/>
                <w:spacing w:val="6"/>
                <w:sz w:val="24"/>
                <w:szCs w:val="24"/>
                <w:lang w:val="en-US" w:eastAsia="zh-CN"/>
                <w14:textFill>
                  <w14:solidFill>
                    <w14:schemeClr w14:val="tx1"/>
                  </w14:solidFill>
                </w14:textFill>
              </w:rPr>
              <w:t>44</w:t>
            </w:r>
            <w:r>
              <w:rPr>
                <w:rFonts w:hint="default" w:ascii="Times New Roman" w:hAnsi="Times New Roman" w:cs="Times New Roman"/>
                <w:iCs/>
                <w:color w:val="000000" w:themeColor="text1"/>
                <w:sz w:val="24"/>
                <w:szCs w:val="24"/>
                <w14:textFill>
                  <w14:solidFill>
                    <w14:schemeClr w14:val="tx1"/>
                  </w14:solidFill>
                </w14:textFill>
              </w:rPr>
              <w:t>吨/吨-原料</w:t>
            </w:r>
            <w:r>
              <w:rPr>
                <w:rFonts w:hint="default" w:ascii="Times New Roman" w:hAnsi="Times New Roman" w:cs="Times New Roman"/>
                <w:bCs/>
                <w:color w:val="000000" w:themeColor="text1"/>
                <w:spacing w:val="6"/>
                <w:sz w:val="24"/>
                <w:szCs w:val="24"/>
                <w:lang w:val="en-US" w:eastAsia="zh-CN"/>
                <w14:textFill>
                  <w14:solidFill>
                    <w14:schemeClr w14:val="tx1"/>
                  </w14:solidFill>
                </w14:textFill>
              </w:rPr>
              <w:t>。</w:t>
            </w:r>
          </w:p>
          <w:p w14:paraId="0C126159">
            <w:pPr>
              <w:pStyle w:val="5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本项目设置</w:t>
            </w:r>
            <w:r>
              <w:rPr>
                <w:rFonts w:hint="eastAsia" w:ascii="Times New Roman" w:hAnsi="Times New Roman" w:eastAsia="宋体"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lang w:val="en-US" w:eastAsia="zh-CN"/>
                <w14:textFill>
                  <w14:solidFill>
                    <w14:schemeClr w14:val="tx1"/>
                  </w14:solidFill>
                </w14:textFill>
              </w:rPr>
              <w:t>台</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t/h</w:t>
            </w:r>
            <w:r>
              <w:rPr>
                <w:rFonts w:hint="eastAsia" w:cs="Times New Roman"/>
                <w:color w:val="000000" w:themeColor="text1"/>
                <w:lang w:val="en-US" w:eastAsia="zh-CN"/>
                <w14:textFill>
                  <w14:solidFill>
                    <w14:schemeClr w14:val="tx1"/>
                  </w14:solidFill>
                </w14:textFill>
              </w:rPr>
              <w:t>燃煤</w:t>
            </w:r>
            <w:r>
              <w:rPr>
                <w:rFonts w:hint="default" w:ascii="Times New Roman" w:hAnsi="Times New Roman" w:eastAsia="宋体" w:cs="Times New Roman"/>
                <w:color w:val="000000" w:themeColor="text1"/>
                <w:lang w:val="en-US" w:eastAsia="zh-CN"/>
                <w14:textFill>
                  <w14:solidFill>
                    <w14:schemeClr w14:val="tx1"/>
                  </w14:solidFill>
                </w14:textFill>
              </w:rPr>
              <w:t>锅炉，锅炉日</w:t>
            </w:r>
            <w:r>
              <w:rPr>
                <w:rFonts w:hint="default" w:ascii="Times New Roman" w:hAnsi="Times New Roman" w:eastAsia="宋体" w:cs="Times New Roman"/>
                <w:color w:val="000000" w:themeColor="text1"/>
                <w:lang w:eastAsia="zh-CN"/>
                <w14:textFill>
                  <w14:solidFill>
                    <w14:schemeClr w14:val="tx1"/>
                  </w14:solidFill>
                </w14:textFill>
              </w:rPr>
              <w:t>工作时间为</w:t>
            </w:r>
            <w:r>
              <w:rPr>
                <w:rFonts w:hint="eastAsia" w:cs="Times New Roman"/>
                <w:color w:val="000000" w:themeColor="text1"/>
                <w:lang w:val="en-US" w:eastAsia="zh-CN"/>
                <w14:textFill>
                  <w14:solidFill>
                    <w14:schemeClr w14:val="tx1"/>
                  </w14:solidFill>
                </w14:textFill>
              </w:rPr>
              <w:t>8</w:t>
            </w:r>
            <w:r>
              <w:rPr>
                <w:rFonts w:hint="default" w:ascii="Times New Roman" w:hAnsi="Times New Roman" w:eastAsia="宋体" w:cs="Times New Roman"/>
                <w:color w:val="000000" w:themeColor="text1"/>
                <w:lang w:val="en-US" w:eastAsia="zh-CN"/>
                <w14:textFill>
                  <w14:solidFill>
                    <w14:schemeClr w14:val="tx1"/>
                  </w14:solidFill>
                </w14:textFill>
              </w:rPr>
              <w:t>h，年运行300天。</w:t>
            </w:r>
            <w:r>
              <w:rPr>
                <w:rFonts w:hint="eastAsia" w:cs="Times New Roman"/>
                <w:color w:val="000000" w:themeColor="text1"/>
                <w:lang w:val="en-US" w:eastAsia="zh-CN"/>
                <w14:textFill>
                  <w14:solidFill>
                    <w14:schemeClr w14:val="tx1"/>
                  </w14:solidFill>
                </w14:textFill>
              </w:rPr>
              <w:t>根据建设单位提供资料，燃煤用量为672t/a，则现有项目锅炉排污水产生量为295.68m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/a，0.9856m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/d。现有项目锅炉排污水用于双碱法脱硫除尘设施使用。</w:t>
            </w:r>
          </w:p>
          <w:p w14:paraId="4A9B0921">
            <w:pPr>
              <w:pStyle w:val="5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蒸汽在输送过程中会因冷凝、接口泄漏产生一定的损耗量，管道损失按蒸发量的</w:t>
            </w:r>
            <w:r>
              <w:rPr>
                <w:rFonts w:hint="eastAsia" w:ascii="Times New Roman" w:hAnsi="Times New Roman" w:eastAsia="宋体"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%计</w:t>
            </w:r>
            <w:r>
              <w:rPr>
                <w:rFonts w:hint="eastAsia" w:ascii="Times New Roman" w:hAnsi="Times New Roman" w:eastAsia="宋体" w:cs="Times New Roman"/>
                <w:color w:val="000000" w:themeColor="text1"/>
                <w:sz w:val="24"/>
                <w:lang w:val="en-US" w:eastAsia="zh-CN"/>
                <w14:textFill>
                  <w14:solidFill>
                    <w14:schemeClr w14:val="tx1"/>
                  </w14:solidFill>
                </w14:textFill>
              </w:rPr>
              <w:t>损失量约为0.</w:t>
            </w:r>
            <w:r>
              <w:rPr>
                <w:rFonts w:hint="eastAsia" w:cs="Times New Roman"/>
                <w:color w:val="000000" w:themeColor="text1"/>
                <w:sz w:val="24"/>
                <w:lang w:val="en-US" w:eastAsia="zh-CN"/>
                <w14:textFill>
                  <w14:solidFill>
                    <w14:schemeClr w14:val="tx1"/>
                  </w14:solidFill>
                </w14:textFill>
              </w:rPr>
              <w:t>48</w:t>
            </w:r>
            <w:r>
              <w:rPr>
                <w:rFonts w:hint="eastAsia" w:ascii="Times New Roman" w:hAnsi="Times New Roman" w:eastAsia="宋体" w:cs="Times New Roman"/>
                <w:color w:val="000000" w:themeColor="text1"/>
                <w:sz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/d</w:t>
            </w:r>
            <w:r>
              <w:rPr>
                <w:rFonts w:hint="eastAsia" w:ascii="Times New Roman" w:hAnsi="Times New Roman" w:cs="Times New Roman"/>
                <w:color w:val="000000" w:themeColor="text1"/>
                <w:sz w:val="24"/>
                <w:lang w:val="en-US" w:eastAsia="zh-CN"/>
                <w14:textFill>
                  <w14:solidFill>
                    <w14:schemeClr w14:val="tx1"/>
                  </w14:solidFill>
                </w14:textFill>
              </w:rPr>
              <w:t>。</w:t>
            </w:r>
          </w:p>
          <w:p w14:paraId="2AA3FF7A">
            <w:pPr>
              <w:keepNext w:val="0"/>
              <w:pageBreakBefore w:val="0"/>
              <w:widowControl w:val="0"/>
              <w:kinsoku/>
              <w:wordWrap w:val="0"/>
              <w:overflowPunct/>
              <w:topLinePunct/>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燃煤锅炉日运行8h，即每日蒸汽产生量为16t/d。</w:t>
            </w:r>
            <w:r>
              <w:rPr>
                <w:rFonts w:hint="eastAsia" w:ascii="Times New Roman" w:hAnsi="Times New Roman" w:cs="Times New Roman"/>
                <w:color w:val="000000" w:themeColor="text1"/>
                <w:sz w:val="24"/>
                <w:lang w:val="en-US" w:eastAsia="zh-CN"/>
                <w14:textFill>
                  <w14:solidFill>
                    <w14:schemeClr w14:val="tx1"/>
                  </w14:solidFill>
                </w14:textFill>
              </w:rPr>
              <w:t>根据建设单位提供资料，蒸汽约供给发泡环节约</w:t>
            </w:r>
            <w:r>
              <w:rPr>
                <w:rFonts w:hint="eastAsia" w:cs="Times New Roman"/>
                <w:color w:val="000000" w:themeColor="text1"/>
                <w:sz w:val="24"/>
                <w:lang w:val="en-US" w:eastAsia="zh-CN"/>
                <w14:textFill>
                  <w14:solidFill>
                    <w14:schemeClr w14:val="tx1"/>
                  </w14:solidFill>
                </w14:textFill>
              </w:rPr>
              <w:t>8</w:t>
            </w:r>
            <w:r>
              <w:rPr>
                <w:rFonts w:hint="eastAsia" w:ascii="Times New Roman" w:hAnsi="Times New Roman" w:cs="Times New Roman"/>
                <w:color w:val="000000" w:themeColor="text1"/>
                <w:sz w:val="24"/>
                <w:lang w:val="en-US" w:eastAsia="zh-CN"/>
                <w14:textFill>
                  <w14:solidFill>
                    <w14:schemeClr w14:val="tx1"/>
                  </w14:solidFill>
                </w14:textFill>
              </w:rPr>
              <w:t>t/d，流化床干燥环节</w:t>
            </w:r>
            <w:r>
              <w:rPr>
                <w:rFonts w:hint="eastAsia" w:cs="Times New Roman"/>
                <w:color w:val="000000" w:themeColor="text1"/>
                <w:sz w:val="24"/>
                <w:lang w:val="en-US" w:eastAsia="zh-CN"/>
                <w14:textFill>
                  <w14:solidFill>
                    <w14:schemeClr w14:val="tx1"/>
                  </w14:solidFill>
                </w14:textFill>
              </w:rPr>
              <w:t>1</w:t>
            </w:r>
            <w:r>
              <w:rPr>
                <w:rFonts w:hint="eastAsia" w:ascii="Times New Roman" w:hAnsi="Times New Roman" w:cs="Times New Roman"/>
                <w:color w:val="000000" w:themeColor="text1"/>
                <w:sz w:val="24"/>
                <w:lang w:val="en-US" w:eastAsia="zh-CN"/>
                <w14:textFill>
                  <w14:solidFill>
                    <w14:schemeClr w14:val="tx1"/>
                  </w14:solidFill>
                </w14:textFill>
              </w:rPr>
              <w:t>t/d，压模环节</w:t>
            </w:r>
            <w:r>
              <w:rPr>
                <w:rFonts w:hint="eastAsia" w:cs="Times New Roman"/>
                <w:color w:val="000000" w:themeColor="text1"/>
                <w:sz w:val="24"/>
                <w:lang w:val="en-US" w:eastAsia="zh-CN"/>
                <w14:textFill>
                  <w14:solidFill>
                    <w14:schemeClr w14:val="tx1"/>
                  </w14:solidFill>
                </w14:textFill>
              </w:rPr>
              <w:t>4.52</w:t>
            </w:r>
            <w:r>
              <w:rPr>
                <w:rFonts w:hint="eastAsia" w:ascii="Times New Roman" w:hAnsi="Times New Roman" w:cs="Times New Roman"/>
                <w:color w:val="000000" w:themeColor="text1"/>
                <w:sz w:val="24"/>
                <w:lang w:val="en-US" w:eastAsia="zh-CN"/>
                <w14:textFill>
                  <w14:solidFill>
                    <w14:schemeClr w14:val="tx1"/>
                  </w14:solidFill>
                </w14:textFill>
              </w:rPr>
              <w:t>t/d，烘干环节</w:t>
            </w:r>
            <w:r>
              <w:rPr>
                <w:rFonts w:hint="eastAsia" w:cs="Times New Roman"/>
                <w:color w:val="000000" w:themeColor="text1"/>
                <w:sz w:val="24"/>
                <w:lang w:val="en-US" w:eastAsia="zh-CN"/>
                <w14:textFill>
                  <w14:solidFill>
                    <w14:schemeClr w14:val="tx1"/>
                  </w14:solidFill>
                </w14:textFill>
              </w:rPr>
              <w:t>2</w:t>
            </w:r>
            <w:r>
              <w:rPr>
                <w:rFonts w:hint="eastAsia" w:ascii="Times New Roman" w:hAnsi="Times New Roman" w:cs="Times New Roman"/>
                <w:color w:val="000000" w:themeColor="text1"/>
                <w:sz w:val="24"/>
                <w:lang w:val="en-US" w:eastAsia="zh-CN"/>
                <w14:textFill>
                  <w14:solidFill>
                    <w14:schemeClr w14:val="tx1"/>
                  </w14:solidFill>
                </w14:textFill>
              </w:rPr>
              <w:t>t/d。</w:t>
            </w:r>
          </w:p>
          <w:p w14:paraId="72ABCDC0">
            <w:pPr>
              <w:keepNext w:val="0"/>
              <w:pageBreakBefore w:val="0"/>
              <w:widowControl w:val="0"/>
              <w:kinsoku/>
              <w:wordWrap w:val="0"/>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流化床干燥环节、烘干房烘干环节蒸汽自然蒸发。</w:t>
            </w:r>
            <w:r>
              <w:rPr>
                <w:rFonts w:hint="eastAsia" w:cs="Times New Roman"/>
                <w:color w:val="000000" w:themeColor="text1"/>
                <w:sz w:val="24"/>
                <w:lang w:val="en-US" w:eastAsia="zh-CN"/>
                <w14:textFill>
                  <w14:solidFill>
                    <w14:schemeClr w14:val="tx1"/>
                  </w14:solidFill>
                </w14:textFill>
              </w:rPr>
              <w:t>流化干燥、烘干环节蒸汽为间接加热。</w:t>
            </w:r>
          </w:p>
          <w:p w14:paraId="3B5944D5">
            <w:pPr>
              <w:keepNext w:val="0"/>
              <w:pageBreakBefore w:val="0"/>
              <w:widowControl w:val="0"/>
              <w:kinsoku/>
              <w:wordWrap w:val="0"/>
              <w:overflowPunct/>
              <w:topLinePunct/>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发泡工序的水蒸气10%蒸发损耗</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损耗</w:t>
            </w:r>
            <w:r>
              <w:rPr>
                <w:rFonts w:hint="eastAsia" w:ascii="Times New Roman" w:hAnsi="Times New Roman" w:eastAsia="宋体" w:cs="Times New Roman"/>
                <w:color w:val="000000" w:themeColor="text1"/>
                <w:sz w:val="24"/>
                <w:lang w:val="en-US" w:eastAsia="zh-CN"/>
                <w14:textFill>
                  <w14:solidFill>
                    <w14:schemeClr w14:val="tx1"/>
                  </w14:solidFill>
                </w14:textFill>
              </w:rPr>
              <w:t>量约为</w:t>
            </w:r>
            <w:r>
              <w:rPr>
                <w:rFonts w:hint="eastAsia" w:cs="Times New Roman"/>
                <w:color w:val="000000" w:themeColor="text1"/>
                <w:sz w:val="24"/>
                <w:lang w:val="en-US" w:eastAsia="zh-CN"/>
                <w14:textFill>
                  <w14:solidFill>
                    <w14:schemeClr w14:val="tx1"/>
                  </w14:solidFill>
                </w14:textFill>
              </w:rPr>
              <w:t>0.8</w:t>
            </w:r>
            <w:r>
              <w:rPr>
                <w:rFonts w:hint="eastAsia" w:ascii="Times New Roman" w:hAnsi="Times New Roman" w:eastAsia="宋体" w:cs="Times New Roman"/>
                <w:color w:val="000000" w:themeColor="text1"/>
                <w:sz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/d</w:t>
            </w:r>
            <w:r>
              <w:rPr>
                <w:rFonts w:hint="default" w:ascii="Times New Roman" w:hAnsi="Times New Roman" w:eastAsia="宋体" w:cs="Times New Roman"/>
                <w:color w:val="000000" w:themeColor="text1"/>
                <w:sz w:val="24"/>
                <w:lang w:val="en-US" w:eastAsia="zh-CN"/>
                <w14:textFill>
                  <w14:solidFill>
                    <w14:schemeClr w14:val="tx1"/>
                  </w14:solidFill>
                </w14:textFill>
              </w:rPr>
              <w:t>，其余部分</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7.2</w:t>
            </w:r>
            <w:r>
              <w:rPr>
                <w:rFonts w:hint="eastAsia" w:ascii="Times New Roman" w:hAnsi="Times New Roman" w:eastAsia="宋体" w:cs="Times New Roman"/>
                <w:color w:val="000000" w:themeColor="text1"/>
                <w:sz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/d</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冷凝后形成冷凝水排出</w:t>
            </w:r>
            <w:r>
              <w:rPr>
                <w:rFonts w:hint="eastAsia" w:ascii="Times New Roman" w:hAnsi="Times New Roman" w:cs="Times New Roman"/>
                <w:color w:val="000000" w:themeColor="text1"/>
                <w:sz w:val="24"/>
                <w:lang w:val="en-US" w:eastAsia="zh-CN"/>
                <w14:textFill>
                  <w14:solidFill>
                    <w14:schemeClr w14:val="tx1"/>
                  </w14:solidFill>
                </w14:textFill>
              </w:rPr>
              <w:t>，进入循环池，用于锅炉补水。</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发泡过程采用蒸汽</w:t>
            </w:r>
            <w:r>
              <w:rPr>
                <w:rFonts w:hint="eastAsia" w:cs="Times New Roman" w:eastAsiaTheme="minorEastAsia"/>
                <w:b w:val="0"/>
                <w:bCs w:val="0"/>
                <w:color w:val="000000" w:themeColor="text1"/>
                <w:sz w:val="24"/>
                <w:szCs w:val="24"/>
                <w:lang w:val="en-US" w:eastAsia="zh-CN"/>
                <w14:textFill>
                  <w14:solidFill>
                    <w14:schemeClr w14:val="tx1"/>
                  </w14:solidFill>
                </w14:textFill>
              </w:rPr>
              <w:t>间接</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加热</w:t>
            </w:r>
            <w:r>
              <w:rPr>
                <w:rFonts w:hint="eastAsia" w:cs="Times New Roman" w:eastAsiaTheme="minorEastAsia"/>
                <w:b w:val="0"/>
                <w:bCs w:val="0"/>
                <w:color w:val="000000" w:themeColor="text1"/>
                <w:sz w:val="24"/>
                <w:szCs w:val="24"/>
                <w:lang w:eastAsia="zh-CN"/>
                <w14:textFill>
                  <w14:solidFill>
                    <w14:schemeClr w14:val="tx1"/>
                  </w14:solidFill>
                </w14:textFill>
              </w:rPr>
              <w:t>。</w:t>
            </w:r>
          </w:p>
          <w:p w14:paraId="5DC2BA1B">
            <w:pPr>
              <w:keepNext w:val="0"/>
              <w:pageBreakBefore w:val="0"/>
              <w:widowControl w:val="0"/>
              <w:kinsoku/>
              <w:wordWrap w:val="0"/>
              <w:overflowPunct/>
              <w:topLinePunct/>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压模环节蒸汽加热成型后多余蒸汽排出，该工序</w:t>
            </w:r>
            <w:r>
              <w:rPr>
                <w:rFonts w:hint="default" w:ascii="Times New Roman" w:hAnsi="Times New Roman" w:eastAsia="宋体" w:cs="Times New Roman"/>
                <w:color w:val="000000" w:themeColor="text1"/>
                <w:sz w:val="24"/>
                <w:lang w:val="en-US" w:eastAsia="zh-CN"/>
                <w14:textFill>
                  <w14:solidFill>
                    <w14:schemeClr w14:val="tx1"/>
                  </w14:solidFill>
                </w14:textFill>
              </w:rPr>
              <w:t>水蒸气</w:t>
            </w:r>
            <w:r>
              <w:rPr>
                <w:rFonts w:hint="eastAsia" w:ascii="Times New Roman" w:hAnsi="Times New Roman" w:eastAsia="宋体" w:cs="Times New Roman"/>
                <w:color w:val="000000" w:themeColor="text1"/>
                <w:sz w:val="24"/>
                <w:lang w:val="en-US" w:eastAsia="zh-CN"/>
                <w14:textFill>
                  <w14:solidFill>
                    <w14:schemeClr w14:val="tx1"/>
                  </w14:solidFill>
                </w14:textFill>
              </w:rPr>
              <w:t>90</w:t>
            </w:r>
            <w:r>
              <w:rPr>
                <w:rFonts w:hint="default" w:ascii="Times New Roman" w:hAnsi="Times New Roman" w:eastAsia="宋体" w:cs="Times New Roman"/>
                <w:color w:val="000000" w:themeColor="text1"/>
                <w:sz w:val="24"/>
                <w:lang w:val="en-US" w:eastAsia="zh-CN"/>
                <w14:textFill>
                  <w14:solidFill>
                    <w14:schemeClr w14:val="tx1"/>
                  </w14:solidFill>
                </w14:textFill>
              </w:rPr>
              <w:t>%蒸发损耗</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损耗</w:t>
            </w:r>
            <w:r>
              <w:rPr>
                <w:rFonts w:hint="eastAsia" w:ascii="Times New Roman" w:hAnsi="Times New Roman" w:eastAsia="宋体" w:cs="Times New Roman"/>
                <w:color w:val="000000" w:themeColor="text1"/>
                <w:sz w:val="24"/>
                <w:lang w:val="en-US" w:eastAsia="zh-CN"/>
                <w14:textFill>
                  <w14:solidFill>
                    <w14:schemeClr w14:val="tx1"/>
                  </w14:solidFill>
                </w14:textFill>
              </w:rPr>
              <w:t>量约为</w:t>
            </w:r>
            <w:r>
              <w:rPr>
                <w:rFonts w:hint="eastAsia" w:cs="Times New Roman"/>
                <w:color w:val="000000" w:themeColor="text1"/>
                <w:sz w:val="24"/>
                <w:lang w:val="en-US" w:eastAsia="zh-CN"/>
                <w14:textFill>
                  <w14:solidFill>
                    <w14:schemeClr w14:val="tx1"/>
                  </w14:solidFill>
                </w14:textFill>
              </w:rPr>
              <w:t>4.068</w:t>
            </w:r>
            <w:r>
              <w:rPr>
                <w:rFonts w:hint="eastAsia" w:ascii="Times New Roman" w:hAnsi="Times New Roman" w:eastAsia="宋体" w:cs="Times New Roman"/>
                <w:color w:val="000000" w:themeColor="text1"/>
                <w:sz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/d</w:t>
            </w:r>
            <w:r>
              <w:rPr>
                <w:rFonts w:hint="default" w:ascii="Times New Roman" w:hAnsi="Times New Roman" w:eastAsia="宋体" w:cs="Times New Roman"/>
                <w:color w:val="000000" w:themeColor="text1"/>
                <w:sz w:val="24"/>
                <w:lang w:val="en-US" w:eastAsia="zh-CN"/>
                <w14:textFill>
                  <w14:solidFill>
                    <w14:schemeClr w14:val="tx1"/>
                  </w14:solidFill>
                </w14:textFill>
              </w:rPr>
              <w:t>，其余部分</w:t>
            </w:r>
            <w:r>
              <w:rPr>
                <w:rFonts w:hint="eastAsia" w:ascii="Times New Roman" w:hAnsi="Times New Roman" w:cs="Times New Roman"/>
                <w:color w:val="000000" w:themeColor="text1"/>
                <w:sz w:val="24"/>
                <w:lang w:val="en-US" w:eastAsia="zh-CN"/>
                <w14:textFill>
                  <w14:solidFill>
                    <w14:schemeClr w14:val="tx1"/>
                  </w14:solidFill>
                </w14:textFill>
              </w:rPr>
              <w:t>（0.</w:t>
            </w:r>
            <w:r>
              <w:rPr>
                <w:rFonts w:hint="eastAsia" w:cs="Times New Roman"/>
                <w:color w:val="000000" w:themeColor="text1"/>
                <w:sz w:val="24"/>
                <w:lang w:val="en-US" w:eastAsia="zh-CN"/>
                <w14:textFill>
                  <w14:solidFill>
                    <w14:schemeClr w14:val="tx1"/>
                  </w14:solidFill>
                </w14:textFill>
              </w:rPr>
              <w:t>452</w:t>
            </w:r>
            <w:r>
              <w:rPr>
                <w:rFonts w:hint="eastAsia" w:ascii="Times New Roman" w:hAnsi="Times New Roman" w:eastAsia="宋体" w:cs="Times New Roman"/>
                <w:color w:val="000000" w:themeColor="text1"/>
                <w:sz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/d</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蒸汽</w:t>
            </w:r>
            <w:r>
              <w:rPr>
                <w:rFonts w:hint="default" w:ascii="Times New Roman" w:hAnsi="Times New Roman" w:eastAsia="宋体" w:cs="Times New Roman"/>
                <w:color w:val="000000" w:themeColor="text1"/>
                <w:sz w:val="24"/>
                <w:lang w:val="en-US" w:eastAsia="zh-CN"/>
                <w14:textFill>
                  <w14:solidFill>
                    <w14:schemeClr w14:val="tx1"/>
                  </w14:solidFill>
                </w14:textFill>
              </w:rPr>
              <w:t>排出</w:t>
            </w:r>
            <w:r>
              <w:rPr>
                <w:rFonts w:hint="eastAsia" w:ascii="Times New Roman" w:hAnsi="Times New Roman" w:eastAsia="宋体" w:cs="Times New Roman"/>
                <w:color w:val="000000" w:themeColor="text1"/>
                <w:sz w:val="24"/>
                <w:lang w:val="en-US" w:eastAsia="zh-CN"/>
                <w14:textFill>
                  <w14:solidFill>
                    <w14:schemeClr w14:val="tx1"/>
                  </w14:solidFill>
                </w14:textFill>
              </w:rPr>
              <w:t>，进入压模废水收集池，自然蒸发</w:t>
            </w:r>
            <w:r>
              <w:rPr>
                <w:rFonts w:hint="eastAsia" w:ascii="Times New Roman" w:hAnsi="Times New Roman" w:cs="Times New Roman"/>
                <w:color w:val="000000" w:themeColor="text1"/>
                <w:sz w:val="24"/>
                <w:lang w:val="en-US" w:eastAsia="zh-CN"/>
                <w14:textFill>
                  <w14:solidFill>
                    <w14:schemeClr w14:val="tx1"/>
                  </w14:solidFill>
                </w14:textFill>
              </w:rPr>
              <w:t>。</w:t>
            </w:r>
          </w:p>
          <w:p w14:paraId="51BF6DC0">
            <w:pPr>
              <w:keepNext w:val="0"/>
              <w:pageBreakBefore w:val="0"/>
              <w:widowControl w:val="0"/>
              <w:kinsoku/>
              <w:wordWrap w:val="0"/>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蒸汽加热方式根据工艺流程简述，</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发泡</w:t>
            </w:r>
            <w:r>
              <w:rPr>
                <w:rFonts w:hint="eastAsia" w:cs="Times New Roman" w:eastAsiaTheme="minorEastAsia"/>
                <w:b w:val="0"/>
                <w:bCs w:val="0"/>
                <w:color w:val="000000" w:themeColor="text1"/>
                <w:sz w:val="24"/>
                <w:szCs w:val="24"/>
                <w:lang w:eastAsia="zh-CN"/>
                <w14:textFill>
                  <w14:solidFill>
                    <w14:schemeClr w14:val="tx1"/>
                  </w14:solidFill>
                </w14:textFill>
              </w:rPr>
              <w:t>工序、</w:t>
            </w:r>
            <w:r>
              <w:rPr>
                <w:rFonts w:hint="eastAsia" w:cs="Times New Roman"/>
                <w:color w:val="000000" w:themeColor="text1"/>
                <w:sz w:val="24"/>
                <w:szCs w:val="24"/>
                <w:lang w:val="en-US" w:eastAsia="zh-CN"/>
                <w14:textFill>
                  <w14:solidFill>
                    <w14:schemeClr w14:val="tx1"/>
                  </w14:solidFill>
                </w14:textFill>
              </w:rPr>
              <w:t>流化干燥工序、烘干工序蒸汽为间接加热，压模环节蒸汽为直接加热。</w:t>
            </w:r>
          </w:p>
          <w:p w14:paraId="03B6EC1E">
            <w:pPr>
              <w:pStyle w:val="51"/>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eastAsia="宋体"/>
                <w:color w:val="000000" w:themeColor="text1"/>
                <w:lang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3</w:t>
            </w:r>
            <w:r>
              <w:rPr>
                <w:rFonts w:hint="eastAsia"/>
                <w:b/>
                <w:bCs/>
                <w:color w:val="000000" w:themeColor="text1"/>
                <w:lang w:eastAsia="zh-CN"/>
                <w14:textFill>
                  <w14:solidFill>
                    <w14:schemeClr w14:val="tx1"/>
                  </w14:solidFill>
                </w14:textFill>
              </w:rPr>
              <w:t>）道路场地洒水及绿化用水</w:t>
            </w:r>
          </w:p>
          <w:p w14:paraId="4EF752BB">
            <w:pPr>
              <w:keepNext w:val="0"/>
              <w:keepLines w:val="0"/>
              <w:pageBreakBefore w:val="0"/>
              <w:widowControl/>
              <w:suppressLineNumbers w:val="0"/>
              <w:kinsoku/>
              <w:overflowPunct/>
              <w:topLinePunct w:val="0"/>
              <w:autoSpaceDE/>
              <w:autoSpaceDN/>
              <w:bidi w:val="0"/>
              <w:adjustRightInd/>
              <w:snapToGrid/>
              <w:spacing w:line="360" w:lineRule="auto"/>
              <w:ind w:firstLine="482" w:firstLineChars="200"/>
              <w:jc w:val="left"/>
              <w:textAlignment w:val="auto"/>
              <w:rPr>
                <w:rFonts w:hint="eastAsia"/>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道路场地洒水：</w:t>
            </w:r>
            <w:r>
              <w:rPr>
                <w:rFonts w:hint="eastAsia"/>
                <w:b w:val="0"/>
                <w:bCs w:val="0"/>
                <w:color w:val="000000" w:themeColor="text1"/>
                <w:sz w:val="24"/>
                <w:szCs w:val="24"/>
                <w:lang w:eastAsia="zh-CN"/>
                <w14:textFill>
                  <w14:solidFill>
                    <w14:schemeClr w14:val="tx1"/>
                  </w14:solidFill>
                </w14:textFill>
              </w:rPr>
              <w:t>根据调查，</w:t>
            </w:r>
            <w:r>
              <w:rPr>
                <w:rFonts w:hint="eastAsia"/>
                <w:b w:val="0"/>
                <w:bCs w:val="0"/>
                <w:color w:val="000000" w:themeColor="text1"/>
                <w:sz w:val="24"/>
                <w:szCs w:val="24"/>
                <w14:textFill>
                  <w14:solidFill>
                    <w14:schemeClr w14:val="tx1"/>
                  </w14:solidFill>
                </w14:textFill>
              </w:rPr>
              <w:t>项目</w:t>
            </w:r>
            <w:r>
              <w:rPr>
                <w:rFonts w:hint="eastAsia"/>
                <w:b w:val="0"/>
                <w:bCs w:val="0"/>
                <w:color w:val="000000" w:themeColor="text1"/>
                <w:sz w:val="24"/>
                <w:szCs w:val="24"/>
                <w:lang w:eastAsia="zh-CN"/>
                <w14:textFill>
                  <w14:solidFill>
                    <w14:schemeClr w14:val="tx1"/>
                  </w14:solidFill>
                </w14:textFill>
              </w:rPr>
              <w:t>厂</w:t>
            </w:r>
            <w:r>
              <w:rPr>
                <w:rFonts w:hint="eastAsia"/>
                <w:b w:val="0"/>
                <w:bCs w:val="0"/>
                <w:color w:val="000000" w:themeColor="text1"/>
                <w:sz w:val="24"/>
                <w:szCs w:val="24"/>
                <w14:textFill>
                  <w14:solidFill>
                    <w14:schemeClr w14:val="tx1"/>
                  </w14:solidFill>
                </w14:textFill>
              </w:rPr>
              <w:t>区</w:t>
            </w:r>
            <w:r>
              <w:rPr>
                <w:rFonts w:hint="eastAsia"/>
                <w:color w:val="000000" w:themeColor="text1"/>
                <w:sz w:val="24"/>
                <w:szCs w:val="24"/>
                <w14:textFill>
                  <w14:solidFill>
                    <w14:schemeClr w14:val="tx1"/>
                  </w14:solidFill>
                </w14:textFill>
              </w:rPr>
              <w:t>内</w:t>
            </w:r>
            <w:r>
              <w:rPr>
                <w:rFonts w:hint="eastAsia"/>
                <w:color w:val="000000" w:themeColor="text1"/>
                <w:sz w:val="24"/>
                <w:szCs w:val="24"/>
                <w:lang w:eastAsia="zh-CN"/>
                <w14:textFill>
                  <w14:solidFill>
                    <w14:schemeClr w14:val="tx1"/>
                  </w14:solidFill>
                </w14:textFill>
              </w:rPr>
              <w:t>运输</w:t>
            </w:r>
            <w:r>
              <w:rPr>
                <w:rFonts w:hint="eastAsia"/>
                <w:color w:val="000000" w:themeColor="text1"/>
                <w:sz w:val="24"/>
                <w:szCs w:val="24"/>
                <w14:textFill>
                  <w14:solidFill>
                    <w14:schemeClr w14:val="tx1"/>
                  </w14:solidFill>
                </w14:textFill>
              </w:rPr>
              <w:t>道路面积约为</w:t>
            </w:r>
            <w:r>
              <w:rPr>
                <w:rFonts w:hint="eastAsia"/>
                <w:color w:val="000000" w:themeColor="text1"/>
                <w:sz w:val="24"/>
                <w:szCs w:val="24"/>
                <w:lang w:val="en-US" w:eastAsia="zh-CN"/>
                <w14:textFill>
                  <w14:solidFill>
                    <w14:schemeClr w14:val="tx1"/>
                  </w14:solidFill>
                </w14:textFill>
              </w:rPr>
              <w:t>9</w:t>
            </w:r>
            <w:r>
              <w:rPr>
                <w:rFonts w:hint="eastAsia"/>
                <w:color w:val="000000" w:themeColor="text1"/>
                <w:sz w:val="24"/>
                <w:szCs w:val="24"/>
                <w14:textFill>
                  <w14:solidFill>
                    <w14:schemeClr w14:val="tx1"/>
                  </w14:solidFill>
                </w14:textFill>
              </w:rPr>
              <w:t>00m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，根据《云南省地方标准 用水定额》（DB53/168-2019），场地浇洒用水为2L/（m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·次），</w:t>
            </w:r>
            <w:r>
              <w:rPr>
                <w:rFonts w:hint="eastAsia" w:ascii="宋体" w:hAnsi="宋体" w:eastAsia="宋体" w:cs="宋体"/>
                <w:color w:val="000000" w:themeColor="text1"/>
                <w:kern w:val="0"/>
                <w:sz w:val="24"/>
                <w:szCs w:val="24"/>
                <w:lang w:val="en-US" w:eastAsia="zh-CN" w:bidi="ar"/>
                <w14:textFill>
                  <w14:solidFill>
                    <w14:schemeClr w14:val="tx1"/>
                  </w14:solidFill>
                </w14:textFill>
              </w:rPr>
              <w:t>晴天按</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200d</w:t>
            </w:r>
            <w:r>
              <w:rPr>
                <w:rFonts w:hint="eastAsia" w:ascii="宋体" w:hAnsi="宋体" w:eastAsia="宋体" w:cs="宋体"/>
                <w:color w:val="000000" w:themeColor="text1"/>
                <w:kern w:val="0"/>
                <w:sz w:val="24"/>
                <w:szCs w:val="24"/>
                <w:lang w:val="en-US" w:eastAsia="zh-CN" w:bidi="ar"/>
                <w14:textFill>
                  <w14:solidFill>
                    <w14:schemeClr w14:val="tx1"/>
                  </w14:solidFill>
                </w14:textFill>
              </w:rPr>
              <w:t>计，晴天一天洒水一次</w:t>
            </w:r>
            <w:r>
              <w:rPr>
                <w:rFonts w:hint="eastAsia"/>
                <w:color w:val="000000" w:themeColor="text1"/>
                <w:sz w:val="24"/>
                <w:szCs w:val="24"/>
                <w14:textFill>
                  <w14:solidFill>
                    <w14:schemeClr w14:val="tx1"/>
                  </w14:solidFill>
                </w14:textFill>
              </w:rPr>
              <w:t>，则项目道路场地洒水用水量为</w:t>
            </w:r>
            <w:r>
              <w:rPr>
                <w:rFonts w:hint="eastAsia"/>
                <w:color w:val="000000" w:themeColor="text1"/>
                <w:sz w:val="24"/>
                <w:szCs w:val="24"/>
                <w:lang w:val="en-US" w:eastAsia="zh-CN"/>
                <w14:textFill>
                  <w14:solidFill>
                    <w14:schemeClr w14:val="tx1"/>
                  </w14:solidFill>
                </w14:textFill>
              </w:rPr>
              <w:t>1.8</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/d</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360</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/a（非雨天按2</w:t>
            </w:r>
            <w:r>
              <w:rPr>
                <w:rFonts w:hint="eastAsia"/>
                <w:color w:val="000000" w:themeColor="text1"/>
                <w:sz w:val="24"/>
                <w:szCs w:val="24"/>
                <w:lang w:val="en-US" w:eastAsia="zh-CN"/>
                <w14:textFill>
                  <w14:solidFill>
                    <w14:schemeClr w14:val="tx1"/>
                  </w14:solidFill>
                </w14:textFill>
              </w:rPr>
              <w:t>0</w:t>
            </w:r>
            <w:r>
              <w:rPr>
                <w:rFonts w:hint="eastAsia"/>
                <w:color w:val="000000" w:themeColor="text1"/>
                <w:sz w:val="24"/>
                <w:szCs w:val="24"/>
                <w14:textFill>
                  <w14:solidFill>
                    <w14:schemeClr w14:val="tx1"/>
                  </w14:solidFill>
                </w14:textFill>
              </w:rPr>
              <w:t>0d计）。道路场地洒水使用锅炉排污水</w:t>
            </w:r>
            <w:r>
              <w:rPr>
                <w:rFonts w:hint="eastAsia"/>
                <w:color w:val="000000" w:themeColor="text1"/>
                <w:sz w:val="24"/>
                <w:szCs w:val="24"/>
                <w:lang w:eastAsia="zh-CN"/>
                <w14:textFill>
                  <w14:solidFill>
                    <w14:schemeClr w14:val="tx1"/>
                  </w14:solidFill>
                </w14:textFill>
              </w:rPr>
              <w:t>及压模环节未蒸发蒸汽</w:t>
            </w:r>
            <w:r>
              <w:rPr>
                <w:rFonts w:hint="eastAsia"/>
                <w:color w:val="000000" w:themeColor="text1"/>
                <w:sz w:val="24"/>
                <w:szCs w:val="24"/>
                <w14:textFill>
                  <w14:solidFill>
                    <w14:schemeClr w14:val="tx1"/>
                  </w14:solidFill>
                </w14:textFill>
              </w:rPr>
              <w:t>，不足部分补充新鲜水，洒水后水分自然蒸发，不产生废水。</w:t>
            </w:r>
          </w:p>
          <w:p w14:paraId="06A3A7B2">
            <w:pPr>
              <w:keepNext w:val="0"/>
              <w:keepLines w:val="0"/>
              <w:pageBreakBefore w:val="0"/>
              <w:widowControl/>
              <w:suppressLineNumbers w:val="0"/>
              <w:kinsoku/>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lang w:eastAsia="zh-CN"/>
                <w14:textFill>
                  <w14:solidFill>
                    <w14:schemeClr w14:val="tx1"/>
                  </w14:solidFill>
                </w14:textFill>
              </w:rPr>
              <w:t>绿化用水：</w:t>
            </w:r>
            <w:r>
              <w:rPr>
                <w:rFonts w:hint="default" w:ascii="Times New Roman" w:hAnsi="Times New Roman" w:cs="Times New Roman"/>
                <w:b w:val="0"/>
                <w:bCs w:val="0"/>
                <w:color w:val="000000" w:themeColor="text1"/>
                <w:sz w:val="24"/>
                <w:szCs w:val="24"/>
                <w:lang w:eastAsia="zh-CN"/>
                <w14:textFill>
                  <w14:solidFill>
                    <w14:schemeClr w14:val="tx1"/>
                  </w14:solidFill>
                </w14:textFill>
              </w:rPr>
              <w:t>根据调查，</w:t>
            </w:r>
            <w:r>
              <w:rPr>
                <w:rFonts w:hint="default" w:ascii="Times New Roman" w:hAnsi="Times New Roman" w:cs="Times New Roman"/>
                <w:b w:val="0"/>
                <w:bCs w:val="0"/>
                <w:color w:val="000000" w:themeColor="text1"/>
                <w:sz w:val="24"/>
                <w:szCs w:val="24"/>
                <w14:textFill>
                  <w14:solidFill>
                    <w14:schemeClr w14:val="tx1"/>
                  </w14:solidFill>
                </w14:textFill>
              </w:rPr>
              <w:t>项目</w:t>
            </w:r>
            <w:r>
              <w:rPr>
                <w:rFonts w:hint="default" w:ascii="Times New Roman" w:hAnsi="Times New Roman" w:cs="Times New Roman"/>
                <w:b w:val="0"/>
                <w:bCs w:val="0"/>
                <w:color w:val="000000" w:themeColor="text1"/>
                <w:sz w:val="24"/>
                <w:szCs w:val="24"/>
                <w:lang w:eastAsia="zh-CN"/>
                <w14:textFill>
                  <w14:solidFill>
                    <w14:schemeClr w14:val="tx1"/>
                  </w14:solidFill>
                </w14:textFill>
              </w:rPr>
              <w:t>厂</w:t>
            </w:r>
            <w:r>
              <w:rPr>
                <w:rFonts w:hint="default" w:ascii="Times New Roman" w:hAnsi="Times New Roman" w:cs="Times New Roman"/>
                <w:b w:val="0"/>
                <w:bCs w:val="0"/>
                <w:color w:val="000000" w:themeColor="text1"/>
                <w:sz w:val="24"/>
                <w:szCs w:val="24"/>
                <w14:textFill>
                  <w14:solidFill>
                    <w14:schemeClr w14:val="tx1"/>
                  </w14:solidFill>
                </w14:textFill>
              </w:rPr>
              <w:t>区</w:t>
            </w:r>
            <w:r>
              <w:rPr>
                <w:rFonts w:hint="default" w:ascii="Times New Roman" w:hAnsi="Times New Roman" w:cs="Times New Roman"/>
                <w:color w:val="000000" w:themeColor="text1"/>
                <w:sz w:val="24"/>
                <w:szCs w:val="24"/>
                <w14:textFill>
                  <w14:solidFill>
                    <w14:schemeClr w14:val="tx1"/>
                  </w14:solidFill>
                </w14:textFill>
              </w:rPr>
              <w:t>内</w:t>
            </w:r>
            <w:r>
              <w:rPr>
                <w:rFonts w:hint="default" w:ascii="Times New Roman" w:hAnsi="Times New Roman" w:cs="Times New Roman"/>
                <w:color w:val="000000" w:themeColor="text1"/>
                <w:sz w:val="24"/>
                <w:szCs w:val="24"/>
                <w:lang w:eastAsia="zh-CN"/>
                <w14:textFill>
                  <w14:solidFill>
                    <w14:schemeClr w14:val="tx1"/>
                  </w14:solidFill>
                </w14:textFill>
              </w:rPr>
              <w:t>现有</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绿化面积约</w:t>
            </w:r>
            <w:r>
              <w:rPr>
                <w:rFonts w:hint="default" w:ascii="Times New Roman" w:hAnsi="Times New Roman" w:cs="Times New Roman"/>
                <w:color w:val="000000" w:themeColor="text1"/>
                <w:sz w:val="24"/>
                <w:szCs w:val="24"/>
                <w14:textFill>
                  <w14:solidFill>
                    <w14:schemeClr w14:val="tx1"/>
                  </w14:solidFill>
                </w14:textFill>
              </w:rPr>
              <w:t>为</w:t>
            </w:r>
            <w:r>
              <w:rPr>
                <w:rFonts w:hint="default"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00m</w:t>
            </w:r>
            <w:r>
              <w:rPr>
                <w:rFonts w:hint="default" w:ascii="Times New Roman" w:hAnsi="Times New Roman" w:cs="Times New Roman"/>
                <w:color w:val="000000" w:themeColor="text1"/>
                <w:sz w:val="24"/>
                <w:szCs w:val="24"/>
                <w:vertAlign w:val="super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，根据《云南省地方标准 用水定额》（DB53/168-2019）</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，园林绿化用水定额为3L/(m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d</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)，晴天按200d计，晴天一天洒水一次，则晴天绿化用水为1.5m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 xml:space="preserve">3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/d，年用水量</w:t>
            </w:r>
            <w:r>
              <w:rPr>
                <w:rFonts w:hint="eastAsia" w:cs="Times New Roman"/>
                <w:color w:val="000000" w:themeColor="text1"/>
                <w:kern w:val="0"/>
                <w:sz w:val="24"/>
                <w:szCs w:val="24"/>
                <w:lang w:val="en-US" w:eastAsia="zh-CN" w:bidi="ar"/>
                <w14:textFill>
                  <w14:solidFill>
                    <w14:schemeClr w14:val="tx1"/>
                  </w14:solidFill>
                </w14:textFill>
              </w:rPr>
              <w:t>30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 xml:space="preserve">3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/a。绿化用水自然蒸发，无废水产生。</w:t>
            </w:r>
          </w:p>
          <w:p w14:paraId="065ABB34">
            <w:pPr>
              <w:pStyle w:val="14"/>
              <w:widowControl w:val="0"/>
              <w:adjustRightInd w:val="0"/>
              <w:snapToGrid/>
              <w:spacing w:before="0" w:after="0" w:line="360" w:lineRule="auto"/>
              <w:ind w:right="0" w:firstLine="482" w:firstLineChars="200"/>
              <w:jc w:val="lef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（3）噪声</w:t>
            </w:r>
          </w:p>
          <w:p w14:paraId="2BEEA174">
            <w:pPr>
              <w:pStyle w:val="13"/>
              <w:spacing w:line="360" w:lineRule="auto"/>
              <w:ind w:firstLine="480" w:firstLineChars="200"/>
              <w:rPr>
                <w:color w:val="000000" w:themeColor="text1"/>
                <w:sz w:val="24"/>
                <w:lang w:val="zh-CN"/>
                <w14:textFill>
                  <w14:solidFill>
                    <w14:schemeClr w14:val="tx1"/>
                  </w14:solidFill>
                </w14:textFill>
              </w:rPr>
            </w:pPr>
            <w:r>
              <w:rPr>
                <w:rFonts w:hint="default" w:ascii="Times New Roman" w:hAnsi="Times New Roman" w:eastAsia="宋体" w:cs="Times New Roman"/>
                <w:b w:val="0"/>
                <w:bCs w:val="0"/>
                <w:color w:val="000000" w:themeColor="text1"/>
                <w:sz w:val="24"/>
                <w:lang w:val="zh-CN" w:eastAsia="zh-CN"/>
                <w14:textFill>
                  <w14:solidFill>
                    <w14:schemeClr w14:val="tx1"/>
                  </w14:solidFill>
                </w14:textFill>
              </w:rPr>
              <w:t>噪声主要为</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发料机、</w:t>
            </w:r>
            <w:r>
              <w:rPr>
                <w:rFonts w:hint="eastAsia" w:cs="Times New Roman"/>
                <w:b w:val="0"/>
                <w:bCs w:val="0"/>
                <w:color w:val="000000" w:themeColor="text1"/>
                <w:sz w:val="24"/>
                <w:lang w:val="en-US" w:eastAsia="zh-CN"/>
                <w14:textFill>
                  <w14:solidFill>
                    <w14:schemeClr w14:val="tx1"/>
                  </w14:solidFill>
                </w14:textFill>
              </w:rPr>
              <w:t>成型机</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、空压机、烘干房风机、切割机、锅炉等生产</w:t>
            </w:r>
            <w:r>
              <w:rPr>
                <w:rFonts w:hint="default" w:ascii="Times New Roman" w:hAnsi="Times New Roman" w:eastAsia="宋体" w:cs="Times New Roman"/>
                <w:b w:val="0"/>
                <w:bCs w:val="0"/>
                <w:color w:val="000000" w:themeColor="text1"/>
                <w:sz w:val="24"/>
                <w:lang w:val="zh-CN" w:eastAsia="zh-CN"/>
                <w14:textFill>
                  <w14:solidFill>
                    <w14:schemeClr w14:val="tx1"/>
                  </w14:solidFill>
                </w14:textFill>
              </w:rPr>
              <w:t>设备产生的噪声，声源强度在75~</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85</w:t>
            </w:r>
            <w:r>
              <w:rPr>
                <w:rFonts w:hint="default" w:ascii="Times New Roman" w:hAnsi="Times New Roman" w:eastAsia="宋体" w:cs="Times New Roman"/>
                <w:b w:val="0"/>
                <w:bCs w:val="0"/>
                <w:color w:val="000000" w:themeColor="text1"/>
                <w:sz w:val="24"/>
                <w:lang w:val="zh-CN" w:eastAsia="zh-CN"/>
                <w14:textFill>
                  <w14:solidFill>
                    <w14:schemeClr w14:val="tx1"/>
                  </w14:solidFill>
                </w14:textFill>
              </w:rPr>
              <w:t>dB(A)之间</w:t>
            </w:r>
            <w:r>
              <w:rPr>
                <w:rFonts w:hint="eastAsia" w:ascii="Times New Roman" w:hAnsi="Times New Roman" w:eastAsia="宋体" w:cs="Times New Roman"/>
                <w:b w:val="0"/>
                <w:bCs w:val="0"/>
                <w:color w:val="000000" w:themeColor="text1"/>
                <w:sz w:val="24"/>
                <w:lang w:val="zh-CN" w:eastAsia="zh-CN"/>
                <w14:textFill>
                  <w14:solidFill>
                    <w14:schemeClr w14:val="tx1"/>
                  </w14:solidFill>
                </w14:textFill>
              </w:rPr>
              <w:t>。</w:t>
            </w:r>
            <w:r>
              <w:rPr>
                <w:color w:val="000000" w:themeColor="text1"/>
                <w:sz w:val="24"/>
                <w14:textFill>
                  <w14:solidFill>
                    <w14:schemeClr w14:val="tx1"/>
                  </w14:solidFill>
                </w14:textFill>
              </w:rPr>
              <w:t>项目</w:t>
            </w:r>
            <w:r>
              <w:rPr>
                <w:color w:val="000000" w:themeColor="text1"/>
                <w:sz w:val="24"/>
                <w:lang w:val="zh-CN"/>
                <w14:textFill>
                  <w14:solidFill>
                    <w14:schemeClr w14:val="tx1"/>
                  </w14:solidFill>
                </w14:textFill>
              </w:rPr>
              <w:t>噪声</w:t>
            </w:r>
            <w:r>
              <w:rPr>
                <w:rFonts w:hint="eastAsia"/>
                <w:color w:val="000000" w:themeColor="text1"/>
                <w:sz w:val="24"/>
                <w:lang w:val="zh-CN"/>
                <w14:textFill>
                  <w14:solidFill>
                    <w14:schemeClr w14:val="tx1"/>
                  </w14:solidFill>
                </w14:textFill>
              </w:rPr>
              <w:t>为设备</w:t>
            </w:r>
            <w:r>
              <w:rPr>
                <w:color w:val="000000" w:themeColor="text1"/>
                <w:sz w:val="24"/>
                <w:lang w:val="zh-CN"/>
                <w14:textFill>
                  <w14:solidFill>
                    <w14:schemeClr w14:val="tx1"/>
                  </w14:solidFill>
                </w14:textFill>
              </w:rPr>
              <w:t>运行时产生的机械噪声，均为持续性排放源。</w:t>
            </w:r>
          </w:p>
          <w:p w14:paraId="100211E2">
            <w:pPr>
              <w:adjustRightIn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val="zh-CN"/>
                <w14:textFill>
                  <w14:solidFill>
                    <w14:schemeClr w14:val="tx1"/>
                  </w14:solidFill>
                </w14:textFill>
              </w:rPr>
              <w:t>根据调查，现有项目</w:t>
            </w:r>
            <w:r>
              <w:rPr>
                <w:color w:val="000000" w:themeColor="text1"/>
                <w:sz w:val="24"/>
                <w:lang w:val="zh-CN"/>
                <w14:textFill>
                  <w14:solidFill>
                    <w14:schemeClr w14:val="tx1"/>
                  </w14:solidFill>
                </w14:textFill>
              </w:rPr>
              <w:t>将</w:t>
            </w:r>
            <w:r>
              <w:rPr>
                <w:rFonts w:hint="eastAsia"/>
                <w:color w:val="000000" w:themeColor="text1"/>
                <w:sz w:val="24"/>
                <w:lang w:val="zh-CN"/>
                <w14:textFill>
                  <w14:solidFill>
                    <w14:schemeClr w14:val="tx1"/>
                  </w14:solidFill>
                </w14:textFill>
              </w:rPr>
              <w:t>生产</w:t>
            </w:r>
            <w:r>
              <w:rPr>
                <w:color w:val="000000" w:themeColor="text1"/>
                <w:sz w:val="24"/>
                <w:lang w:val="zh-CN"/>
                <w14:textFill>
                  <w14:solidFill>
                    <w14:schemeClr w14:val="tx1"/>
                  </w14:solidFill>
                </w14:textFill>
              </w:rPr>
              <w:t>设备置于生产车间内，充分利用厂房隔声；同时选用</w:t>
            </w:r>
            <w:r>
              <w:rPr>
                <w:rFonts w:hint="eastAsia"/>
                <w:color w:val="000000" w:themeColor="text1"/>
                <w:sz w:val="24"/>
                <w:lang w:val="zh-CN"/>
                <w14:textFill>
                  <w14:solidFill>
                    <w14:schemeClr w14:val="tx1"/>
                  </w14:solidFill>
                </w14:textFill>
              </w:rPr>
              <w:t>了</w:t>
            </w:r>
            <w:r>
              <w:rPr>
                <w:color w:val="000000" w:themeColor="text1"/>
                <w:sz w:val="24"/>
                <w:lang w:val="zh-CN"/>
                <w14:textFill>
                  <w14:solidFill>
                    <w14:schemeClr w14:val="tx1"/>
                  </w14:solidFill>
                </w14:textFill>
              </w:rPr>
              <w:t>低噪声设备，在各设备底部设置减振垫、加装消声器</w:t>
            </w:r>
            <w:r>
              <w:rPr>
                <w:color w:val="000000" w:themeColor="text1"/>
                <w:sz w:val="24"/>
                <w14:textFill>
                  <w14:solidFill>
                    <w14:schemeClr w14:val="tx1"/>
                  </w14:solidFill>
                </w14:textFill>
              </w:rPr>
              <w:t>。</w:t>
            </w:r>
          </w:p>
          <w:p w14:paraId="374B6A68">
            <w:pPr>
              <w:adjustRightInd w:val="0"/>
              <w:spacing w:line="360" w:lineRule="auto"/>
              <w:ind w:firstLine="480" w:firstLineChars="200"/>
              <w:rPr>
                <w:rFonts w:hint="eastAsia" w:eastAsia="宋体"/>
                <w:b/>
                <w:bCs/>
                <w:color w:val="000000" w:themeColor="text1"/>
                <w:sz w:val="24"/>
                <w:lang w:eastAsia="zh-CN"/>
                <w14:textFill>
                  <w14:solidFill>
                    <w14:schemeClr w14:val="tx1"/>
                  </w14:solidFill>
                </w14:textFill>
              </w:rPr>
            </w:pPr>
            <w:r>
              <w:rPr>
                <w:color w:val="000000" w:themeColor="text1"/>
                <w:sz w:val="24"/>
                <w14:textFill>
                  <w14:solidFill>
                    <w14:schemeClr w14:val="tx1"/>
                  </w14:solidFill>
                </w14:textFill>
              </w:rPr>
              <w:t>根据</w:t>
            </w:r>
            <w:r>
              <w:rPr>
                <w:rFonts w:hint="eastAsia"/>
                <w:color w:val="000000" w:themeColor="text1"/>
                <w:sz w:val="24"/>
                <w:lang w:eastAsia="zh-CN"/>
                <w14:textFill>
                  <w14:solidFill>
                    <w14:schemeClr w14:val="tx1"/>
                  </w14:solidFill>
                </w14:textFill>
              </w:rPr>
              <w:t>建设单位</w:t>
            </w:r>
            <w:r>
              <w:rPr>
                <w:rFonts w:hint="eastAsia"/>
                <w:color w:val="000000" w:themeColor="text1"/>
                <w:sz w:val="24"/>
                <w:lang w:val="en-US" w:eastAsia="zh-CN"/>
                <w14:textFill>
                  <w14:solidFill>
                    <w14:schemeClr w14:val="tx1"/>
                  </w14:solidFill>
                </w14:textFill>
              </w:rPr>
              <w:t>竣工验收监测结果，厂界西侧、北侧、南侧噪声均</w:t>
            </w:r>
            <w:r>
              <w:rPr>
                <w:color w:val="000000" w:themeColor="text1"/>
                <w:sz w:val="24"/>
                <w14:textFill>
                  <w14:solidFill>
                    <w14:schemeClr w14:val="tx1"/>
                  </w14:solidFill>
                </w14:textFill>
              </w:rPr>
              <w:t>满足《工业企业厂界环境噪声排放标准》（GB12348-2008）</w:t>
            </w:r>
            <w:r>
              <w:rPr>
                <w:rFonts w:hint="eastAsia"/>
                <w:color w:val="000000" w:themeColor="text1"/>
                <w:sz w:val="24"/>
                <w:lang w:val="en-US" w:eastAsia="zh-CN"/>
                <w14:textFill>
                  <w14:solidFill>
                    <w14:schemeClr w14:val="tx1"/>
                  </w14:solidFill>
                </w14:textFill>
              </w:rPr>
              <w:t>3</w:t>
            </w:r>
            <w:r>
              <w:rPr>
                <w:color w:val="000000" w:themeColor="text1"/>
                <w:sz w:val="24"/>
                <w14:textFill>
                  <w14:solidFill>
                    <w14:schemeClr w14:val="tx1"/>
                  </w14:solidFill>
                </w14:textFill>
              </w:rPr>
              <w:t>类标准限值要求</w:t>
            </w:r>
            <w:r>
              <w:rPr>
                <w:rFonts w:hint="eastAsia"/>
                <w:color w:val="000000" w:themeColor="text1"/>
                <w:sz w:val="24"/>
                <w:lang w:eastAsia="zh-CN"/>
                <w14:textFill>
                  <w14:solidFill>
                    <w14:schemeClr w14:val="tx1"/>
                  </w14:solidFill>
                </w14:textFill>
              </w:rPr>
              <w:t>，东侧满足</w:t>
            </w:r>
            <w:r>
              <w:rPr>
                <w:rFonts w:hint="eastAsia"/>
                <w:color w:val="000000" w:themeColor="text1"/>
                <w:sz w:val="24"/>
                <w:lang w:val="en-US" w:eastAsia="zh-CN"/>
                <w14:textFill>
                  <w14:solidFill>
                    <w14:schemeClr w14:val="tx1"/>
                  </w14:solidFill>
                </w14:textFill>
              </w:rPr>
              <w:t>4类</w:t>
            </w:r>
            <w:r>
              <w:rPr>
                <w:color w:val="000000" w:themeColor="text1"/>
                <w:sz w:val="24"/>
                <w14:textFill>
                  <w14:solidFill>
                    <w14:schemeClr w14:val="tx1"/>
                  </w14:solidFill>
                </w14:textFill>
              </w:rPr>
              <w:t>标准限值要求。</w:t>
            </w:r>
            <w:r>
              <w:rPr>
                <w:rFonts w:hint="eastAsia"/>
                <w:color w:val="000000" w:themeColor="text1"/>
                <w:sz w:val="24"/>
                <w:lang w:eastAsia="zh-CN"/>
                <w14:textFill>
                  <w14:solidFill>
                    <w14:schemeClr w14:val="tx1"/>
                  </w14:solidFill>
                </w14:textFill>
              </w:rPr>
              <w:t>监测结果一览表详见下表。</w:t>
            </w:r>
          </w:p>
          <w:p w14:paraId="75DF682F">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表</w:t>
            </w:r>
            <w:r>
              <w:rPr>
                <w:rFonts w:hint="eastAsia"/>
                <w:b/>
                <w:bCs/>
                <w:color w:val="000000" w:themeColor="text1"/>
                <w:sz w:val="21"/>
                <w:szCs w:val="21"/>
                <w:lang w:val="en-US" w:eastAsia="zh-CN"/>
                <w14:textFill>
                  <w14:solidFill>
                    <w14:schemeClr w14:val="tx1"/>
                  </w14:solidFill>
                </w14:textFill>
              </w:rPr>
              <w:t>2-16  现有项目厂界噪声监测结果  单位：db（A）</w:t>
            </w:r>
          </w:p>
          <w:tbl>
            <w:tblPr>
              <w:tblStyle w:val="3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1"/>
              <w:gridCol w:w="1403"/>
              <w:gridCol w:w="1403"/>
              <w:gridCol w:w="1403"/>
              <w:gridCol w:w="1403"/>
              <w:gridCol w:w="1403"/>
            </w:tblGrid>
            <w:tr w14:paraId="4E37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14:paraId="6FD4FF65">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themeColor="text1"/>
                      <w:sz w:val="21"/>
                      <w:szCs w:val="21"/>
                      <w:vertAlign w:val="baseline"/>
                      <w:lang w:eastAsia="zh-CN"/>
                      <w14:textFill>
                        <w14:solidFill>
                          <w14:schemeClr w14:val="tx1"/>
                        </w14:solidFill>
                      </w14:textFill>
                    </w:rPr>
                  </w:pPr>
                  <w:r>
                    <w:rPr>
                      <w:rFonts w:hint="eastAsia"/>
                      <w:b/>
                      <w:bCs/>
                      <w:color w:val="000000" w:themeColor="text1"/>
                      <w:sz w:val="21"/>
                      <w:szCs w:val="21"/>
                      <w:vertAlign w:val="baseline"/>
                      <w:lang w:eastAsia="zh-CN"/>
                      <w14:textFill>
                        <w14:solidFill>
                          <w14:schemeClr w14:val="tx1"/>
                        </w14:solidFill>
                      </w14:textFill>
                    </w:rPr>
                    <w:t>监测点位</w:t>
                  </w:r>
                </w:p>
              </w:tc>
              <w:tc>
                <w:tcPr>
                  <w:tcW w:w="833" w:type="pct"/>
                  <w:vAlign w:val="center"/>
                </w:tcPr>
                <w:p w14:paraId="61061CF9">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themeColor="text1"/>
                      <w:sz w:val="21"/>
                      <w:szCs w:val="21"/>
                      <w:vertAlign w:val="baseline"/>
                      <w:lang w:eastAsia="zh-CN"/>
                      <w14:textFill>
                        <w14:solidFill>
                          <w14:schemeClr w14:val="tx1"/>
                        </w14:solidFill>
                      </w14:textFill>
                    </w:rPr>
                  </w:pPr>
                  <w:r>
                    <w:rPr>
                      <w:rFonts w:hint="eastAsia"/>
                      <w:b/>
                      <w:bCs/>
                      <w:color w:val="000000" w:themeColor="text1"/>
                      <w:sz w:val="21"/>
                      <w:szCs w:val="21"/>
                      <w:vertAlign w:val="baseline"/>
                      <w:lang w:eastAsia="zh-CN"/>
                      <w14:textFill>
                        <w14:solidFill>
                          <w14:schemeClr w14:val="tx1"/>
                        </w14:solidFill>
                      </w14:textFill>
                    </w:rPr>
                    <w:t>监测时间</w:t>
                  </w:r>
                </w:p>
              </w:tc>
              <w:tc>
                <w:tcPr>
                  <w:tcW w:w="833" w:type="pct"/>
                  <w:vAlign w:val="center"/>
                </w:tcPr>
                <w:p w14:paraId="74A0BA78">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themeColor="text1"/>
                      <w:sz w:val="21"/>
                      <w:szCs w:val="21"/>
                      <w:vertAlign w:val="baseline"/>
                      <w:lang w:eastAsia="zh-CN"/>
                      <w14:textFill>
                        <w14:solidFill>
                          <w14:schemeClr w14:val="tx1"/>
                        </w14:solidFill>
                      </w14:textFill>
                    </w:rPr>
                  </w:pPr>
                  <w:r>
                    <w:rPr>
                      <w:rFonts w:hint="eastAsia"/>
                      <w:b/>
                      <w:bCs/>
                      <w:color w:val="000000" w:themeColor="text1"/>
                      <w:sz w:val="21"/>
                      <w:szCs w:val="21"/>
                      <w:vertAlign w:val="baseline"/>
                      <w:lang w:eastAsia="zh-CN"/>
                      <w14:textFill>
                        <w14:solidFill>
                          <w14:schemeClr w14:val="tx1"/>
                        </w14:solidFill>
                      </w14:textFill>
                    </w:rPr>
                    <w:t>监测时段</w:t>
                  </w:r>
                </w:p>
              </w:tc>
              <w:tc>
                <w:tcPr>
                  <w:tcW w:w="833" w:type="pct"/>
                  <w:vAlign w:val="center"/>
                </w:tcPr>
                <w:p w14:paraId="2A160A51">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themeColor="text1"/>
                      <w:sz w:val="21"/>
                      <w:szCs w:val="21"/>
                      <w:vertAlign w:val="baseline"/>
                      <w:lang w:eastAsia="zh-CN"/>
                      <w14:textFill>
                        <w14:solidFill>
                          <w14:schemeClr w14:val="tx1"/>
                        </w14:solidFill>
                      </w14:textFill>
                    </w:rPr>
                  </w:pPr>
                  <w:r>
                    <w:rPr>
                      <w:rFonts w:hint="eastAsia"/>
                      <w:b/>
                      <w:bCs/>
                      <w:color w:val="000000" w:themeColor="text1"/>
                      <w:sz w:val="21"/>
                      <w:szCs w:val="21"/>
                      <w:vertAlign w:val="baseline"/>
                      <w:lang w:eastAsia="zh-CN"/>
                      <w14:textFill>
                        <w14:solidFill>
                          <w14:schemeClr w14:val="tx1"/>
                        </w14:solidFill>
                      </w14:textFill>
                    </w:rPr>
                    <w:t>监测结果</w:t>
                  </w:r>
                </w:p>
              </w:tc>
              <w:tc>
                <w:tcPr>
                  <w:tcW w:w="833" w:type="pct"/>
                  <w:vAlign w:val="center"/>
                </w:tcPr>
                <w:p w14:paraId="223890A4">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themeColor="text1"/>
                      <w:sz w:val="21"/>
                      <w:szCs w:val="21"/>
                      <w:vertAlign w:val="baseline"/>
                      <w:lang w:eastAsia="zh-CN"/>
                      <w14:textFill>
                        <w14:solidFill>
                          <w14:schemeClr w14:val="tx1"/>
                        </w14:solidFill>
                      </w14:textFill>
                    </w:rPr>
                  </w:pPr>
                  <w:r>
                    <w:rPr>
                      <w:rFonts w:hint="eastAsia"/>
                      <w:b/>
                      <w:bCs/>
                      <w:color w:val="000000" w:themeColor="text1"/>
                      <w:sz w:val="21"/>
                      <w:szCs w:val="21"/>
                      <w:vertAlign w:val="baseline"/>
                      <w:lang w:eastAsia="zh-CN"/>
                      <w14:textFill>
                        <w14:solidFill>
                          <w14:schemeClr w14:val="tx1"/>
                        </w14:solidFill>
                      </w14:textFill>
                    </w:rPr>
                    <w:t>标准限值</w:t>
                  </w:r>
                </w:p>
              </w:tc>
              <w:tc>
                <w:tcPr>
                  <w:tcW w:w="833" w:type="pct"/>
                  <w:shd w:val="clear" w:color="auto" w:fill="auto"/>
                  <w:vAlign w:val="center"/>
                </w:tcPr>
                <w:p w14:paraId="2D46D047">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eastAsia"/>
                      <w:b/>
                      <w:bCs/>
                      <w:color w:val="000000" w:themeColor="text1"/>
                      <w:sz w:val="21"/>
                      <w:szCs w:val="21"/>
                      <w:vertAlign w:val="baseline"/>
                      <w:lang w:eastAsia="zh-CN"/>
                      <w14:textFill>
                        <w14:solidFill>
                          <w14:schemeClr w14:val="tx1"/>
                        </w14:solidFill>
                      </w14:textFill>
                    </w:rPr>
                    <w:t>达标情况</w:t>
                  </w:r>
                </w:p>
              </w:tc>
            </w:tr>
            <w:tr w14:paraId="20C48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restart"/>
                  <w:vAlign w:val="center"/>
                </w:tcPr>
                <w:p w14:paraId="3E543806">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厂界北</w:t>
                  </w:r>
                </w:p>
              </w:tc>
              <w:tc>
                <w:tcPr>
                  <w:tcW w:w="833" w:type="pct"/>
                  <w:vMerge w:val="restart"/>
                  <w:vAlign w:val="center"/>
                </w:tcPr>
                <w:p w14:paraId="6241CF93">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2021.1.27</w:t>
                  </w:r>
                </w:p>
              </w:tc>
              <w:tc>
                <w:tcPr>
                  <w:tcW w:w="833" w:type="pct"/>
                  <w:vAlign w:val="center"/>
                </w:tcPr>
                <w:p w14:paraId="42A33287">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昼间</w:t>
                  </w:r>
                </w:p>
              </w:tc>
              <w:tc>
                <w:tcPr>
                  <w:tcW w:w="833" w:type="pct"/>
                  <w:vAlign w:val="center"/>
                </w:tcPr>
                <w:p w14:paraId="5158C36F">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56.8</w:t>
                  </w:r>
                </w:p>
              </w:tc>
              <w:tc>
                <w:tcPr>
                  <w:tcW w:w="833" w:type="pct"/>
                  <w:vAlign w:val="center"/>
                </w:tcPr>
                <w:p w14:paraId="5BB82344">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65</w:t>
                  </w:r>
                </w:p>
              </w:tc>
              <w:tc>
                <w:tcPr>
                  <w:tcW w:w="833" w:type="pct"/>
                  <w:vAlign w:val="center"/>
                </w:tcPr>
                <w:p w14:paraId="319965BC">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达标</w:t>
                  </w:r>
                </w:p>
              </w:tc>
            </w:tr>
            <w:tr w14:paraId="7CE19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continue"/>
                  <w:vAlign w:val="center"/>
                </w:tcPr>
                <w:p w14:paraId="6C288FC2">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p>
              </w:tc>
              <w:tc>
                <w:tcPr>
                  <w:tcW w:w="833" w:type="pct"/>
                  <w:vMerge w:val="continue"/>
                  <w:vAlign w:val="center"/>
                </w:tcPr>
                <w:p w14:paraId="48EE71FB">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p>
              </w:tc>
              <w:tc>
                <w:tcPr>
                  <w:tcW w:w="833" w:type="pct"/>
                  <w:vAlign w:val="center"/>
                </w:tcPr>
                <w:p w14:paraId="7F5F2AE3">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夜间</w:t>
                  </w:r>
                </w:p>
              </w:tc>
              <w:tc>
                <w:tcPr>
                  <w:tcW w:w="833" w:type="pct"/>
                  <w:vAlign w:val="center"/>
                </w:tcPr>
                <w:p w14:paraId="4589966D">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46.6</w:t>
                  </w:r>
                </w:p>
              </w:tc>
              <w:tc>
                <w:tcPr>
                  <w:tcW w:w="833" w:type="pct"/>
                  <w:vAlign w:val="center"/>
                </w:tcPr>
                <w:p w14:paraId="27368EA0">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55</w:t>
                  </w:r>
                </w:p>
              </w:tc>
              <w:tc>
                <w:tcPr>
                  <w:tcW w:w="833" w:type="pct"/>
                  <w:vAlign w:val="center"/>
                </w:tcPr>
                <w:p w14:paraId="5E54FD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达标</w:t>
                  </w:r>
                </w:p>
              </w:tc>
            </w:tr>
            <w:tr w14:paraId="36395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continue"/>
                  <w:vAlign w:val="center"/>
                </w:tcPr>
                <w:p w14:paraId="6529131E">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p>
              </w:tc>
              <w:tc>
                <w:tcPr>
                  <w:tcW w:w="833" w:type="pct"/>
                  <w:vMerge w:val="restart"/>
                  <w:vAlign w:val="center"/>
                </w:tcPr>
                <w:p w14:paraId="4C858301">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2021.1.28</w:t>
                  </w:r>
                </w:p>
              </w:tc>
              <w:tc>
                <w:tcPr>
                  <w:tcW w:w="833" w:type="pct"/>
                  <w:vAlign w:val="center"/>
                </w:tcPr>
                <w:p w14:paraId="10284D6A">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昼间</w:t>
                  </w:r>
                </w:p>
              </w:tc>
              <w:tc>
                <w:tcPr>
                  <w:tcW w:w="833" w:type="pct"/>
                  <w:vAlign w:val="center"/>
                </w:tcPr>
                <w:p w14:paraId="142F9497">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58.7</w:t>
                  </w:r>
                </w:p>
              </w:tc>
              <w:tc>
                <w:tcPr>
                  <w:tcW w:w="833" w:type="pct"/>
                  <w:vAlign w:val="center"/>
                </w:tcPr>
                <w:p w14:paraId="7378B4FB">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65</w:t>
                  </w:r>
                </w:p>
              </w:tc>
              <w:tc>
                <w:tcPr>
                  <w:tcW w:w="833" w:type="pct"/>
                  <w:vAlign w:val="center"/>
                </w:tcPr>
                <w:p w14:paraId="350AB4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达标</w:t>
                  </w:r>
                </w:p>
              </w:tc>
            </w:tr>
            <w:tr w14:paraId="33A5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continue"/>
                  <w:vAlign w:val="center"/>
                </w:tcPr>
                <w:p w14:paraId="4D5F49E7">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p>
              </w:tc>
              <w:tc>
                <w:tcPr>
                  <w:tcW w:w="833" w:type="pct"/>
                  <w:vMerge w:val="continue"/>
                  <w:vAlign w:val="center"/>
                </w:tcPr>
                <w:p w14:paraId="53564BE9">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p>
              </w:tc>
              <w:tc>
                <w:tcPr>
                  <w:tcW w:w="833" w:type="pct"/>
                  <w:vAlign w:val="center"/>
                </w:tcPr>
                <w:p w14:paraId="45094E00">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夜间</w:t>
                  </w:r>
                </w:p>
              </w:tc>
              <w:tc>
                <w:tcPr>
                  <w:tcW w:w="833" w:type="pct"/>
                  <w:vAlign w:val="center"/>
                </w:tcPr>
                <w:p w14:paraId="504C7273">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49.4</w:t>
                  </w:r>
                </w:p>
              </w:tc>
              <w:tc>
                <w:tcPr>
                  <w:tcW w:w="833" w:type="pct"/>
                  <w:vAlign w:val="center"/>
                </w:tcPr>
                <w:p w14:paraId="587CE4B5">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55</w:t>
                  </w:r>
                </w:p>
              </w:tc>
              <w:tc>
                <w:tcPr>
                  <w:tcW w:w="833" w:type="pct"/>
                  <w:vAlign w:val="center"/>
                </w:tcPr>
                <w:p w14:paraId="6FBFA9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达标</w:t>
                  </w:r>
                </w:p>
              </w:tc>
            </w:tr>
            <w:tr w14:paraId="50011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restart"/>
                  <w:vAlign w:val="center"/>
                </w:tcPr>
                <w:p w14:paraId="55B3F67F">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厂界西</w:t>
                  </w:r>
                </w:p>
              </w:tc>
              <w:tc>
                <w:tcPr>
                  <w:tcW w:w="833" w:type="pct"/>
                  <w:vMerge w:val="restart"/>
                  <w:vAlign w:val="center"/>
                </w:tcPr>
                <w:p w14:paraId="2E3A6C88">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2021.1.27</w:t>
                  </w:r>
                </w:p>
              </w:tc>
              <w:tc>
                <w:tcPr>
                  <w:tcW w:w="833" w:type="pct"/>
                  <w:vAlign w:val="center"/>
                </w:tcPr>
                <w:p w14:paraId="258ADDED">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昼间</w:t>
                  </w:r>
                </w:p>
              </w:tc>
              <w:tc>
                <w:tcPr>
                  <w:tcW w:w="833" w:type="pct"/>
                  <w:vAlign w:val="center"/>
                </w:tcPr>
                <w:p w14:paraId="1F3B0CE1">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56.3</w:t>
                  </w:r>
                </w:p>
              </w:tc>
              <w:tc>
                <w:tcPr>
                  <w:tcW w:w="1405" w:type="dxa"/>
                  <w:vAlign w:val="center"/>
                </w:tcPr>
                <w:p w14:paraId="71A3F901">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65</w:t>
                  </w:r>
                </w:p>
              </w:tc>
              <w:tc>
                <w:tcPr>
                  <w:tcW w:w="833" w:type="pct"/>
                  <w:vAlign w:val="center"/>
                </w:tcPr>
                <w:p w14:paraId="008E9D8B">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达标</w:t>
                  </w:r>
                </w:p>
              </w:tc>
            </w:tr>
            <w:tr w14:paraId="37CF7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continue"/>
                  <w:vAlign w:val="center"/>
                </w:tcPr>
                <w:p w14:paraId="00ECD6F0">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p>
              </w:tc>
              <w:tc>
                <w:tcPr>
                  <w:tcW w:w="833" w:type="pct"/>
                  <w:vMerge w:val="continue"/>
                  <w:vAlign w:val="center"/>
                </w:tcPr>
                <w:p w14:paraId="4568944C">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p>
              </w:tc>
              <w:tc>
                <w:tcPr>
                  <w:tcW w:w="833" w:type="pct"/>
                  <w:vAlign w:val="center"/>
                </w:tcPr>
                <w:p w14:paraId="0E172A6A">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夜间</w:t>
                  </w:r>
                </w:p>
              </w:tc>
              <w:tc>
                <w:tcPr>
                  <w:tcW w:w="833" w:type="pct"/>
                  <w:vAlign w:val="center"/>
                </w:tcPr>
                <w:p w14:paraId="3E604F9F">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44.3</w:t>
                  </w:r>
                </w:p>
              </w:tc>
              <w:tc>
                <w:tcPr>
                  <w:tcW w:w="1405" w:type="dxa"/>
                  <w:vAlign w:val="center"/>
                </w:tcPr>
                <w:p w14:paraId="7ADD4849">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55</w:t>
                  </w:r>
                </w:p>
              </w:tc>
              <w:tc>
                <w:tcPr>
                  <w:tcW w:w="833" w:type="pct"/>
                  <w:vAlign w:val="center"/>
                </w:tcPr>
                <w:p w14:paraId="60933A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达标</w:t>
                  </w:r>
                </w:p>
              </w:tc>
            </w:tr>
            <w:tr w14:paraId="3D8C2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continue"/>
                  <w:vAlign w:val="center"/>
                </w:tcPr>
                <w:p w14:paraId="74CD3207">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p>
              </w:tc>
              <w:tc>
                <w:tcPr>
                  <w:tcW w:w="833" w:type="pct"/>
                  <w:vMerge w:val="restart"/>
                  <w:vAlign w:val="center"/>
                </w:tcPr>
                <w:p w14:paraId="4EB6B90B">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2021.1.28</w:t>
                  </w:r>
                </w:p>
              </w:tc>
              <w:tc>
                <w:tcPr>
                  <w:tcW w:w="833" w:type="pct"/>
                  <w:vAlign w:val="center"/>
                </w:tcPr>
                <w:p w14:paraId="38E136CF">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昼间</w:t>
                  </w:r>
                </w:p>
              </w:tc>
              <w:tc>
                <w:tcPr>
                  <w:tcW w:w="833" w:type="pct"/>
                  <w:vAlign w:val="center"/>
                </w:tcPr>
                <w:p w14:paraId="374FAA54">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57.1</w:t>
                  </w:r>
                </w:p>
              </w:tc>
              <w:tc>
                <w:tcPr>
                  <w:tcW w:w="1405" w:type="dxa"/>
                  <w:vAlign w:val="center"/>
                </w:tcPr>
                <w:p w14:paraId="71C8ADE8">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65</w:t>
                  </w:r>
                </w:p>
              </w:tc>
              <w:tc>
                <w:tcPr>
                  <w:tcW w:w="833" w:type="pct"/>
                  <w:vAlign w:val="center"/>
                </w:tcPr>
                <w:p w14:paraId="5E5537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达标</w:t>
                  </w:r>
                </w:p>
              </w:tc>
            </w:tr>
            <w:tr w14:paraId="7A683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continue"/>
                  <w:vAlign w:val="center"/>
                </w:tcPr>
                <w:p w14:paraId="7E31CE7C">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p>
              </w:tc>
              <w:tc>
                <w:tcPr>
                  <w:tcW w:w="833" w:type="pct"/>
                  <w:vMerge w:val="continue"/>
                  <w:vAlign w:val="center"/>
                </w:tcPr>
                <w:p w14:paraId="602F074D">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p>
              </w:tc>
              <w:tc>
                <w:tcPr>
                  <w:tcW w:w="833" w:type="pct"/>
                  <w:vAlign w:val="center"/>
                </w:tcPr>
                <w:p w14:paraId="471D2768">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夜间</w:t>
                  </w:r>
                </w:p>
              </w:tc>
              <w:tc>
                <w:tcPr>
                  <w:tcW w:w="833" w:type="pct"/>
                  <w:vAlign w:val="center"/>
                </w:tcPr>
                <w:p w14:paraId="62E33F84">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45.3</w:t>
                  </w:r>
                </w:p>
              </w:tc>
              <w:tc>
                <w:tcPr>
                  <w:tcW w:w="1405" w:type="dxa"/>
                  <w:vAlign w:val="center"/>
                </w:tcPr>
                <w:p w14:paraId="5AC19ABB">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55</w:t>
                  </w:r>
                </w:p>
              </w:tc>
              <w:tc>
                <w:tcPr>
                  <w:tcW w:w="833" w:type="pct"/>
                  <w:vAlign w:val="center"/>
                </w:tcPr>
                <w:p w14:paraId="1E6EF6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达标</w:t>
                  </w:r>
                </w:p>
              </w:tc>
            </w:tr>
            <w:tr w14:paraId="253DD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restart"/>
                  <w:vAlign w:val="center"/>
                </w:tcPr>
                <w:p w14:paraId="07E1660F">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厂界南</w:t>
                  </w:r>
                </w:p>
              </w:tc>
              <w:tc>
                <w:tcPr>
                  <w:tcW w:w="833" w:type="pct"/>
                  <w:vMerge w:val="restart"/>
                  <w:vAlign w:val="center"/>
                </w:tcPr>
                <w:p w14:paraId="7969F11A">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2021.1.27</w:t>
                  </w:r>
                </w:p>
              </w:tc>
              <w:tc>
                <w:tcPr>
                  <w:tcW w:w="833" w:type="pct"/>
                  <w:vAlign w:val="center"/>
                </w:tcPr>
                <w:p w14:paraId="7D0742E9">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昼间</w:t>
                  </w:r>
                </w:p>
              </w:tc>
              <w:tc>
                <w:tcPr>
                  <w:tcW w:w="833" w:type="pct"/>
                  <w:vAlign w:val="center"/>
                </w:tcPr>
                <w:p w14:paraId="5E46049A">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54.0</w:t>
                  </w:r>
                </w:p>
              </w:tc>
              <w:tc>
                <w:tcPr>
                  <w:tcW w:w="1405" w:type="dxa"/>
                  <w:vAlign w:val="center"/>
                </w:tcPr>
                <w:p w14:paraId="5189389A">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65</w:t>
                  </w:r>
                </w:p>
              </w:tc>
              <w:tc>
                <w:tcPr>
                  <w:tcW w:w="833" w:type="pct"/>
                  <w:vAlign w:val="center"/>
                </w:tcPr>
                <w:p w14:paraId="25D8DE06">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达标</w:t>
                  </w:r>
                </w:p>
              </w:tc>
            </w:tr>
            <w:tr w14:paraId="4110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continue"/>
                  <w:vAlign w:val="center"/>
                </w:tcPr>
                <w:p w14:paraId="40CF4C51">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p>
              </w:tc>
              <w:tc>
                <w:tcPr>
                  <w:tcW w:w="833" w:type="pct"/>
                  <w:vMerge w:val="continue"/>
                  <w:vAlign w:val="center"/>
                </w:tcPr>
                <w:p w14:paraId="4F371174">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p>
              </w:tc>
              <w:tc>
                <w:tcPr>
                  <w:tcW w:w="833" w:type="pct"/>
                  <w:vAlign w:val="center"/>
                </w:tcPr>
                <w:p w14:paraId="46C41666">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夜间</w:t>
                  </w:r>
                </w:p>
              </w:tc>
              <w:tc>
                <w:tcPr>
                  <w:tcW w:w="833" w:type="pct"/>
                  <w:vAlign w:val="center"/>
                </w:tcPr>
                <w:p w14:paraId="33E2CC1D">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42.3</w:t>
                  </w:r>
                </w:p>
              </w:tc>
              <w:tc>
                <w:tcPr>
                  <w:tcW w:w="1405" w:type="dxa"/>
                  <w:vAlign w:val="center"/>
                </w:tcPr>
                <w:p w14:paraId="1286FA6F">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55</w:t>
                  </w:r>
                </w:p>
              </w:tc>
              <w:tc>
                <w:tcPr>
                  <w:tcW w:w="833" w:type="pct"/>
                  <w:vAlign w:val="center"/>
                </w:tcPr>
                <w:p w14:paraId="64014F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达标</w:t>
                  </w:r>
                </w:p>
              </w:tc>
            </w:tr>
            <w:tr w14:paraId="4254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continue"/>
                  <w:vAlign w:val="center"/>
                </w:tcPr>
                <w:p w14:paraId="23E3B980">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p>
              </w:tc>
              <w:tc>
                <w:tcPr>
                  <w:tcW w:w="833" w:type="pct"/>
                  <w:vMerge w:val="restart"/>
                  <w:vAlign w:val="center"/>
                </w:tcPr>
                <w:p w14:paraId="795CD9DC">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2021.1.28</w:t>
                  </w:r>
                </w:p>
              </w:tc>
              <w:tc>
                <w:tcPr>
                  <w:tcW w:w="833" w:type="pct"/>
                  <w:vAlign w:val="center"/>
                </w:tcPr>
                <w:p w14:paraId="75FAFA1A">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昼间</w:t>
                  </w:r>
                </w:p>
              </w:tc>
              <w:tc>
                <w:tcPr>
                  <w:tcW w:w="833" w:type="pct"/>
                  <w:vAlign w:val="center"/>
                </w:tcPr>
                <w:p w14:paraId="3DE52BD0">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56.5</w:t>
                  </w:r>
                </w:p>
              </w:tc>
              <w:tc>
                <w:tcPr>
                  <w:tcW w:w="1405" w:type="dxa"/>
                  <w:vAlign w:val="center"/>
                </w:tcPr>
                <w:p w14:paraId="007726A2">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65</w:t>
                  </w:r>
                </w:p>
              </w:tc>
              <w:tc>
                <w:tcPr>
                  <w:tcW w:w="833" w:type="pct"/>
                  <w:vAlign w:val="center"/>
                </w:tcPr>
                <w:p w14:paraId="6B9FAD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达标</w:t>
                  </w:r>
                </w:p>
              </w:tc>
            </w:tr>
            <w:tr w14:paraId="4215B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continue"/>
                  <w:vAlign w:val="center"/>
                </w:tcPr>
                <w:p w14:paraId="56E49B3D">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p>
              </w:tc>
              <w:tc>
                <w:tcPr>
                  <w:tcW w:w="833" w:type="pct"/>
                  <w:vMerge w:val="continue"/>
                  <w:vAlign w:val="center"/>
                </w:tcPr>
                <w:p w14:paraId="43C0C810">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p>
              </w:tc>
              <w:tc>
                <w:tcPr>
                  <w:tcW w:w="833" w:type="pct"/>
                  <w:vAlign w:val="center"/>
                </w:tcPr>
                <w:p w14:paraId="7F0DE928">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夜间</w:t>
                  </w:r>
                </w:p>
              </w:tc>
              <w:tc>
                <w:tcPr>
                  <w:tcW w:w="833" w:type="pct"/>
                  <w:vAlign w:val="center"/>
                </w:tcPr>
                <w:p w14:paraId="7B0AF107">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42.4</w:t>
                  </w:r>
                </w:p>
              </w:tc>
              <w:tc>
                <w:tcPr>
                  <w:tcW w:w="1405" w:type="dxa"/>
                  <w:vAlign w:val="center"/>
                </w:tcPr>
                <w:p w14:paraId="742233AA">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55</w:t>
                  </w:r>
                </w:p>
              </w:tc>
              <w:tc>
                <w:tcPr>
                  <w:tcW w:w="833" w:type="pct"/>
                  <w:vAlign w:val="center"/>
                </w:tcPr>
                <w:p w14:paraId="14AE1B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达标</w:t>
                  </w:r>
                </w:p>
              </w:tc>
            </w:tr>
            <w:tr w14:paraId="7B6A1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restart"/>
                  <w:vAlign w:val="center"/>
                </w:tcPr>
                <w:p w14:paraId="5902EB32">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厂界东</w:t>
                  </w:r>
                </w:p>
              </w:tc>
              <w:tc>
                <w:tcPr>
                  <w:tcW w:w="833" w:type="pct"/>
                  <w:vMerge w:val="restart"/>
                  <w:vAlign w:val="center"/>
                </w:tcPr>
                <w:p w14:paraId="01795DAE">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2021.1.27</w:t>
                  </w:r>
                </w:p>
              </w:tc>
              <w:tc>
                <w:tcPr>
                  <w:tcW w:w="833" w:type="pct"/>
                  <w:vAlign w:val="center"/>
                </w:tcPr>
                <w:p w14:paraId="2F409CAE">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昼间</w:t>
                  </w:r>
                </w:p>
              </w:tc>
              <w:tc>
                <w:tcPr>
                  <w:tcW w:w="833" w:type="pct"/>
                  <w:vAlign w:val="center"/>
                </w:tcPr>
                <w:p w14:paraId="3849C1A1">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59.4</w:t>
                  </w:r>
                </w:p>
              </w:tc>
              <w:tc>
                <w:tcPr>
                  <w:tcW w:w="1405" w:type="dxa"/>
                  <w:vAlign w:val="center"/>
                </w:tcPr>
                <w:p w14:paraId="5F4130B8">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70</w:t>
                  </w:r>
                </w:p>
              </w:tc>
              <w:tc>
                <w:tcPr>
                  <w:tcW w:w="833" w:type="pct"/>
                  <w:vAlign w:val="center"/>
                </w:tcPr>
                <w:p w14:paraId="349A1F9D">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达标</w:t>
                  </w:r>
                </w:p>
              </w:tc>
            </w:tr>
            <w:tr w14:paraId="6315C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continue"/>
                  <w:vAlign w:val="center"/>
                </w:tcPr>
                <w:p w14:paraId="0238452E">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p>
              </w:tc>
              <w:tc>
                <w:tcPr>
                  <w:tcW w:w="833" w:type="pct"/>
                  <w:vMerge w:val="continue"/>
                  <w:vAlign w:val="center"/>
                </w:tcPr>
                <w:p w14:paraId="3A06EED2">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p>
              </w:tc>
              <w:tc>
                <w:tcPr>
                  <w:tcW w:w="833" w:type="pct"/>
                  <w:vAlign w:val="center"/>
                </w:tcPr>
                <w:p w14:paraId="57E72E72">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夜间</w:t>
                  </w:r>
                </w:p>
              </w:tc>
              <w:tc>
                <w:tcPr>
                  <w:tcW w:w="833" w:type="pct"/>
                  <w:vAlign w:val="center"/>
                </w:tcPr>
                <w:p w14:paraId="24C60A99">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42.7</w:t>
                  </w:r>
                </w:p>
              </w:tc>
              <w:tc>
                <w:tcPr>
                  <w:tcW w:w="1405" w:type="dxa"/>
                  <w:vAlign w:val="center"/>
                </w:tcPr>
                <w:p w14:paraId="4C31CA1B">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55</w:t>
                  </w:r>
                </w:p>
              </w:tc>
              <w:tc>
                <w:tcPr>
                  <w:tcW w:w="833" w:type="pct"/>
                  <w:vAlign w:val="center"/>
                </w:tcPr>
                <w:p w14:paraId="668E35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达标</w:t>
                  </w:r>
                </w:p>
              </w:tc>
            </w:tr>
            <w:tr w14:paraId="296A2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continue"/>
                  <w:vAlign w:val="center"/>
                </w:tcPr>
                <w:p w14:paraId="42C1A777">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p>
              </w:tc>
              <w:tc>
                <w:tcPr>
                  <w:tcW w:w="833" w:type="pct"/>
                  <w:vMerge w:val="restart"/>
                  <w:vAlign w:val="center"/>
                </w:tcPr>
                <w:p w14:paraId="73C200D3">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2021.1.28</w:t>
                  </w:r>
                </w:p>
              </w:tc>
              <w:tc>
                <w:tcPr>
                  <w:tcW w:w="833" w:type="pct"/>
                  <w:vAlign w:val="center"/>
                </w:tcPr>
                <w:p w14:paraId="18825187">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昼间</w:t>
                  </w:r>
                </w:p>
              </w:tc>
              <w:tc>
                <w:tcPr>
                  <w:tcW w:w="833" w:type="pct"/>
                  <w:vAlign w:val="center"/>
                </w:tcPr>
                <w:p w14:paraId="783FD24E">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59.0</w:t>
                  </w:r>
                </w:p>
              </w:tc>
              <w:tc>
                <w:tcPr>
                  <w:tcW w:w="1405" w:type="dxa"/>
                  <w:vAlign w:val="center"/>
                </w:tcPr>
                <w:p w14:paraId="0F570BB6">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70</w:t>
                  </w:r>
                </w:p>
              </w:tc>
              <w:tc>
                <w:tcPr>
                  <w:tcW w:w="833" w:type="pct"/>
                  <w:vAlign w:val="center"/>
                </w:tcPr>
                <w:p w14:paraId="4B2C06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达标</w:t>
                  </w:r>
                </w:p>
              </w:tc>
            </w:tr>
            <w:tr w14:paraId="718D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continue"/>
                  <w:vAlign w:val="center"/>
                </w:tcPr>
                <w:p w14:paraId="11F3E847">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p>
              </w:tc>
              <w:tc>
                <w:tcPr>
                  <w:tcW w:w="833" w:type="pct"/>
                  <w:vMerge w:val="continue"/>
                  <w:vAlign w:val="center"/>
                </w:tcPr>
                <w:p w14:paraId="75585374">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p>
              </w:tc>
              <w:tc>
                <w:tcPr>
                  <w:tcW w:w="833" w:type="pct"/>
                  <w:vAlign w:val="center"/>
                </w:tcPr>
                <w:p w14:paraId="1CDD4963">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夜间</w:t>
                  </w:r>
                </w:p>
              </w:tc>
              <w:tc>
                <w:tcPr>
                  <w:tcW w:w="833" w:type="pct"/>
                  <w:vAlign w:val="center"/>
                </w:tcPr>
                <w:p w14:paraId="18416CEF">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45.0</w:t>
                  </w:r>
                </w:p>
              </w:tc>
              <w:tc>
                <w:tcPr>
                  <w:tcW w:w="1405" w:type="dxa"/>
                  <w:vAlign w:val="center"/>
                </w:tcPr>
                <w:p w14:paraId="2CEA3485">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55</w:t>
                  </w:r>
                </w:p>
              </w:tc>
              <w:tc>
                <w:tcPr>
                  <w:tcW w:w="833" w:type="pct"/>
                  <w:vAlign w:val="center"/>
                </w:tcPr>
                <w:p w14:paraId="3CE911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eastAsia"/>
                      <w:b w:val="0"/>
                      <w:bCs w:val="0"/>
                      <w:color w:val="000000" w:themeColor="text1"/>
                      <w:sz w:val="21"/>
                      <w:szCs w:val="21"/>
                      <w:vertAlign w:val="baseline"/>
                      <w:lang w:eastAsia="zh-CN"/>
                      <w14:textFill>
                        <w14:solidFill>
                          <w14:schemeClr w14:val="tx1"/>
                        </w14:solidFill>
                      </w14:textFill>
                    </w:rPr>
                    <w:t>达标</w:t>
                  </w:r>
                </w:p>
              </w:tc>
            </w:tr>
          </w:tbl>
          <w:p w14:paraId="7CAF46D9">
            <w:pPr>
              <w:pStyle w:val="13"/>
              <w:spacing w:line="360" w:lineRule="auto"/>
              <w:ind w:firstLine="482" w:firstLineChars="200"/>
              <w:rPr>
                <w:rFonts w:hint="eastAsia" w:eastAsia="宋体"/>
                <w:b/>
                <w:bCs/>
                <w:color w:val="000000" w:themeColor="text1"/>
                <w:sz w:val="24"/>
                <w:lang w:eastAsia="zh-CN"/>
                <w14:textFill>
                  <w14:solidFill>
                    <w14:schemeClr w14:val="tx1"/>
                  </w14:solidFill>
                </w14:textFill>
              </w:rPr>
            </w:pPr>
            <w:r>
              <w:rPr>
                <w:rFonts w:hint="eastAsia"/>
                <w:b/>
                <w:bCs/>
                <w:color w:val="000000" w:themeColor="text1"/>
                <w:sz w:val="24"/>
                <w:lang w:eastAsia="zh-CN"/>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4</w:t>
            </w:r>
            <w:r>
              <w:rPr>
                <w:rFonts w:hint="eastAsia"/>
                <w:b/>
                <w:bCs/>
                <w:color w:val="000000" w:themeColor="text1"/>
                <w:sz w:val="24"/>
                <w:lang w:eastAsia="zh-CN"/>
                <w14:textFill>
                  <w14:solidFill>
                    <w14:schemeClr w14:val="tx1"/>
                  </w14:solidFill>
                </w14:textFill>
              </w:rPr>
              <w:t>）固体废物</w:t>
            </w:r>
          </w:p>
          <w:p w14:paraId="76238128">
            <w:pPr>
              <w:pStyle w:val="13"/>
              <w:spacing w:line="360" w:lineRule="auto"/>
              <w:ind w:firstLine="482" w:firstLineChars="200"/>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1）生活垃圾</w:t>
            </w:r>
          </w:p>
          <w:p w14:paraId="34C0AFFA">
            <w:pPr>
              <w:pStyle w:val="13"/>
              <w:spacing w:line="360" w:lineRule="auto"/>
              <w:ind w:firstLine="482" w:firstLineChars="200"/>
              <w:rPr>
                <w:rFonts w:hint="eastAsia" w:ascii="Times New Roman" w:hAnsi="Times New Roman" w:eastAsia="宋体" w:cs="Times New Roman"/>
                <w:b/>
                <w:bCs/>
                <w:color w:val="000000" w:themeColor="text1"/>
                <w:sz w:val="24"/>
                <w:lang w:eastAsia="zh-CN"/>
                <w14:textFill>
                  <w14:solidFill>
                    <w14:schemeClr w14:val="tx1"/>
                  </w14:solidFill>
                </w14:textFill>
              </w:rPr>
            </w:pPr>
            <w:r>
              <w:rPr>
                <w:rFonts w:hint="eastAsia" w:ascii="Times New Roman" w:hAnsi="Times New Roman" w:eastAsia="宋体" w:cs="Times New Roman"/>
                <w:b/>
                <w:bCs/>
                <w:color w:val="000000" w:themeColor="text1"/>
                <w:sz w:val="24"/>
                <w:lang w:eastAsia="zh-CN"/>
                <w14:textFill>
                  <w14:solidFill>
                    <w14:schemeClr w14:val="tx1"/>
                  </w14:solidFill>
                </w14:textFill>
              </w:rPr>
              <w:t>①生活垃圾</w:t>
            </w:r>
          </w:p>
          <w:p w14:paraId="3503222F">
            <w:pPr>
              <w:adjustRightInd w:val="0"/>
              <w:spacing w:line="360" w:lineRule="auto"/>
              <w:ind w:firstLine="480" w:firstLineChars="200"/>
              <w:rPr>
                <w:rFonts w:hint="eastAsia" w:ascii="Times New Roman" w:hAnsi="Times New Roman" w:eastAsia="宋体" w:cs="Times New Roman"/>
                <w:b w:val="0"/>
                <w:bCs w:val="0"/>
                <w:color w:val="000000" w:themeColor="text1"/>
                <w:sz w:val="24"/>
                <w:lang w:eastAsia="zh-CN"/>
                <w14:textFill>
                  <w14:solidFill>
                    <w14:schemeClr w14:val="tx1"/>
                  </w14:solidFill>
                </w14:textFill>
              </w:rPr>
            </w:pPr>
            <w:r>
              <w:rPr>
                <w:rFonts w:ascii="Times New Roman" w:hAnsi="Times New Roman" w:eastAsia="宋体" w:cs="Times New Roman"/>
                <w:b w:val="0"/>
                <w:bCs w:val="0"/>
                <w:color w:val="000000" w:themeColor="text1"/>
                <w:sz w:val="24"/>
                <w14:textFill>
                  <w14:solidFill>
                    <w14:schemeClr w14:val="tx1"/>
                  </w14:solidFill>
                </w14:textFill>
              </w:rPr>
              <w:t>项目劳动定员</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12</w:t>
            </w:r>
            <w:r>
              <w:rPr>
                <w:rFonts w:ascii="Times New Roman" w:hAnsi="Times New Roman" w:eastAsia="宋体" w:cs="Times New Roman"/>
                <w:b w:val="0"/>
                <w:bCs w:val="0"/>
                <w:color w:val="000000" w:themeColor="text1"/>
                <w:sz w:val="24"/>
                <w14:textFill>
                  <w14:solidFill>
                    <w14:schemeClr w14:val="tx1"/>
                  </w14:solidFill>
                </w14:textFill>
              </w:rPr>
              <w:t>人，生活垃圾产生量为</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6</w:t>
            </w:r>
            <w:r>
              <w:rPr>
                <w:rFonts w:ascii="Times New Roman" w:hAnsi="Times New Roman" w:eastAsia="宋体" w:cs="Times New Roman"/>
                <w:b w:val="0"/>
                <w:bCs w:val="0"/>
                <w:color w:val="000000" w:themeColor="text1"/>
                <w:sz w:val="24"/>
                <w14:textFill>
                  <w14:solidFill>
                    <w14:schemeClr w14:val="tx1"/>
                  </w14:solidFill>
                </w14:textFill>
              </w:rPr>
              <w:t>kg/d（</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1.8</w:t>
            </w:r>
            <w:r>
              <w:rPr>
                <w:rFonts w:ascii="Times New Roman" w:hAnsi="Times New Roman" w:eastAsia="宋体" w:cs="Times New Roman"/>
                <w:b w:val="0"/>
                <w:bCs w:val="0"/>
                <w:color w:val="000000" w:themeColor="text1"/>
                <w:sz w:val="24"/>
                <w14:textFill>
                  <w14:solidFill>
                    <w14:schemeClr w14:val="tx1"/>
                  </w14:solidFill>
                </w14:textFill>
              </w:rPr>
              <w:t>t/a），</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厂区设置有</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生活垃圾收集桶，生活垃圾经收集后定期置于周边垃圾收集点，由环卫部门清理。</w:t>
            </w:r>
          </w:p>
          <w:p w14:paraId="05652241">
            <w:pPr>
              <w:pStyle w:val="13"/>
              <w:spacing w:line="360" w:lineRule="auto"/>
              <w:ind w:firstLine="482" w:firstLineChars="200"/>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②化粪池污泥</w:t>
            </w:r>
          </w:p>
          <w:p w14:paraId="721C9C2D">
            <w:pPr>
              <w:widowControl/>
              <w:spacing w:line="360" w:lineRule="auto"/>
              <w:ind w:firstLine="480" w:firstLineChars="200"/>
              <w:jc w:val="left"/>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化粪池污泥</w:t>
            </w:r>
            <w:r>
              <w:rPr>
                <w:rFonts w:hint="eastAsia"/>
                <w:b w:val="0"/>
                <w:bCs w:val="0"/>
                <w:color w:val="000000" w:themeColor="text1"/>
                <w:sz w:val="24"/>
                <w14:textFill>
                  <w14:solidFill>
                    <w14:schemeClr w14:val="tx1"/>
                  </w14:solidFill>
                </w14:textFill>
              </w:rPr>
              <w:t>参考《建筑给水排水设计规范》</w:t>
            </w:r>
            <w:r>
              <w:rPr>
                <w:rFonts w:hint="eastAsia"/>
                <w:b w:val="0"/>
                <w:bCs w:val="0"/>
                <w:color w:val="000000" w:themeColor="text1"/>
                <w:sz w:val="24"/>
                <w:lang w:eastAsia="zh-CN"/>
                <w14:textFill>
                  <w14:solidFill>
                    <w14:schemeClr w14:val="tx1"/>
                  </w14:solidFill>
                </w14:textFill>
              </w:rPr>
              <w:t>（</w:t>
            </w:r>
            <w:r>
              <w:rPr>
                <w:rFonts w:hint="eastAsia"/>
                <w:b w:val="0"/>
                <w:bCs w:val="0"/>
                <w:color w:val="000000" w:themeColor="text1"/>
                <w:sz w:val="24"/>
                <w:lang w:val="en-US" w:eastAsia="zh-CN"/>
                <w14:textFill>
                  <w14:solidFill>
                    <w14:schemeClr w14:val="tx1"/>
                  </w14:solidFill>
                </w14:textFill>
              </w:rPr>
              <w:t>GB50015-2019</w:t>
            </w:r>
            <w:r>
              <w:rPr>
                <w:rFonts w:hint="eastAsia"/>
                <w:b w:val="0"/>
                <w:bCs w:val="0"/>
                <w:color w:val="000000" w:themeColor="text1"/>
                <w:sz w:val="24"/>
                <w:lang w:eastAsia="zh-CN"/>
                <w14:textFill>
                  <w14:solidFill>
                    <w14:schemeClr w14:val="tx1"/>
                  </w14:solidFill>
                </w14:textFill>
              </w:rPr>
              <w:t>）</w:t>
            </w:r>
            <w:r>
              <w:rPr>
                <w:rFonts w:hint="eastAsia"/>
                <w:b w:val="0"/>
                <w:bCs w:val="0"/>
                <w:color w:val="000000" w:themeColor="text1"/>
                <w:sz w:val="24"/>
                <w14:textFill>
                  <w14:solidFill>
                    <w14:schemeClr w14:val="tx1"/>
                  </w14:solidFill>
                </w14:textFill>
              </w:rPr>
              <w:t>中</w:t>
            </w:r>
            <w:r>
              <w:rPr>
                <w:rFonts w:hint="eastAsia"/>
                <w:b w:val="0"/>
                <w:bCs w:val="0"/>
                <w:color w:val="000000" w:themeColor="text1"/>
                <w:sz w:val="24"/>
                <w:lang w:eastAsia="zh-CN"/>
                <w14:textFill>
                  <w14:solidFill>
                    <w14:schemeClr w14:val="tx1"/>
                  </w14:solidFill>
                </w14:textFill>
              </w:rPr>
              <w:t>“</w:t>
            </w:r>
            <w:r>
              <w:rPr>
                <w:rFonts w:hint="eastAsia"/>
                <w:b w:val="0"/>
                <w:bCs w:val="0"/>
                <w:color w:val="000000" w:themeColor="text1"/>
                <w:sz w:val="24"/>
                <w14:textFill>
                  <w14:solidFill>
                    <w14:schemeClr w14:val="tx1"/>
                  </w14:solidFill>
                </w14:textFill>
              </w:rPr>
              <w:t>表4.8.6-2化粪池每人每日计算污泥量</w:t>
            </w:r>
            <w:r>
              <w:rPr>
                <w:rFonts w:hint="eastAsia"/>
                <w:b w:val="0"/>
                <w:bCs w:val="0"/>
                <w:color w:val="000000" w:themeColor="text1"/>
                <w:sz w:val="24"/>
                <w:lang w:eastAsia="zh-CN"/>
                <w14:textFill>
                  <w14:solidFill>
                    <w14:schemeClr w14:val="tx1"/>
                  </w14:solidFill>
                </w14:textFill>
              </w:rPr>
              <w:t>”</w:t>
            </w:r>
            <w:r>
              <w:rPr>
                <w:rFonts w:hint="eastAsia"/>
                <w:b w:val="0"/>
                <w:bCs w:val="0"/>
                <w:color w:val="000000" w:themeColor="text1"/>
                <w:sz w:val="24"/>
                <w14:textFill>
                  <w14:solidFill>
                    <w14:schemeClr w14:val="tx1"/>
                  </w14:solidFill>
                </w14:textFill>
              </w:rPr>
              <w:t>，确定化粪池污泥产生系数为0.</w:t>
            </w:r>
            <w:r>
              <w:rPr>
                <w:rFonts w:hint="eastAsia"/>
                <w:b w:val="0"/>
                <w:bCs w:val="0"/>
                <w:color w:val="000000" w:themeColor="text1"/>
                <w:sz w:val="24"/>
                <w:lang w:val="en-US" w:eastAsia="zh-CN"/>
                <w14:textFill>
                  <w14:solidFill>
                    <w14:schemeClr w14:val="tx1"/>
                  </w14:solidFill>
                </w14:textFill>
              </w:rPr>
              <w:t>2</w:t>
            </w:r>
            <w:r>
              <w:rPr>
                <w:rFonts w:hint="eastAsia"/>
                <w:b w:val="0"/>
                <w:bCs w:val="0"/>
                <w:color w:val="000000" w:themeColor="text1"/>
                <w:sz w:val="24"/>
                <w14:textFill>
                  <w14:solidFill>
                    <w14:schemeClr w14:val="tx1"/>
                  </w14:solidFill>
                </w14:textFill>
              </w:rPr>
              <w:t>L/人·d，化粪池污泥产生量为</w:t>
            </w:r>
            <w:r>
              <w:rPr>
                <w:rFonts w:hint="eastAsia"/>
                <w:b w:val="0"/>
                <w:bCs w:val="0"/>
                <w:color w:val="000000" w:themeColor="text1"/>
                <w:sz w:val="24"/>
                <w:lang w:val="en-US" w:eastAsia="zh-CN"/>
                <w14:textFill>
                  <w14:solidFill>
                    <w14:schemeClr w14:val="tx1"/>
                  </w14:solidFill>
                </w14:textFill>
              </w:rPr>
              <w:t>0.72</w:t>
            </w:r>
            <w:r>
              <w:rPr>
                <w:rFonts w:hint="eastAsia"/>
                <w:b w:val="0"/>
                <w:bCs w:val="0"/>
                <w:color w:val="000000" w:themeColor="text1"/>
                <w:sz w:val="24"/>
                <w14:textFill>
                  <w14:solidFill>
                    <w14:schemeClr w14:val="tx1"/>
                  </w14:solidFill>
                </w14:textFill>
              </w:rPr>
              <w:t>t/a，</w:t>
            </w:r>
            <w:r>
              <w:rPr>
                <w:rFonts w:hint="eastAsia"/>
                <w:b w:val="0"/>
                <w:bCs w:val="0"/>
                <w:color w:val="000000" w:themeColor="text1"/>
                <w:sz w:val="24"/>
                <w:lang w:eastAsia="zh-CN"/>
                <w14:textFill>
                  <w14:solidFill>
                    <w14:schemeClr w14:val="tx1"/>
                  </w14:solidFill>
                </w14:textFill>
              </w:rPr>
              <w:t>定期委托环卫部门清掏处置</w:t>
            </w:r>
            <w:r>
              <w:rPr>
                <w:rFonts w:hint="eastAsia"/>
                <w:b w:val="0"/>
                <w:bCs w:val="0"/>
                <w:color w:val="000000" w:themeColor="text1"/>
                <w:sz w:val="24"/>
                <w14:textFill>
                  <w14:solidFill>
                    <w14:schemeClr w14:val="tx1"/>
                  </w14:solidFill>
                </w14:textFill>
              </w:rPr>
              <w:t>。</w:t>
            </w:r>
          </w:p>
          <w:p w14:paraId="454B0F72">
            <w:pPr>
              <w:pStyle w:val="13"/>
              <w:spacing w:line="360" w:lineRule="auto"/>
              <w:ind w:firstLine="482" w:firstLineChars="200"/>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2）一般工业固废</w:t>
            </w:r>
          </w:p>
          <w:p w14:paraId="464C6D9B">
            <w:pPr>
              <w:pStyle w:val="13"/>
              <w:spacing w:line="360" w:lineRule="auto"/>
              <w:ind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①</w:t>
            </w:r>
            <w:r>
              <w:rPr>
                <w:rFonts w:hint="default" w:ascii="Times New Roman" w:hAnsi="Times New Roman" w:eastAsia="宋体" w:cs="Times New Roman"/>
                <w:b/>
                <w:bCs/>
                <w:color w:val="000000" w:themeColor="text1"/>
                <w:sz w:val="24"/>
                <w:lang w:val="en-US" w:eastAsia="zh-CN"/>
                <w14:textFill>
                  <w14:solidFill>
                    <w14:schemeClr w14:val="tx1"/>
                  </w14:solidFill>
                </w14:textFill>
              </w:rPr>
              <w:t>废弃包装物</w:t>
            </w:r>
          </w:p>
          <w:p w14:paraId="5BCE3D15">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项目原料开包、产品包装过程会有废包装物产生，项目废包装物产生量为0.8t/a，统一收集后外售</w:t>
            </w:r>
            <w:r>
              <w:rPr>
                <w:rFonts w:hint="eastAsia" w:cs="Times New Roman" w:eastAsiaTheme="minorEastAsia"/>
                <w:b w:val="0"/>
                <w:bCs w:val="0"/>
                <w:color w:val="000000" w:themeColor="text1"/>
                <w:kern w:val="2"/>
                <w:sz w:val="24"/>
                <w:szCs w:val="24"/>
                <w:lang w:val="en-US" w:eastAsia="zh-CN" w:bidi="ar-SA"/>
                <w14:textFill>
                  <w14:solidFill>
                    <w14:schemeClr w14:val="tx1"/>
                  </w14:solidFill>
                </w14:textFill>
              </w:rPr>
              <w:t>废品回收站</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处置。</w:t>
            </w:r>
          </w:p>
          <w:p w14:paraId="247A90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eastAsia" w:cs="Times New Roman" w:eastAsiaTheme="minorEastAsia"/>
                <w:b/>
                <w:bCs/>
                <w:color w:val="000000" w:themeColor="text1"/>
                <w:kern w:val="2"/>
                <w:sz w:val="24"/>
                <w:szCs w:val="24"/>
                <w:lang w:val="en-US" w:eastAsia="zh-CN" w:bidi="ar-SA"/>
                <w14:textFill>
                  <w14:solidFill>
                    <w14:schemeClr w14:val="tx1"/>
                  </w14:solidFill>
                </w14:textFill>
              </w:rPr>
            </w:pPr>
            <w:r>
              <w:rPr>
                <w:rFonts w:hint="eastAsia" w:cs="Times New Roman" w:eastAsiaTheme="minorEastAsia"/>
                <w:b/>
                <w:bCs/>
                <w:color w:val="000000" w:themeColor="text1"/>
                <w:kern w:val="2"/>
                <w:sz w:val="24"/>
                <w:szCs w:val="24"/>
                <w:lang w:val="en-US" w:eastAsia="zh-CN" w:bidi="ar-SA"/>
                <w14:textFill>
                  <w14:solidFill>
                    <w14:schemeClr w14:val="tx1"/>
                  </w14:solidFill>
                </w14:textFill>
              </w:rPr>
              <w:t>②不合格品</w:t>
            </w:r>
          </w:p>
          <w:p w14:paraId="4BAEFD72">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eastAsia" w:cs="Times New Roman" w:eastAsiaTheme="minorEastAsia"/>
                <w:b w:val="0"/>
                <w:bCs w:val="0"/>
                <w:color w:val="000000" w:themeColor="text1"/>
                <w:kern w:val="2"/>
                <w:sz w:val="24"/>
                <w:szCs w:val="24"/>
                <w:lang w:val="en-US" w:eastAsia="zh-CN" w:bidi="ar-SA"/>
                <w14:textFill>
                  <w14:solidFill>
                    <w14:schemeClr w14:val="tx1"/>
                  </w14:solidFill>
                </w14:textFill>
              </w:rPr>
              <w:t>现有项目生产过程中会产生不合格品，根据建设单位提供资料，次品率约为原料使用量的千分之五，项目EPS用量为150t，即不合格品产生量约为0.75t/a，</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统一收集后外售</w:t>
            </w:r>
            <w:r>
              <w:rPr>
                <w:rFonts w:hint="eastAsia" w:cs="Times New Roman" w:eastAsiaTheme="minorEastAsia"/>
                <w:b w:val="0"/>
                <w:bCs w:val="0"/>
                <w:color w:val="000000" w:themeColor="text1"/>
                <w:kern w:val="2"/>
                <w:sz w:val="24"/>
                <w:szCs w:val="24"/>
                <w:lang w:val="en-US" w:eastAsia="zh-CN" w:bidi="ar-SA"/>
                <w14:textFill>
                  <w14:solidFill>
                    <w14:schemeClr w14:val="tx1"/>
                  </w14:solidFill>
                </w14:textFill>
              </w:rPr>
              <w:t>废品回收站</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处置。</w:t>
            </w:r>
          </w:p>
          <w:p w14:paraId="32A5A3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③</w:t>
            </w:r>
            <w:r>
              <w:rPr>
                <w:rFonts w:hint="eastAsia" w:cs="Times New Roman" w:eastAsiaTheme="minorEastAsia"/>
                <w:b/>
                <w:bCs/>
                <w:color w:val="000000" w:themeColor="text1"/>
                <w:kern w:val="2"/>
                <w:sz w:val="24"/>
                <w:szCs w:val="24"/>
                <w:lang w:val="en-US" w:eastAsia="zh-CN" w:bidi="ar-SA"/>
                <w14:textFill>
                  <w14:solidFill>
                    <w14:schemeClr w14:val="tx1"/>
                  </w14:solidFill>
                </w14:textFill>
              </w:rPr>
              <w:t>锅炉</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炉渣</w:t>
            </w:r>
          </w:p>
          <w:p w14:paraId="494A6990">
            <w:pPr>
              <w:pStyle w:val="51"/>
              <w:keepNext w:val="0"/>
              <w:keepLines w:val="0"/>
              <w:pageBreakBefore w:val="0"/>
              <w:widowControl w:val="0"/>
              <w:kinsoku/>
              <w:wordWrap/>
              <w:overflowPunct/>
              <w:topLinePunct w:val="0"/>
              <w:bidi w:val="0"/>
              <w:adjustRightInd/>
              <w:snapToGrid/>
              <w:ind w:leftChars="0"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cs="Times New Roman" w:eastAsiaTheme="minorEastAsia"/>
                <w:b w:val="0"/>
                <w:bCs w:val="0"/>
                <w:color w:val="000000" w:themeColor="text1"/>
                <w:sz w:val="24"/>
                <w:szCs w:val="24"/>
                <w:lang w:eastAsia="zh-CN"/>
                <w14:textFill>
                  <w14:solidFill>
                    <w14:schemeClr w14:val="tx1"/>
                  </w14:solidFill>
                </w14:textFill>
              </w:rPr>
              <w:t>燃煤锅炉</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炉渣的产生量参照《排放源统计调查产排污核算方法和系数手册》（公告2021年第24号）中《锅炉产排污量核算系数手册》4430工业锅炉（热力生产和供应行业）产排污系数表-工业固体废物中燃煤锅炉的产排污系数进行计算</w:t>
            </w:r>
            <w:r>
              <w:rPr>
                <w:rFonts w:hint="default" w:ascii="Times New Roman" w:hAnsi="Times New Roman" w:cs="Times New Roman" w:eastAsiaTheme="minorEastAsia"/>
                <w:b w:val="0"/>
                <w:bCs w:val="0"/>
                <w:color w:val="000000" w:themeColor="text1"/>
                <w:spacing w:val="6"/>
                <w:sz w:val="24"/>
                <w:szCs w:val="24"/>
                <w14:textFill>
                  <w14:solidFill>
                    <w14:schemeClr w14:val="tx1"/>
                  </w14:solidFill>
                </w14:textFill>
              </w:rPr>
              <w:t>，层燃</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炉渣产生量为9.24Akg/t燃料（A为灰分含量），</w:t>
            </w:r>
            <w:r>
              <w:rPr>
                <w:rFonts w:hint="eastAsia" w:cs="Times New Roman" w:eastAsiaTheme="minorEastAsia"/>
                <w:b w:val="0"/>
                <w:bCs w:val="0"/>
                <w:color w:val="000000" w:themeColor="text1"/>
                <w:sz w:val="24"/>
                <w:szCs w:val="24"/>
                <w:lang w:eastAsia="zh-CN"/>
                <w14:textFill>
                  <w14:solidFill>
                    <w14:schemeClr w14:val="tx1"/>
                  </w14:solidFill>
                </w14:textFill>
              </w:rPr>
              <w:t>根据上文，</w:t>
            </w:r>
            <w:r>
              <w:rPr>
                <w:rFonts w:hint="eastAsia" w:cs="Times New Roman" w:eastAsiaTheme="minorEastAsia"/>
                <w:b w:val="0"/>
                <w:bCs w:val="0"/>
                <w:color w:val="000000" w:themeColor="text1"/>
                <w:sz w:val="24"/>
                <w:szCs w:val="24"/>
                <w:lang w:val="en-US" w:eastAsia="zh-CN"/>
                <w14:textFill>
                  <w14:solidFill>
                    <w14:schemeClr w14:val="tx1"/>
                  </w14:solidFill>
                </w14:textFill>
              </w:rPr>
              <w:t>灰分以30.8%计。</w:t>
            </w:r>
          </w:p>
          <w:p w14:paraId="733A8EE5">
            <w:pPr>
              <w:pStyle w:val="51"/>
              <w:keepNext w:val="0"/>
              <w:keepLines w:val="0"/>
              <w:pageBreakBefore w:val="0"/>
              <w:widowControl w:val="0"/>
              <w:kinsoku/>
              <w:wordWrap/>
              <w:overflowPunct/>
              <w:topLinePunct w:val="0"/>
              <w:bidi w:val="0"/>
              <w:adjustRightInd/>
              <w:snapToGrid/>
              <w:ind w:leftChars="0" w:firstLine="480" w:firstLineChars="200"/>
              <w:textAlignment w:val="auto"/>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本项目</w:t>
            </w:r>
            <w:r>
              <w:rPr>
                <w:rFonts w:hint="eastAsia" w:cs="Times New Roman" w:eastAsiaTheme="minorEastAsia"/>
                <w:b w:val="0"/>
                <w:bCs w:val="0"/>
                <w:color w:val="000000" w:themeColor="text1"/>
                <w:sz w:val="24"/>
                <w:szCs w:val="24"/>
                <w:lang w:eastAsia="zh-CN"/>
                <w14:textFill>
                  <w14:solidFill>
                    <w14:schemeClr w14:val="tx1"/>
                  </w14:solidFill>
                </w14:textFill>
              </w:rPr>
              <w:t>煤</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使</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用量为</w:t>
            </w:r>
            <w:r>
              <w:rPr>
                <w:rFonts w:hint="eastAsia" w:cs="Times New Roman" w:eastAsiaTheme="minorEastAsia"/>
                <w:b w:val="0"/>
                <w:bCs w:val="0"/>
                <w:color w:val="000000" w:themeColor="text1"/>
                <w:sz w:val="24"/>
                <w:szCs w:val="24"/>
                <w:lang w:val="en-US" w:eastAsia="zh-CN"/>
                <w14:textFill>
                  <w14:solidFill>
                    <w14:schemeClr w14:val="tx1"/>
                  </w14:solidFill>
                </w14:textFill>
              </w:rPr>
              <w:t>672</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t/a，则项目炉渣产生量为191.2458t/a，</w:t>
            </w:r>
            <w:r>
              <w:rPr>
                <w:rFonts w:hint="eastAsia" w:cs="Times New Roman" w:eastAsiaTheme="minorEastAsia"/>
                <w:b w:val="0"/>
                <w:bCs w:val="0"/>
                <w:color w:val="000000" w:themeColor="text1"/>
                <w:sz w:val="24"/>
                <w:szCs w:val="24"/>
                <w:lang w:eastAsia="zh-CN"/>
                <w14:textFill>
                  <w14:solidFill>
                    <w14:schemeClr w14:val="tx1"/>
                  </w14:solidFill>
                </w14:textFill>
              </w:rPr>
              <w:t>现有项目设置有</w:t>
            </w:r>
            <w:r>
              <w:rPr>
                <w:rFonts w:hint="eastAsia" w:cs="Times New Roman" w:eastAsiaTheme="minorEastAsia"/>
                <w:b w:val="0"/>
                <w:bCs w:val="0"/>
                <w:color w:val="000000" w:themeColor="text1"/>
                <w:sz w:val="24"/>
                <w:szCs w:val="24"/>
                <w:lang w:val="en-US" w:eastAsia="zh-CN"/>
                <w14:textFill>
                  <w14:solidFill>
                    <w14:schemeClr w14:val="tx1"/>
                  </w14:solidFill>
                </w14:textFill>
              </w:rPr>
              <w:t>1个约10m</w:t>
            </w:r>
            <w:r>
              <w:rPr>
                <w:rFonts w:hint="eastAsia" w:cs="Times New Roman" w:eastAsiaTheme="minorEastAsia"/>
                <w:b w:val="0"/>
                <w:bCs w:val="0"/>
                <w:color w:val="000000" w:themeColor="text1"/>
                <w:sz w:val="24"/>
                <w:szCs w:val="24"/>
                <w:vertAlign w:val="superscript"/>
                <w:lang w:val="en-US" w:eastAsia="zh-CN"/>
                <w14:textFill>
                  <w14:solidFill>
                    <w14:schemeClr w14:val="tx1"/>
                  </w14:solidFill>
                </w14:textFill>
              </w:rPr>
              <w:t>2</w:t>
            </w:r>
            <w:r>
              <w:rPr>
                <w:rFonts w:hint="eastAsia" w:cs="Times New Roman" w:eastAsiaTheme="minorEastAsia"/>
                <w:b w:val="0"/>
                <w:bCs w:val="0"/>
                <w:color w:val="000000" w:themeColor="text1"/>
                <w:sz w:val="24"/>
                <w:szCs w:val="24"/>
                <w:lang w:val="en-US" w:eastAsia="zh-CN"/>
                <w14:textFill>
                  <w14:solidFill>
                    <w14:schemeClr w14:val="tx1"/>
                  </w14:solidFill>
                </w14:textFill>
              </w:rPr>
              <w:t>的堆渣棚，</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产生的</w:t>
            </w:r>
            <w:r>
              <w:rPr>
                <w:rFonts w:hint="eastAsia" w:cs="Times New Roman" w:eastAsiaTheme="minorEastAsia"/>
                <w:b w:val="0"/>
                <w:bCs w:val="0"/>
                <w:color w:val="000000" w:themeColor="text1"/>
                <w:sz w:val="24"/>
                <w:szCs w:val="24"/>
                <w:lang w:eastAsia="zh-CN"/>
                <w14:textFill>
                  <w14:solidFill>
                    <w14:schemeClr w14:val="tx1"/>
                  </w14:solidFill>
                </w14:textFill>
              </w:rPr>
              <w:t>燃煤锅炉炉渣</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暂存于</w:t>
            </w:r>
            <w:r>
              <w:rPr>
                <w:rFonts w:hint="eastAsia" w:cs="Times New Roman" w:eastAsiaTheme="minorEastAsia"/>
                <w:b w:val="0"/>
                <w:bCs w:val="0"/>
                <w:color w:val="000000" w:themeColor="text1"/>
                <w:sz w:val="24"/>
                <w:szCs w:val="24"/>
                <w:lang w:eastAsia="zh-CN"/>
                <w14:textFill>
                  <w14:solidFill>
                    <w14:schemeClr w14:val="tx1"/>
                  </w14:solidFill>
                </w14:textFill>
              </w:rPr>
              <w:t>堆渣棚</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w:t>
            </w:r>
            <w:r>
              <w:rPr>
                <w:rFonts w:hint="eastAsia" w:cs="Times New Roman" w:eastAsiaTheme="minorEastAsia"/>
                <w:b w:val="0"/>
                <w:bCs w:val="0"/>
                <w:color w:val="000000" w:themeColor="text1"/>
                <w:sz w:val="24"/>
                <w:szCs w:val="24"/>
                <w:lang w:eastAsia="zh-CN"/>
                <w14:textFill>
                  <w14:solidFill>
                    <w14:schemeClr w14:val="tx1"/>
                  </w14:solidFill>
                </w14:textFill>
              </w:rPr>
              <w:t>定期</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外售</w:t>
            </w:r>
            <w:r>
              <w:rPr>
                <w:rFonts w:hint="eastAsia" w:cs="Times New Roman" w:eastAsiaTheme="minorEastAsia"/>
                <w:b w:val="0"/>
                <w:bCs w:val="0"/>
                <w:color w:val="000000" w:themeColor="text1"/>
                <w:sz w:val="24"/>
                <w:szCs w:val="24"/>
                <w:lang w:eastAsia="zh-CN"/>
                <w14:textFill>
                  <w14:solidFill>
                    <w14:schemeClr w14:val="tx1"/>
                  </w14:solidFill>
                </w14:textFill>
              </w:rPr>
              <w:t>周边砖厂综合利用</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根据验收报告中处置协议，现有项目炉渣由</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峨山万和建材有限公司</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进行综合利用。</w:t>
            </w:r>
          </w:p>
          <w:p w14:paraId="2829512B">
            <w:pPr>
              <w:pStyle w:val="51"/>
              <w:keepNext w:val="0"/>
              <w:keepLines w:val="0"/>
              <w:pageBreakBefore w:val="0"/>
              <w:widowControl w:val="0"/>
              <w:kinsoku/>
              <w:wordWrap/>
              <w:overflowPunct/>
              <w:topLinePunct w:val="0"/>
              <w:bidi w:val="0"/>
              <w:adjustRightInd/>
              <w:snapToGrid/>
              <w:ind w:leftChars="0" w:firstLine="480" w:firstLineChars="200"/>
              <w:textAlignment w:val="auto"/>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cs="Times New Roman" w:eastAsiaTheme="minorEastAsia"/>
                <w:b w:val="0"/>
                <w:bCs w:val="0"/>
                <w:color w:val="000000" w:themeColor="text1"/>
                <w:sz w:val="24"/>
                <w:szCs w:val="24"/>
                <w:lang w:eastAsia="zh-CN"/>
                <w14:textFill>
                  <w14:solidFill>
                    <w14:schemeClr w14:val="tx1"/>
                  </w14:solidFill>
                </w14:textFill>
              </w:rPr>
              <w:t>根据调查，现有项目堆渣棚位于锅炉房外东北侧，设置有三面围挡及彩钢瓦顶棚，堆渣棚地面已进行硬化防渗处理，能够满足相关要求。</w:t>
            </w:r>
          </w:p>
          <w:p w14:paraId="47822A89">
            <w:pPr>
              <w:keepNext w:val="0"/>
              <w:keepLines w:val="0"/>
              <w:pageBreakBefore w:val="0"/>
              <w:widowControl w:val="0"/>
              <w:kinsoku w:val="0"/>
              <w:wordWrap w:val="0"/>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④</w:t>
            </w:r>
            <w:r>
              <w:rPr>
                <w:rFonts w:hint="default" w:ascii="Times New Roman" w:hAnsi="Times New Roman" w:cs="Times New Roman"/>
                <w:b/>
                <w:bCs/>
                <w:color w:val="000000" w:themeColor="text1"/>
                <w:sz w:val="24"/>
                <w:lang w:val="en-US" w:eastAsia="zh-CN"/>
                <w14:textFill>
                  <w14:solidFill>
                    <w14:schemeClr w14:val="tx1"/>
                  </w14:solidFill>
                </w14:textFill>
              </w:rPr>
              <w:t>脱硫废渣</w:t>
            </w:r>
          </w:p>
          <w:p w14:paraId="5C7997BA">
            <w:pPr>
              <w:keepNext w:val="0"/>
              <w:keepLines w:val="0"/>
              <w:pageBreakBefore w:val="0"/>
              <w:widowControl w:val="0"/>
              <w:kinsoku w:val="0"/>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000000" w:themeColor="text1"/>
                <w:sz w:val="24"/>
                <w:lang w:val="en-US" w:eastAsia="zh-CN"/>
                <w14:textFill>
                  <w14:solidFill>
                    <w14:schemeClr w14:val="tx1"/>
                  </w14:solidFill>
                </w14:textFill>
              </w:rPr>
            </w:pPr>
            <w:r>
              <w:rPr>
                <w:rFonts w:hint="default" w:ascii="Times New Roman" w:hAnsi="Times New Roman" w:cs="Times New Roman"/>
                <w:b w:val="0"/>
                <w:bCs w:val="0"/>
                <w:color w:val="000000" w:themeColor="text1"/>
                <w:sz w:val="24"/>
                <w:lang w:val="en-US" w:eastAsia="zh-CN"/>
                <w14:textFill>
                  <w14:solidFill>
                    <w14:schemeClr w14:val="tx1"/>
                  </w14:solidFill>
                </w14:textFill>
              </w:rPr>
              <w:t>本项目采用双碱法对废气进行脱硫处理，该过程会产生一部分脱硫石膏</w:t>
            </w:r>
            <w:r>
              <w:rPr>
                <w:rFonts w:hint="eastAsia" w:cs="Times New Roman"/>
                <w:b w:val="0"/>
                <w:bCs w:val="0"/>
                <w:color w:val="000000" w:themeColor="text1"/>
                <w:sz w:val="24"/>
                <w:lang w:val="en-US" w:eastAsia="zh-CN"/>
                <w14:textFill>
                  <w14:solidFill>
                    <w14:schemeClr w14:val="tx1"/>
                  </w14:solidFill>
                </w14:textFill>
              </w:rPr>
              <w:t>。</w:t>
            </w:r>
          </w:p>
          <w:p w14:paraId="2FB1CC4A">
            <w:pPr>
              <w:keepNext w:val="0"/>
              <w:keepLines w:val="0"/>
              <w:pageBreakBefore w:val="0"/>
              <w:widowControl w:val="0"/>
              <w:kinsoku w:val="0"/>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现有项目</w:t>
            </w:r>
            <w:r>
              <w:rPr>
                <w:rFonts w:hint="eastAsia" w:ascii="Times New Roman" w:hAnsi="Times New Roman" w:cs="Times New Roman"/>
                <w:b w:val="0"/>
                <w:bCs w:val="0"/>
                <w:color w:val="000000" w:themeColor="text1"/>
                <w:sz w:val="24"/>
                <w:lang w:val="en-US" w:eastAsia="zh-CN"/>
                <w14:textFill>
                  <w14:solidFill>
                    <w14:schemeClr w14:val="tx1"/>
                  </w14:solidFill>
                </w14:textFill>
              </w:rPr>
              <w:t>二氧化硫年排放量为0.82</w:t>
            </w:r>
            <w:r>
              <w:rPr>
                <w:rFonts w:hint="eastAsia" w:cs="Times New Roman"/>
                <w:b w:val="0"/>
                <w:bCs w:val="0"/>
                <w:color w:val="000000" w:themeColor="text1"/>
                <w:sz w:val="24"/>
                <w:lang w:val="en-US" w:eastAsia="zh-CN"/>
                <w14:textFill>
                  <w14:solidFill>
                    <w14:schemeClr w14:val="tx1"/>
                  </w14:solidFill>
                </w14:textFill>
              </w:rPr>
              <w:t>8</w:t>
            </w:r>
            <w:r>
              <w:rPr>
                <w:rFonts w:hint="eastAsia" w:ascii="Times New Roman" w:hAnsi="Times New Roman" w:cs="Times New Roman"/>
                <w:b w:val="0"/>
                <w:bCs w:val="0"/>
                <w:color w:val="000000" w:themeColor="text1"/>
                <w:sz w:val="24"/>
                <w:lang w:val="en-US" w:eastAsia="zh-CN"/>
                <w14:textFill>
                  <w14:solidFill>
                    <w14:schemeClr w14:val="tx1"/>
                  </w14:solidFill>
                </w14:textFill>
              </w:rPr>
              <w:t>t/a，参考</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《排放源统计调查产排污核算方法和系数手册》（公告2021年第24号）中《锅炉产排污量核算系数手册》4430工业锅炉（热力生产和供应行业）产排污系数表-</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燃煤工业锅炉</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-双碱法二氧化硫去除效率为81.5%，即可得</w:t>
            </w:r>
            <w:r>
              <w:rPr>
                <w:rFonts w:hint="default" w:ascii="Times New Roman" w:hAnsi="Times New Roman" w:cs="Times New Roman"/>
                <w:b w:val="0"/>
                <w:bCs w:val="0"/>
                <w:color w:val="000000" w:themeColor="text1"/>
                <w:sz w:val="24"/>
                <w:lang w:val="en-US" w:eastAsia="zh-CN"/>
                <w14:textFill>
                  <w14:solidFill>
                    <w14:schemeClr w14:val="tx1"/>
                  </w14:solidFill>
                </w14:textFill>
              </w:rPr>
              <w:t>年处理SO</w:t>
            </w:r>
            <w:r>
              <w:rPr>
                <w:rFonts w:hint="default" w:ascii="Times New Roman" w:hAnsi="Times New Roman" w:cs="Times New Roman"/>
                <w:b w:val="0"/>
                <w:bCs w:val="0"/>
                <w:color w:val="000000" w:themeColor="text1"/>
                <w:sz w:val="24"/>
                <w:vertAlign w:val="subscript"/>
                <w:lang w:val="en-US" w:eastAsia="zh-CN"/>
                <w14:textFill>
                  <w14:solidFill>
                    <w14:schemeClr w14:val="tx1"/>
                  </w14:solidFill>
                </w14:textFill>
              </w:rPr>
              <w:t>2</w:t>
            </w:r>
            <w:r>
              <w:rPr>
                <w:rFonts w:hint="default" w:ascii="Times New Roman" w:hAnsi="Times New Roman" w:cs="Times New Roman"/>
                <w:b w:val="0"/>
                <w:bCs w:val="0"/>
                <w:color w:val="000000" w:themeColor="text1"/>
                <w:sz w:val="24"/>
                <w:lang w:val="en-US" w:eastAsia="zh-CN"/>
                <w14:textFill>
                  <w14:solidFill>
                    <w14:schemeClr w14:val="tx1"/>
                  </w14:solidFill>
                </w14:textFill>
              </w:rPr>
              <w:t>量为</w:t>
            </w:r>
            <w:r>
              <w:rPr>
                <w:rFonts w:hint="eastAsia" w:ascii="Times New Roman" w:hAnsi="Times New Roman" w:cs="Times New Roman"/>
                <w:b w:val="0"/>
                <w:bCs w:val="0"/>
                <w:color w:val="000000" w:themeColor="text1"/>
                <w:sz w:val="24"/>
                <w:lang w:val="en-US" w:eastAsia="zh-CN"/>
                <w14:textFill>
                  <w14:solidFill>
                    <w14:schemeClr w14:val="tx1"/>
                  </w14:solidFill>
                </w14:textFill>
              </w:rPr>
              <w:t>3.</w:t>
            </w:r>
            <w:r>
              <w:rPr>
                <w:rFonts w:hint="eastAsia" w:cs="Times New Roman"/>
                <w:b w:val="0"/>
                <w:bCs w:val="0"/>
                <w:color w:val="000000" w:themeColor="text1"/>
                <w:sz w:val="24"/>
                <w:lang w:val="en-US" w:eastAsia="zh-CN"/>
                <w14:textFill>
                  <w14:solidFill>
                    <w14:schemeClr w14:val="tx1"/>
                  </w14:solidFill>
                </w14:textFill>
              </w:rPr>
              <w:t>65</w:t>
            </w:r>
            <w:r>
              <w:rPr>
                <w:rFonts w:hint="default" w:ascii="Times New Roman" w:hAnsi="Times New Roman" w:cs="Times New Roman"/>
                <w:b w:val="0"/>
                <w:bCs w:val="0"/>
                <w:color w:val="000000" w:themeColor="text1"/>
                <w:sz w:val="24"/>
                <w:lang w:val="en-US" w:eastAsia="zh-CN"/>
                <w14:textFill>
                  <w14:solidFill>
                    <w14:schemeClr w14:val="tx1"/>
                  </w14:solidFill>
                </w14:textFill>
              </w:rPr>
              <w:t>t/a</w:t>
            </w:r>
            <w:r>
              <w:rPr>
                <w:rFonts w:hint="eastAsia" w:ascii="Times New Roman" w:hAnsi="Times New Roman" w:cs="Times New Roman"/>
                <w:b w:val="0"/>
                <w:bCs w:val="0"/>
                <w:color w:val="000000" w:themeColor="text1"/>
                <w:sz w:val="24"/>
                <w:lang w:val="en-US" w:eastAsia="zh-CN"/>
                <w14:textFill>
                  <w14:solidFill>
                    <w14:schemeClr w14:val="tx1"/>
                  </w14:solidFill>
                </w14:textFill>
              </w:rPr>
              <w:t>。</w:t>
            </w:r>
          </w:p>
          <w:p w14:paraId="3600F619">
            <w:pPr>
              <w:keepNext w:val="0"/>
              <w:keepLines w:val="0"/>
              <w:pageBreakBefore w:val="0"/>
              <w:widowControl w:val="0"/>
              <w:kinsoku w:val="0"/>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val="0"/>
                <w:bCs w:val="0"/>
                <w:color w:val="000000" w:themeColor="text1"/>
                <w:sz w:val="24"/>
                <w:lang w:val="en-US" w:eastAsia="zh-CN"/>
                <w14:textFill>
                  <w14:solidFill>
                    <w14:schemeClr w14:val="tx1"/>
                  </w14:solidFill>
                </w14:textFill>
              </w:rPr>
              <w:t>根据二氧化硫和</w:t>
            </w:r>
            <w:r>
              <w:rPr>
                <w:rFonts w:hint="eastAsia" w:ascii="Times New Roman" w:hAnsi="Times New Roman" w:cs="Times New Roman"/>
                <w:b w:val="0"/>
                <w:bCs w:val="0"/>
                <w:color w:val="000000" w:themeColor="text1"/>
                <w:sz w:val="24"/>
                <w:lang w:val="en-US" w:eastAsia="zh-CN"/>
                <w14:textFill>
                  <w14:solidFill>
                    <w14:schemeClr w14:val="tx1"/>
                  </w14:solidFill>
                </w14:textFill>
              </w:rPr>
              <w:t>生</w:t>
            </w:r>
            <w:r>
              <w:rPr>
                <w:rFonts w:hint="default" w:ascii="Times New Roman" w:hAnsi="Times New Roman" w:cs="Times New Roman"/>
                <w:b w:val="0"/>
                <w:bCs w:val="0"/>
                <w:color w:val="000000" w:themeColor="text1"/>
                <w:sz w:val="24"/>
                <w:lang w:val="en-US" w:eastAsia="zh-CN"/>
                <w14:textFill>
                  <w14:solidFill>
                    <w14:schemeClr w14:val="tx1"/>
                  </w14:solidFill>
                </w14:textFill>
              </w:rPr>
              <w:t>石灰的摩尔质量比值</w:t>
            </w:r>
            <w:r>
              <w:rPr>
                <w:rFonts w:hint="eastAsia" w:ascii="Times New Roman" w:hAnsi="Times New Roman" w:cs="Times New Roman"/>
                <w:b w:val="0"/>
                <w:bCs w:val="0"/>
                <w:color w:val="000000" w:themeColor="text1"/>
                <w:sz w:val="24"/>
                <w:lang w:val="en-US" w:eastAsia="zh-CN"/>
                <w14:textFill>
                  <w14:solidFill>
                    <w14:schemeClr w14:val="tx1"/>
                  </w14:solidFill>
                </w14:textFill>
              </w:rPr>
              <w:t>（SO</w:t>
            </w:r>
            <w:r>
              <w:rPr>
                <w:rFonts w:hint="eastAsia" w:ascii="Times New Roman" w:hAnsi="Times New Roman" w:cs="Times New Roman"/>
                <w:b w:val="0"/>
                <w:bCs w:val="0"/>
                <w:color w:val="000000" w:themeColor="text1"/>
                <w:sz w:val="24"/>
                <w:vertAlign w:val="subscript"/>
                <w:lang w:val="en-US" w:eastAsia="zh-CN"/>
                <w14:textFill>
                  <w14:solidFill>
                    <w14:schemeClr w14:val="tx1"/>
                  </w14:solidFill>
                </w14:textFill>
              </w:rPr>
              <w:t>2</w:t>
            </w:r>
            <w:r>
              <w:rPr>
                <w:rFonts w:hint="eastAsia" w:ascii="Times New Roman" w:hAnsi="Times New Roman" w:cs="Times New Roman"/>
                <w:b w:val="0"/>
                <w:bCs w:val="0"/>
                <w:color w:val="000000" w:themeColor="text1"/>
                <w:sz w:val="24"/>
                <w:lang w:val="en-US" w:eastAsia="zh-CN"/>
                <w14:textFill>
                  <w14:solidFill>
                    <w14:schemeClr w14:val="tx1"/>
                  </w14:solidFill>
                </w14:textFill>
              </w:rPr>
              <w:t>6</w:t>
            </w:r>
            <w:r>
              <w:rPr>
                <w:rFonts w:hint="eastAsia" w:cs="Times New Roman"/>
                <w:b w:val="0"/>
                <w:bCs w:val="0"/>
                <w:color w:val="000000" w:themeColor="text1"/>
                <w:sz w:val="24"/>
                <w:lang w:val="en-US" w:eastAsia="zh-CN"/>
                <w14:textFill>
                  <w14:solidFill>
                    <w14:schemeClr w14:val="tx1"/>
                  </w14:solidFill>
                </w14:textFill>
              </w:rPr>
              <w:t>4</w:t>
            </w:r>
            <w:r>
              <w:rPr>
                <w:rFonts w:hint="eastAsia" w:ascii="Times New Roman" w:hAnsi="Times New Roman" w:cs="Times New Roman"/>
                <w:b w:val="0"/>
                <w:bCs w:val="0"/>
                <w:color w:val="000000" w:themeColor="text1"/>
                <w:sz w:val="24"/>
                <w:lang w:val="en-US" w:eastAsia="zh-CN"/>
                <w14:textFill>
                  <w14:solidFill>
                    <w14:schemeClr w14:val="tx1"/>
                  </w14:solidFill>
                </w14:textFill>
              </w:rPr>
              <w:t>g/mol：CaO56g/mol）</w:t>
            </w:r>
            <w:r>
              <w:rPr>
                <w:rFonts w:hint="default" w:ascii="Times New Roman" w:hAnsi="Times New Roman" w:cs="Times New Roman"/>
                <w:b w:val="0"/>
                <w:bCs w:val="0"/>
                <w:color w:val="000000" w:themeColor="text1"/>
                <w:sz w:val="24"/>
                <w:lang w:val="en-US" w:eastAsia="zh-CN"/>
                <w14:textFill>
                  <w14:solidFill>
                    <w14:schemeClr w14:val="tx1"/>
                  </w14:solidFill>
                </w14:textFill>
              </w:rPr>
              <w:t>，石灰用量约</w:t>
            </w:r>
            <w:r>
              <w:rPr>
                <w:rFonts w:hint="eastAsia" w:cs="Times New Roman"/>
                <w:b w:val="0"/>
                <w:bCs w:val="0"/>
                <w:color w:val="000000" w:themeColor="text1"/>
                <w:sz w:val="24"/>
                <w:lang w:val="en-US" w:eastAsia="zh-CN"/>
                <w14:textFill>
                  <w14:solidFill>
                    <w14:schemeClr w14:val="tx1"/>
                  </w14:solidFill>
                </w14:textFill>
              </w:rPr>
              <w:t>3.19</w:t>
            </w:r>
            <w:r>
              <w:rPr>
                <w:rFonts w:hint="default" w:ascii="Times New Roman" w:hAnsi="Times New Roman" w:cs="Times New Roman"/>
                <w:b w:val="0"/>
                <w:bCs w:val="0"/>
                <w:color w:val="000000" w:themeColor="text1"/>
                <w:sz w:val="24"/>
                <w:lang w:val="en-US" w:eastAsia="zh-CN"/>
                <w14:textFill>
                  <w14:solidFill>
                    <w14:schemeClr w14:val="tx1"/>
                  </w14:solidFill>
                </w14:textFill>
              </w:rPr>
              <w:t>t/a，脱硫废渣产生</w:t>
            </w:r>
            <w:r>
              <w:rPr>
                <w:rFonts w:hint="eastAsia" w:cs="Times New Roman"/>
                <w:b w:val="0"/>
                <w:bCs w:val="0"/>
                <w:color w:val="000000" w:themeColor="text1"/>
                <w:sz w:val="24"/>
                <w:lang w:val="en-US" w:eastAsia="zh-CN"/>
                <w14:textFill>
                  <w14:solidFill>
                    <w14:schemeClr w14:val="tx1"/>
                  </w14:solidFill>
                </w14:textFill>
              </w:rPr>
              <w:t>量</w:t>
            </w:r>
            <w:r>
              <w:rPr>
                <w:rFonts w:hint="default" w:ascii="Times New Roman" w:hAnsi="Times New Roman" w:cs="Times New Roman"/>
                <w:b w:val="0"/>
                <w:bCs w:val="0"/>
                <w:color w:val="000000" w:themeColor="text1"/>
                <w:sz w:val="24"/>
                <w:lang w:val="en-US" w:eastAsia="zh-CN"/>
                <w14:textFill>
                  <w14:solidFill>
                    <w14:schemeClr w14:val="tx1"/>
                  </w14:solidFill>
                </w14:textFill>
              </w:rPr>
              <w:t>约</w:t>
            </w:r>
            <w:r>
              <w:rPr>
                <w:rFonts w:hint="eastAsia" w:cs="Times New Roman"/>
                <w:b w:val="0"/>
                <w:bCs w:val="0"/>
                <w:color w:val="000000" w:themeColor="text1"/>
                <w:sz w:val="24"/>
                <w:lang w:val="en-US" w:eastAsia="zh-CN"/>
                <w14:textFill>
                  <w14:solidFill>
                    <w14:schemeClr w14:val="tx1"/>
                  </w14:solidFill>
                </w14:textFill>
              </w:rPr>
              <w:t>6.84</w:t>
            </w:r>
            <w:r>
              <w:rPr>
                <w:rFonts w:hint="default" w:ascii="Times New Roman" w:hAnsi="Times New Roman" w:cs="Times New Roman"/>
                <w:b w:val="0"/>
                <w:bCs w:val="0"/>
                <w:color w:val="000000" w:themeColor="text1"/>
                <w:sz w:val="24"/>
                <w:lang w:val="en-US" w:eastAsia="zh-CN"/>
                <w14:textFill>
                  <w14:solidFill>
                    <w14:schemeClr w14:val="tx1"/>
                  </w14:solidFill>
                </w14:textFill>
              </w:rPr>
              <w:t>t/a。</w:t>
            </w:r>
          </w:p>
          <w:p w14:paraId="2BE930D4">
            <w:pPr>
              <w:pStyle w:val="51"/>
              <w:keepNext w:val="0"/>
              <w:keepLines w:val="0"/>
              <w:pageBreakBefore w:val="0"/>
              <w:widowControl w:val="0"/>
              <w:kinsoku/>
              <w:wordWrap/>
              <w:overflowPunct/>
              <w:topLinePunct w:val="0"/>
              <w:bidi w:val="0"/>
              <w:adjustRightInd/>
              <w:snapToGrid/>
              <w:ind w:leftChars="0" w:firstLine="480" w:firstLineChars="200"/>
              <w:textAlignment w:val="auto"/>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脱硫废渣</w:t>
            </w:r>
            <w:r>
              <w:rPr>
                <w:rFonts w:hint="default" w:ascii="Times New Roman" w:hAnsi="Times New Roman" w:eastAsia="宋体" w:cs="Times New Roman"/>
                <w:color w:val="000000" w:themeColor="text1"/>
                <w:sz w:val="24"/>
                <w:lang w:val="en-US" w:eastAsia="zh-CN"/>
                <w14:textFill>
                  <w14:solidFill>
                    <w14:schemeClr w14:val="tx1"/>
                  </w14:solidFill>
                </w14:textFill>
              </w:rPr>
              <w:t>收集后暂存于</w:t>
            </w:r>
            <w:r>
              <w:rPr>
                <w:rFonts w:hint="eastAsia" w:cs="Times New Roman" w:eastAsiaTheme="minorEastAsia"/>
                <w:b w:val="0"/>
                <w:bCs w:val="0"/>
                <w:color w:val="000000" w:themeColor="text1"/>
                <w:sz w:val="24"/>
                <w:szCs w:val="24"/>
                <w:lang w:eastAsia="zh-CN"/>
                <w14:textFill>
                  <w14:solidFill>
                    <w14:schemeClr w14:val="tx1"/>
                  </w14:solidFill>
                </w14:textFill>
              </w:rPr>
              <w:t>堆渣棚</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同锅炉炉渣一同</w:t>
            </w:r>
            <w:r>
              <w:rPr>
                <w:rFonts w:hint="eastAsia" w:cs="Times New Roman" w:eastAsiaTheme="minorEastAsia"/>
                <w:b w:val="0"/>
                <w:bCs w:val="0"/>
                <w:color w:val="000000" w:themeColor="text1"/>
                <w:sz w:val="24"/>
                <w:szCs w:val="24"/>
                <w:lang w:eastAsia="zh-CN"/>
                <w14:textFill>
                  <w14:solidFill>
                    <w14:schemeClr w14:val="tx1"/>
                  </w14:solidFill>
                </w14:textFill>
              </w:rPr>
              <w:t>定期</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外售</w:t>
            </w:r>
            <w:r>
              <w:rPr>
                <w:rFonts w:hint="eastAsia" w:cs="Times New Roman" w:eastAsiaTheme="minorEastAsia"/>
                <w:b w:val="0"/>
                <w:bCs w:val="0"/>
                <w:color w:val="000000" w:themeColor="text1"/>
                <w:sz w:val="24"/>
                <w:szCs w:val="24"/>
                <w:lang w:eastAsia="zh-CN"/>
                <w14:textFill>
                  <w14:solidFill>
                    <w14:schemeClr w14:val="tx1"/>
                  </w14:solidFill>
                </w14:textFill>
              </w:rPr>
              <w:t>周边砖厂综合利用</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w:t>
            </w:r>
          </w:p>
          <w:p w14:paraId="76D0945D">
            <w:pPr>
              <w:pStyle w:val="13"/>
              <w:spacing w:line="360" w:lineRule="auto"/>
              <w:ind w:firstLine="482" w:firstLineChars="200"/>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3）危险废物</w:t>
            </w:r>
          </w:p>
          <w:p w14:paraId="04EB3164">
            <w:pPr>
              <w:keepNext w:val="0"/>
              <w:pageBreakBefore w:val="0"/>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cs="Times New Roman" w:eastAsiaTheme="minorEastAsia"/>
                <w:b/>
                <w:bCs/>
                <w:color w:val="000000" w:themeColor="text1"/>
                <w:sz w:val="24"/>
                <w:szCs w:val="24"/>
                <w:lang w:eastAsia="zh-CN"/>
                <w14:textFill>
                  <w14:solidFill>
                    <w14:schemeClr w14:val="tx1"/>
                  </w14:solidFill>
                </w14:textFill>
              </w:rPr>
              <w:t>①废机油</w:t>
            </w:r>
          </w:p>
          <w:p w14:paraId="470C8B45">
            <w:pPr>
              <w:keepNext w:val="0"/>
              <w:pageBreakBefore w:val="0"/>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根据建设单位提供资料，项目区内的机械设备需定期进行维修保养，该过程会产生废机油，废机油产生量约为0</w:t>
            </w:r>
            <w:r>
              <w:rPr>
                <w:rFonts w:hint="eastAsia" w:cs="Times New Roman" w:eastAsiaTheme="minorEastAsia"/>
                <w:b w:val="0"/>
                <w:bCs w:val="0"/>
                <w:color w:val="000000" w:themeColor="text1"/>
                <w:sz w:val="24"/>
                <w:szCs w:val="24"/>
                <w:lang w:val="en-US" w:eastAsia="zh-CN"/>
                <w14:textFill>
                  <w14:solidFill>
                    <w14:schemeClr w14:val="tx1"/>
                  </w14:solidFill>
                </w14:textFill>
              </w:rPr>
              <w:t>.05</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t/a。</w:t>
            </w:r>
            <w:r>
              <w:rPr>
                <w:rFonts w:hint="default" w:ascii="Times New Roman" w:hAnsi="Times New Roman" w:eastAsia="宋体" w:cs="Times New Roman"/>
                <w:color w:val="000000" w:themeColor="text1"/>
                <w:sz w:val="24"/>
                <w14:textFill>
                  <w14:solidFill>
                    <w14:schemeClr w14:val="tx1"/>
                  </w14:solidFill>
                </w14:textFill>
              </w:rPr>
              <w:t>根据《国家危险废物名录》（202</w:t>
            </w:r>
            <w:r>
              <w:rPr>
                <w:rFonts w:hint="default"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年本），废</w:t>
            </w:r>
            <w:r>
              <w:rPr>
                <w:rFonts w:hint="default" w:ascii="Times New Roman" w:hAnsi="Times New Roman" w:cs="Times New Roman"/>
                <w:color w:val="000000" w:themeColor="text1"/>
                <w:sz w:val="24"/>
                <w:lang w:eastAsia="zh-CN"/>
                <w14:textFill>
                  <w14:solidFill>
                    <w14:schemeClr w14:val="tx1"/>
                  </w14:solidFill>
                </w14:textFill>
              </w:rPr>
              <w:t>机油</w:t>
            </w:r>
            <w:r>
              <w:rPr>
                <w:rFonts w:hint="default" w:ascii="Times New Roman" w:hAnsi="Times New Roman" w:eastAsia="宋体" w:cs="Times New Roman"/>
                <w:color w:val="000000" w:themeColor="text1"/>
                <w:sz w:val="24"/>
                <w14:textFill>
                  <w14:solidFill>
                    <w14:schemeClr w14:val="tx1"/>
                  </w14:solidFill>
                </w14:textFill>
              </w:rPr>
              <w:t>类别属</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HW08废矿物油与含矿物油废物</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；废物代码</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900-214-08</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eastAsia="zh-CN"/>
                <w14:textFill>
                  <w14:solidFill>
                    <w14:schemeClr w14:val="tx1"/>
                  </w14:solidFill>
                </w14:textFill>
              </w:rPr>
              <w:t>现有</w:t>
            </w:r>
            <w:r>
              <w:rPr>
                <w:rFonts w:hint="default" w:ascii="Times New Roman" w:hAnsi="Times New Roman" w:eastAsia="宋体" w:cs="Times New Roman"/>
                <w:color w:val="000000" w:themeColor="text1"/>
                <w:sz w:val="24"/>
                <w14:textFill>
                  <w14:solidFill>
                    <w14:schemeClr w14:val="tx1"/>
                  </w14:solidFill>
                </w14:textFill>
              </w:rPr>
              <w:t>产生的废</w:t>
            </w:r>
            <w:r>
              <w:rPr>
                <w:rFonts w:hint="default" w:ascii="Times New Roman" w:hAnsi="Times New Roman" w:cs="Times New Roman"/>
                <w:color w:val="000000" w:themeColor="text1"/>
                <w:sz w:val="24"/>
                <w:lang w:eastAsia="zh-CN"/>
                <w14:textFill>
                  <w14:solidFill>
                    <w14:schemeClr w14:val="tx1"/>
                  </w14:solidFill>
                </w14:textFill>
              </w:rPr>
              <w:t>机油</w:t>
            </w:r>
            <w:r>
              <w:rPr>
                <w:rFonts w:hint="default" w:ascii="Times New Roman" w:hAnsi="Times New Roman" w:eastAsia="宋体" w:cs="Times New Roman"/>
                <w:color w:val="000000" w:themeColor="text1"/>
                <w:sz w:val="24"/>
                <w14:textFill>
                  <w14:solidFill>
                    <w14:schemeClr w14:val="tx1"/>
                  </w14:solidFill>
                </w14:textFill>
              </w:rPr>
              <w:t>通过收集后暂存于</w:t>
            </w:r>
            <w:r>
              <w:rPr>
                <w:rFonts w:hint="eastAsia" w:cs="Times New Roman"/>
                <w:color w:val="000000" w:themeColor="text1"/>
                <w:sz w:val="24"/>
                <w:lang w:eastAsia="zh-CN"/>
                <w14:textFill>
                  <w14:solidFill>
                    <w14:schemeClr w14:val="tx1"/>
                  </w14:solidFill>
                </w14:textFill>
              </w:rPr>
              <w:t>危废贮存库</w:t>
            </w:r>
            <w:r>
              <w:rPr>
                <w:rFonts w:hint="default" w:ascii="Times New Roman" w:hAnsi="Times New Roman" w:eastAsia="宋体" w:cs="Times New Roman"/>
                <w:color w:val="000000" w:themeColor="text1"/>
                <w:sz w:val="24"/>
                <w14:textFill>
                  <w14:solidFill>
                    <w14:schemeClr w14:val="tx1"/>
                  </w14:solidFill>
                </w14:textFill>
              </w:rPr>
              <w:t>，定期</w:t>
            </w:r>
            <w:r>
              <w:rPr>
                <w:rFonts w:hint="eastAsia" w:ascii="Times New Roman" w:hAnsi="Times New Roman" w:eastAsia="宋体" w:cs="Times New Roman"/>
                <w:color w:val="000000" w:themeColor="text1"/>
                <w:sz w:val="24"/>
                <w:lang w:eastAsia="zh-CN"/>
                <w14:textFill>
                  <w14:solidFill>
                    <w14:schemeClr w14:val="tx1"/>
                  </w14:solidFill>
                </w14:textFill>
              </w:rPr>
              <w:t>用于设备润滑使用，未外排。</w:t>
            </w:r>
          </w:p>
          <w:p w14:paraId="4C992DF1">
            <w:pPr>
              <w:widowControl/>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9</w:t>
            </w:r>
            <w:r>
              <w:rPr>
                <w:b/>
                <w:color w:val="000000" w:themeColor="text1"/>
                <w:sz w:val="24"/>
                <w14:textFill>
                  <w14:solidFill>
                    <w14:schemeClr w14:val="tx1"/>
                  </w14:solidFill>
                </w14:textFill>
              </w:rPr>
              <w:t>、</w:t>
            </w:r>
            <w:r>
              <w:rPr>
                <w:rFonts w:hint="eastAsia"/>
                <w:b/>
                <w:color w:val="000000" w:themeColor="text1"/>
                <w:sz w:val="24"/>
                <w:lang w:eastAsia="zh-CN"/>
                <w14:textFill>
                  <w14:solidFill>
                    <w14:schemeClr w14:val="tx1"/>
                  </w14:solidFill>
                </w14:textFill>
              </w:rPr>
              <w:t>现有项目</w:t>
            </w:r>
            <w:r>
              <w:rPr>
                <w:b/>
                <w:color w:val="000000" w:themeColor="text1"/>
                <w:sz w:val="24"/>
                <w14:textFill>
                  <w14:solidFill>
                    <w14:schemeClr w14:val="tx1"/>
                  </w14:solidFill>
                </w14:textFill>
              </w:rPr>
              <w:t>存在问题及</w:t>
            </w:r>
            <w:r>
              <w:rPr>
                <w:rFonts w:hint="eastAsia"/>
                <w:b/>
                <w:color w:val="000000" w:themeColor="text1"/>
                <w:sz w:val="24"/>
                <w:lang w:eastAsia="zh-CN"/>
                <w14:textFill>
                  <w14:solidFill>
                    <w14:schemeClr w14:val="tx1"/>
                  </w14:solidFill>
                </w14:textFill>
              </w:rPr>
              <w:t>“</w:t>
            </w:r>
            <w:r>
              <w:rPr>
                <w:b/>
                <w:color w:val="000000" w:themeColor="text1"/>
                <w:sz w:val="24"/>
                <w14:textFill>
                  <w14:solidFill>
                    <w14:schemeClr w14:val="tx1"/>
                  </w14:solidFill>
                </w14:textFill>
              </w:rPr>
              <w:t>以新带老</w:t>
            </w:r>
            <w:r>
              <w:rPr>
                <w:rFonts w:hint="eastAsia"/>
                <w:b/>
                <w:color w:val="000000" w:themeColor="text1"/>
                <w:sz w:val="24"/>
                <w:lang w:eastAsia="zh-CN"/>
                <w14:textFill>
                  <w14:solidFill>
                    <w14:schemeClr w14:val="tx1"/>
                  </w14:solidFill>
                </w14:textFill>
              </w:rPr>
              <w:t>”</w:t>
            </w:r>
            <w:r>
              <w:rPr>
                <w:b/>
                <w:color w:val="000000" w:themeColor="text1"/>
                <w:sz w:val="24"/>
                <w14:textFill>
                  <w14:solidFill>
                    <w14:schemeClr w14:val="tx1"/>
                  </w14:solidFill>
                </w14:textFill>
              </w:rPr>
              <w:t>措施</w:t>
            </w:r>
          </w:p>
          <w:p w14:paraId="3BB4CCA2">
            <w:pPr>
              <w:widowControl/>
              <w:spacing w:line="360" w:lineRule="auto"/>
              <w:ind w:firstLine="480" w:firstLineChars="200"/>
              <w:rPr>
                <w:color w:val="000000" w:themeColor="text1"/>
                <w:sz w:val="24"/>
                <w14:textFill>
                  <w14:solidFill>
                    <w14:schemeClr w14:val="tx1"/>
                  </w14:solidFill>
                </w14:textFill>
              </w:rPr>
            </w:pPr>
            <w:r>
              <w:rPr>
                <w:rFonts w:eastAsia="新宋体"/>
                <w:color w:val="000000" w:themeColor="text1"/>
                <w:kern w:val="0"/>
                <w:sz w:val="24"/>
                <w14:textFill>
                  <w14:solidFill>
                    <w14:schemeClr w14:val="tx1"/>
                  </w14:solidFill>
                </w14:textFill>
              </w:rPr>
              <w:t>经核实</w:t>
            </w:r>
            <w:r>
              <w:rPr>
                <w:rFonts w:hint="eastAsia" w:eastAsia="新宋体"/>
                <w:color w:val="000000" w:themeColor="text1"/>
                <w:kern w:val="0"/>
                <w:sz w:val="24"/>
                <w:lang w:eastAsia="zh-CN"/>
                <w14:textFill>
                  <w14:solidFill>
                    <w14:schemeClr w14:val="tx1"/>
                  </w14:solidFill>
                </w14:textFill>
              </w:rPr>
              <w:t>现有项目</w:t>
            </w:r>
            <w:r>
              <w:rPr>
                <w:rFonts w:eastAsia="新宋体"/>
                <w:color w:val="000000" w:themeColor="text1"/>
                <w:kern w:val="0"/>
                <w:sz w:val="24"/>
                <w14:textFill>
                  <w14:solidFill>
                    <w14:schemeClr w14:val="tx1"/>
                  </w14:solidFill>
                </w14:textFill>
              </w:rPr>
              <w:t>环保手续齐全，</w:t>
            </w:r>
            <w:r>
              <w:rPr>
                <w:rFonts w:hint="eastAsia" w:eastAsia="新宋体"/>
                <w:color w:val="000000" w:themeColor="text1"/>
                <w:sz w:val="24"/>
                <w:lang w:eastAsia="zh-CN"/>
                <w14:textFill>
                  <w14:solidFill>
                    <w14:schemeClr w14:val="tx1"/>
                  </w14:solidFill>
                </w14:textFill>
              </w:rPr>
              <w:t>现有项目</w:t>
            </w:r>
            <w:r>
              <w:rPr>
                <w:color w:val="000000" w:themeColor="text1"/>
                <w:sz w:val="24"/>
                <w14:textFill>
                  <w14:solidFill>
                    <w14:schemeClr w14:val="tx1"/>
                  </w14:solidFill>
                </w14:textFill>
              </w:rPr>
              <w:t>所产生的废气、废水、噪声及固废等均采取了</w:t>
            </w:r>
            <w:r>
              <w:rPr>
                <w:rFonts w:hint="eastAsia"/>
                <w:color w:val="000000" w:themeColor="text1"/>
                <w:sz w:val="24"/>
                <w:lang w:eastAsia="zh-CN"/>
                <w14:textFill>
                  <w14:solidFill>
                    <w14:schemeClr w14:val="tx1"/>
                  </w14:solidFill>
                </w14:textFill>
              </w:rPr>
              <w:t>相应</w:t>
            </w:r>
            <w:r>
              <w:rPr>
                <w:color w:val="000000" w:themeColor="text1"/>
                <w:sz w:val="24"/>
                <w14:textFill>
                  <w14:solidFill>
                    <w14:schemeClr w14:val="tx1"/>
                  </w14:solidFill>
                </w14:textFill>
              </w:rPr>
              <w:t>污染防治措施，</w:t>
            </w:r>
            <w:r>
              <w:rPr>
                <w:rFonts w:hint="eastAsia" w:eastAsia="新宋体"/>
                <w:color w:val="000000" w:themeColor="text1"/>
                <w:kern w:val="0"/>
                <w:sz w:val="24"/>
                <w:lang w:eastAsia="zh-CN"/>
                <w14:textFill>
                  <w14:solidFill>
                    <w14:schemeClr w14:val="tx1"/>
                  </w14:solidFill>
                </w14:textFill>
              </w:rPr>
              <w:t>现有项目</w:t>
            </w:r>
            <w:r>
              <w:rPr>
                <w:color w:val="000000" w:themeColor="text1"/>
                <w:sz w:val="24"/>
                <w14:textFill>
                  <w14:solidFill>
                    <w14:schemeClr w14:val="tx1"/>
                  </w14:solidFill>
                </w14:textFill>
              </w:rPr>
              <w:t>已</w:t>
            </w:r>
            <w:r>
              <w:rPr>
                <w:rFonts w:hint="eastAsia"/>
                <w:color w:val="000000" w:themeColor="text1"/>
                <w:sz w:val="24"/>
                <w:lang w:eastAsia="zh-CN"/>
                <w14:textFill>
                  <w14:solidFill>
                    <w14:schemeClr w14:val="tx1"/>
                  </w14:solidFill>
                </w14:textFill>
              </w:rPr>
              <w:t>于</w:t>
            </w:r>
            <w:r>
              <w:rPr>
                <w:rFonts w:hint="eastAsia"/>
                <w:color w:val="000000" w:themeColor="text1"/>
                <w:sz w:val="24"/>
                <w:lang w:val="en-US" w:eastAsia="zh-CN"/>
                <w14:textFill>
                  <w14:solidFill>
                    <w14:schemeClr w14:val="tx1"/>
                  </w14:solidFill>
                </w14:textFill>
              </w:rPr>
              <w:t>2021年完成自主</w:t>
            </w:r>
            <w:r>
              <w:rPr>
                <w:color w:val="000000" w:themeColor="text1"/>
                <w:sz w:val="24"/>
                <w14:textFill>
                  <w14:solidFill>
                    <w14:schemeClr w14:val="tx1"/>
                  </w14:solidFill>
                </w14:textFill>
              </w:rPr>
              <w:t>验收。</w:t>
            </w:r>
          </w:p>
          <w:p w14:paraId="0D950801">
            <w:pPr>
              <w:widowControl/>
              <w:spacing w:line="360" w:lineRule="auto"/>
              <w:ind w:firstLine="480" w:firstLineChars="2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由于近年来相关法律法规的更新和出台，现有项目存在以下问题：</w:t>
            </w:r>
          </w:p>
          <w:p w14:paraId="49AA3EBD">
            <w:pPr>
              <w:widowControl/>
              <w:spacing w:line="360" w:lineRule="auto"/>
              <w:ind w:firstLine="480" w:firstLineChars="200"/>
              <w:rPr>
                <w:rFonts w:hint="default"/>
                <w:color w:val="000000" w:themeColor="text1"/>
                <w:sz w:val="24"/>
                <w:lang w:val="en-US"/>
                <w14:textFill>
                  <w14:solidFill>
                    <w14:schemeClr w14:val="tx1"/>
                  </w14:solidFill>
                </w14:textFill>
              </w:rPr>
            </w:pPr>
            <w:r>
              <w:rPr>
                <w:rFonts w:hint="eastAsia" w:cs="Times New Roman"/>
                <w:color w:val="000000" w:themeColor="text1"/>
                <w:sz w:val="24"/>
                <w:lang w:eastAsia="zh-CN"/>
                <w14:textFill>
                  <w14:solidFill>
                    <w14:schemeClr w14:val="tx1"/>
                  </w14:solidFill>
                </w14:textFill>
              </w:rPr>
              <w:t>①</w:t>
            </w:r>
            <w:r>
              <w:rPr>
                <w:rFonts w:hint="eastAsia" w:ascii="Times New Roman" w:hAnsi="Times New Roman" w:eastAsia="宋体" w:cs="Times New Roman"/>
                <w:color w:val="000000" w:themeColor="text1"/>
                <w:sz w:val="24"/>
                <w:lang w:eastAsia="zh-CN"/>
                <w14:textFill>
                  <w14:solidFill>
                    <w14:schemeClr w14:val="tx1"/>
                  </w14:solidFill>
                </w14:textFill>
              </w:rPr>
              <w:t>根据《产业结构调整指导目录（2024年本）》，</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eastAsia="zh-CN"/>
                <w14:textFill>
                  <w14:solidFill>
                    <w14:schemeClr w14:val="tx1"/>
                  </w14:solidFill>
                </w14:textFill>
              </w:rPr>
              <w:t>每小时</w:t>
            </w:r>
            <w:r>
              <w:rPr>
                <w:rFonts w:hint="eastAsia" w:ascii="Times New Roman" w:hAnsi="Times New Roman" w:eastAsia="宋体" w:cs="Times New Roman"/>
                <w:color w:val="000000" w:themeColor="text1"/>
                <w:sz w:val="24"/>
                <w:lang w:val="en-US" w:eastAsia="zh-CN"/>
                <w14:textFill>
                  <w14:solidFill>
                    <w14:schemeClr w14:val="tx1"/>
                  </w14:solidFill>
                </w14:textFill>
              </w:rPr>
              <w:t>10蒸吨以下的燃煤锅炉</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eastAsia="zh-CN"/>
                <w14:textFill>
                  <w14:solidFill>
                    <w14:schemeClr w14:val="tx1"/>
                  </w14:solidFill>
                </w14:textFill>
              </w:rPr>
              <w:t>属于淘汰类。厂区内现有</w:t>
            </w:r>
            <w:r>
              <w:rPr>
                <w:rFonts w:hint="eastAsia" w:ascii="Times New Roman" w:hAnsi="Times New Roman" w:eastAsia="宋体" w:cs="Times New Roman"/>
                <w:color w:val="000000" w:themeColor="text1"/>
                <w:sz w:val="24"/>
                <w:lang w:val="en-US" w:eastAsia="zh-CN"/>
                <w14:textFill>
                  <w14:solidFill>
                    <w14:schemeClr w14:val="tx1"/>
                  </w14:solidFill>
                </w14:textFill>
              </w:rPr>
              <w:t>2t/h燃煤锅炉不符合</w:t>
            </w:r>
            <w:r>
              <w:rPr>
                <w:rFonts w:hint="eastAsia" w:ascii="Times New Roman" w:hAnsi="Times New Roman" w:eastAsia="宋体" w:cs="Times New Roman"/>
                <w:color w:val="000000" w:themeColor="text1"/>
                <w:sz w:val="24"/>
                <w:lang w:eastAsia="zh-CN"/>
                <w14:textFill>
                  <w14:solidFill>
                    <w14:schemeClr w14:val="tx1"/>
                  </w14:solidFill>
                </w14:textFill>
              </w:rPr>
              <w:t>《产业结构调整指导目录（2024年本）》要求。</w:t>
            </w:r>
          </w:p>
          <w:p w14:paraId="328798CA">
            <w:pPr>
              <w:widowControl/>
              <w:spacing w:line="360" w:lineRule="auto"/>
              <w:ind w:firstLine="480" w:firstLineChars="2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②</w:t>
            </w:r>
            <w:r>
              <w:rPr>
                <w:rFonts w:hint="eastAsia" w:ascii="Times New Roman" w:hAnsi="Times New Roman" w:eastAsia="宋体" w:cs="Times New Roman"/>
                <w:color w:val="000000" w:themeColor="text1"/>
                <w:sz w:val="24"/>
                <w:lang w:val="en-US" w:eastAsia="zh-CN"/>
                <w14:textFill>
                  <w14:solidFill>
                    <w14:schemeClr w14:val="tx1"/>
                  </w14:solidFill>
                </w14:textFill>
              </w:rPr>
              <w:t>现有燃煤锅炉未设置软水制备设施，易产生水垢，水垢会附着在锅炉内壁和管道上，形成热阻和过热，降低锅炉的传热效率，增加燃料消耗量，同时还会引起管道堵塞、温升过高等问题，降低了锅炉的安全性。</w:t>
            </w:r>
          </w:p>
          <w:p w14:paraId="0EA7F818">
            <w:pPr>
              <w:widowControl/>
              <w:spacing w:line="360" w:lineRule="auto"/>
              <w:ind w:firstLine="480" w:firstLineChars="200"/>
              <w:rPr>
                <w:rFonts w:hint="eastAsia"/>
                <w:color w:val="000000" w:themeColor="text1"/>
                <w:sz w:val="24"/>
                <w:lang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③现有项目</w:t>
            </w:r>
            <w:r>
              <w:rPr>
                <w:rFonts w:hint="eastAsia" w:ascii="Times New Roman" w:hAnsi="Times New Roman" w:eastAsia="宋体" w:cs="Times New Roman"/>
                <w:color w:val="000000" w:themeColor="text1"/>
                <w:sz w:val="24"/>
                <w:lang w:val="en-US" w:eastAsia="zh-CN"/>
                <w14:textFill>
                  <w14:solidFill>
                    <w14:schemeClr w14:val="tx1"/>
                  </w14:solidFill>
                </w14:textFill>
              </w:rPr>
              <w:t>生产过程中有机废气无组织排放。</w:t>
            </w:r>
          </w:p>
          <w:p w14:paraId="7470B915">
            <w:pPr>
              <w:widowControl/>
              <w:spacing w:line="360" w:lineRule="auto"/>
              <w:ind w:firstLine="480" w:firstLineChars="2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④危废贮存库需进行修缮。</w:t>
            </w:r>
          </w:p>
          <w:p w14:paraId="1B573A0A">
            <w:pPr>
              <w:widowControl/>
              <w:spacing w:line="360" w:lineRule="auto"/>
              <w:ind w:firstLine="480" w:firstLineChars="2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⑤</w:t>
            </w:r>
            <w:r>
              <w:rPr>
                <w:rFonts w:hint="eastAsia" w:ascii="Times New Roman" w:hAnsi="Times New Roman" w:eastAsia="宋体" w:cs="Times New Roman"/>
                <w:color w:val="000000" w:themeColor="text1"/>
                <w:sz w:val="24"/>
                <w:lang w:val="en-US" w:eastAsia="zh-CN"/>
                <w14:textFill>
                  <w14:solidFill>
                    <w14:schemeClr w14:val="tx1"/>
                  </w14:solidFill>
                </w14:textFill>
              </w:rPr>
              <w:t>现有生活污水经化粪池、隔油池处理后用于厂区菜地浇洒。</w:t>
            </w:r>
          </w:p>
          <w:p w14:paraId="54DA4B79">
            <w:pPr>
              <w:widowControl/>
              <w:spacing w:line="360" w:lineRule="auto"/>
              <w:ind w:firstLine="480" w:firstLineChars="2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⑥</w:t>
            </w:r>
            <w:r>
              <w:rPr>
                <w:rFonts w:hint="eastAsia" w:ascii="Times New Roman" w:hAnsi="Times New Roman" w:eastAsia="宋体" w:cs="Times New Roman"/>
                <w:color w:val="000000" w:themeColor="text1"/>
                <w:sz w:val="24"/>
                <w:lang w:val="en-US" w:eastAsia="zh-CN"/>
                <w14:textFill>
                  <w14:solidFill>
                    <w14:schemeClr w14:val="tx1"/>
                  </w14:solidFill>
                </w14:textFill>
              </w:rPr>
              <w:t>现有食堂油烟经风扇后无组织排放。</w:t>
            </w:r>
          </w:p>
          <w:p w14:paraId="21F87EC8">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为进一步减小项目对环境带来的影响，</w:t>
            </w:r>
            <w:r>
              <w:rPr>
                <w:rFonts w:hint="eastAsia"/>
                <w:color w:val="000000" w:themeColor="text1"/>
                <w:sz w:val="24"/>
                <w:lang w:eastAsia="zh-CN"/>
                <w14:textFill>
                  <w14:solidFill>
                    <w14:schemeClr w14:val="tx1"/>
                  </w14:solidFill>
                </w14:textFill>
              </w:rPr>
              <w:t>本环评</w:t>
            </w:r>
            <w:r>
              <w:rPr>
                <w:color w:val="000000" w:themeColor="text1"/>
                <w:sz w:val="24"/>
                <w14:textFill>
                  <w14:solidFill>
                    <w14:schemeClr w14:val="tx1"/>
                  </w14:solidFill>
                </w14:textFill>
              </w:rPr>
              <w:t>要求</w:t>
            </w:r>
            <w:r>
              <w:rPr>
                <w:rFonts w:hint="eastAsia"/>
                <w:color w:val="000000" w:themeColor="text1"/>
                <w:sz w:val="24"/>
                <w:lang w:eastAsia="zh-CN"/>
                <w14:textFill>
                  <w14:solidFill>
                    <w14:schemeClr w14:val="tx1"/>
                  </w14:solidFill>
                </w14:textFill>
              </w:rPr>
              <w:t>建设单位</w:t>
            </w:r>
            <w:r>
              <w:rPr>
                <w:color w:val="000000" w:themeColor="text1"/>
                <w:sz w:val="24"/>
                <w14:textFill>
                  <w14:solidFill>
                    <w14:schemeClr w14:val="tx1"/>
                  </w14:solidFill>
                </w14:textFill>
              </w:rPr>
              <w:t>采取以下措施：</w:t>
            </w:r>
          </w:p>
          <w:p w14:paraId="52A4FC76">
            <w:pPr>
              <w:widowControl/>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lang w:eastAsia="zh-CN"/>
                <w14:textFill>
                  <w14:solidFill>
                    <w14:schemeClr w14:val="tx1"/>
                  </w14:solidFill>
                </w14:textFill>
              </w:rPr>
              <w:t>）现有</w:t>
            </w:r>
            <w:r>
              <w:rPr>
                <w:rFonts w:hint="eastAsia" w:ascii="Times New Roman" w:hAnsi="Times New Roman" w:eastAsia="宋体" w:cs="Times New Roman"/>
                <w:color w:val="000000" w:themeColor="text1"/>
                <w:sz w:val="24"/>
                <w:lang w:val="en-US" w:eastAsia="zh-CN"/>
                <w14:textFill>
                  <w14:solidFill>
                    <w14:schemeClr w14:val="tx1"/>
                  </w14:solidFill>
                </w14:textFill>
              </w:rPr>
              <w:t>2t/h燃煤锅炉拆除，现有燃煤锅炉配套双碱法脱硫设施拆除。</w:t>
            </w:r>
            <w:r>
              <w:rPr>
                <w:rFonts w:hint="eastAsia" w:cs="Times New Roman"/>
                <w:color w:val="000000" w:themeColor="text1"/>
                <w:sz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lang w:val="en-US" w:eastAsia="zh-CN"/>
                <w14:textFill>
                  <w14:solidFill>
                    <w14:schemeClr w14:val="tx1"/>
                  </w14:solidFill>
                </w14:textFill>
              </w:rPr>
              <w:t>新增1台3t/h生物质锅炉，本环评要求新增1套</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低氮燃烧+旋风除尘+布袋除尘</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设施。锅炉废气经</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低氮燃烧+旋风除尘+布袋除尘</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设施处理后通过</w:t>
            </w:r>
            <w:r>
              <w:rPr>
                <w:rFonts w:hint="eastAsia" w:cs="Times New Roman"/>
                <w:color w:val="000000" w:themeColor="text1"/>
                <w:sz w:val="24"/>
                <w:lang w:val="en-US" w:eastAsia="zh-CN"/>
                <w14:textFill>
                  <w14:solidFill>
                    <w14:schemeClr w14:val="tx1"/>
                  </w14:solidFill>
                </w14:textFill>
              </w:rPr>
              <w:t>30m</w:t>
            </w:r>
            <w:r>
              <w:rPr>
                <w:rFonts w:hint="eastAsia" w:ascii="Times New Roman" w:hAnsi="Times New Roman" w:eastAsia="宋体" w:cs="Times New Roman"/>
                <w:color w:val="000000" w:themeColor="text1"/>
                <w:sz w:val="24"/>
                <w:lang w:val="en-US" w:eastAsia="zh-CN"/>
                <w14:textFill>
                  <w14:solidFill>
                    <w14:schemeClr w14:val="tx1"/>
                  </w14:solidFill>
                </w14:textFill>
              </w:rPr>
              <w:t>高排气筒DA001排放。</w:t>
            </w:r>
          </w:p>
          <w:p w14:paraId="47CB62A8">
            <w:pPr>
              <w:widowControl/>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新增1个</w:t>
            </w:r>
            <w:r>
              <w:rPr>
                <w:rFonts w:hint="eastAsia" w:cs="Times New Roman" w:eastAsiaTheme="minorEastAsia"/>
                <w:color w:val="000000" w:themeColor="text1"/>
                <w:sz w:val="24"/>
                <w:szCs w:val="24"/>
                <w:lang w:val="en-US" w:eastAsia="zh-CN"/>
                <w14:textFill>
                  <w14:solidFill>
                    <w14:schemeClr w14:val="tx1"/>
                  </w14:solidFill>
                </w14:textFill>
              </w:rPr>
              <w:t>6m</w:t>
            </w:r>
            <w:r>
              <w:rPr>
                <w:rFonts w:hint="eastAsia" w:cs="Times New Roman" w:eastAsiaTheme="minorEastAsia"/>
                <w:color w:val="000000" w:themeColor="text1"/>
                <w:sz w:val="24"/>
                <w:szCs w:val="24"/>
                <w:vertAlign w:val="superscript"/>
                <w:lang w:val="en-US" w:eastAsia="zh-CN"/>
                <w14:textFill>
                  <w14:solidFill>
                    <w14:schemeClr w14:val="tx1"/>
                  </w14:solidFill>
                </w14:textFill>
              </w:rPr>
              <w:t>3</w:t>
            </w:r>
            <w:r>
              <w:rPr>
                <w:rFonts w:hint="eastAsia" w:cs="Times New Roman" w:eastAsiaTheme="minorEastAsia"/>
                <w:color w:val="000000" w:themeColor="text1"/>
                <w:sz w:val="24"/>
                <w:szCs w:val="24"/>
                <w:lang w:val="en-US" w:eastAsia="zh-CN"/>
                <w14:textFill>
                  <w14:solidFill>
                    <w14:schemeClr w14:val="tx1"/>
                  </w14:solidFill>
                </w14:textFill>
              </w:rPr>
              <w:t>废水收集池收集软水废水及锅炉排水，废水经收集后用于厂区洒水降尘。</w:t>
            </w:r>
          </w:p>
          <w:p w14:paraId="463B2E15">
            <w:pPr>
              <w:widowControl/>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（3）新增设置集气罩</w:t>
            </w:r>
            <w:r>
              <w:rPr>
                <w:rFonts w:hint="eastAsia" w:cs="Times New Roman"/>
                <w:color w:val="000000" w:themeColor="text1"/>
                <w:sz w:val="24"/>
                <w:lang w:val="en-US" w:eastAsia="zh-CN"/>
                <w14:textFill>
                  <w14:solidFill>
                    <w14:schemeClr w14:val="tx1"/>
                  </w14:solidFill>
                </w14:textFill>
              </w:rPr>
              <w:t>收集发泡工序、成型工序有机废气</w:t>
            </w:r>
            <w:r>
              <w:rPr>
                <w:rFonts w:hint="eastAsia" w:ascii="Times New Roman" w:hAnsi="Times New Roman" w:eastAsia="宋体" w:cs="Times New Roman"/>
                <w:color w:val="000000" w:themeColor="text1"/>
                <w:sz w:val="24"/>
                <w:lang w:val="en-US" w:eastAsia="zh-CN"/>
                <w14:textFill>
                  <w14:solidFill>
                    <w14:schemeClr w14:val="tx1"/>
                  </w14:solidFill>
                </w14:textFill>
              </w:rPr>
              <w:t>，新增1套</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两级活性炭吸附装置</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，新增</w:t>
            </w:r>
            <w:r>
              <w:rPr>
                <w:rFonts w:hint="eastAsia" w:cs="Times New Roman"/>
                <w:color w:val="000000" w:themeColor="text1"/>
                <w:sz w:val="24"/>
                <w:lang w:val="en-US" w:eastAsia="zh-CN"/>
                <w14:textFill>
                  <w14:solidFill>
                    <w14:schemeClr w14:val="tx1"/>
                  </w14:solidFill>
                </w14:textFill>
              </w:rPr>
              <w:t>1根15m高排气筒DA002</w:t>
            </w:r>
            <w:r>
              <w:rPr>
                <w:rFonts w:hint="eastAsia" w:ascii="Times New Roman" w:hAnsi="Times New Roman" w:eastAsia="宋体" w:cs="Times New Roman"/>
                <w:color w:val="000000" w:themeColor="text1"/>
                <w:sz w:val="24"/>
                <w:lang w:val="en-US" w:eastAsia="zh-CN"/>
                <w14:textFill>
                  <w14:solidFill>
                    <w14:schemeClr w14:val="tx1"/>
                  </w14:solidFill>
                </w14:textFill>
              </w:rPr>
              <w:t>。有机废气经收集后进入</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两级活性炭吸附装置</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，处理后通过15m高排气筒DA002排放。</w:t>
            </w:r>
          </w:p>
          <w:p w14:paraId="74E30890">
            <w:pPr>
              <w:widowControl/>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（4）现有1间</w:t>
            </w:r>
            <w:r>
              <w:rPr>
                <w:rFonts w:hint="default" w:ascii="Times New Roman" w:hAnsi="Times New Roman" w:eastAsia="宋体" w:cs="Times New Roman"/>
                <w:color w:val="000000" w:themeColor="text1"/>
                <w:sz w:val="24"/>
                <w:lang w:val="en-US" w:eastAsia="zh-CN"/>
                <w14:textFill>
                  <w14:solidFill>
                    <w14:schemeClr w14:val="tx1"/>
                  </w14:solidFill>
                </w14:textFill>
              </w:rPr>
              <w:t>5m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lang w:val="en-US" w:eastAsia="zh-CN"/>
                <w14:textFill>
                  <w14:solidFill>
                    <w14:schemeClr w14:val="tx1"/>
                  </w14:solidFill>
                </w14:textFill>
              </w:rPr>
              <w:t>危险废物贮存库。</w:t>
            </w:r>
            <w:r>
              <w:rPr>
                <w:rFonts w:hint="eastAsia" w:cs="Times New Roman"/>
                <w:color w:val="000000" w:themeColor="text1"/>
                <w:sz w:val="24"/>
                <w:lang w:val="en-US" w:eastAsia="zh-CN"/>
                <w14:textFill>
                  <w14:solidFill>
                    <w14:schemeClr w14:val="tx1"/>
                  </w14:solidFill>
                </w14:textFill>
              </w:rPr>
              <w:t>现有</w:t>
            </w:r>
            <w:r>
              <w:rPr>
                <w:rFonts w:hint="eastAsia" w:ascii="Times New Roman" w:hAnsi="Times New Roman" w:eastAsia="宋体" w:cs="Times New Roman"/>
                <w:color w:val="000000" w:themeColor="text1"/>
                <w:sz w:val="24"/>
                <w:lang w:val="en-US" w:eastAsia="zh-CN"/>
                <w14:textFill>
                  <w14:solidFill>
                    <w14:schemeClr w14:val="tx1"/>
                  </w14:solidFill>
                </w14:textFill>
              </w:rPr>
              <w:t>危废贮存库进行修缮后使用，危废贮存库重新修缮涂刷地面及裙角环氧树脂防渗材料；危废贮存库大门处需设置约20cm围挡，处理后需满足</w:t>
            </w:r>
            <w:r>
              <w:rPr>
                <w:rFonts w:hint="default" w:ascii="Times New Roman" w:hAnsi="Times New Roman" w:eastAsia="宋体" w:cs="Times New Roman"/>
                <w:color w:val="000000" w:themeColor="text1"/>
                <w:sz w:val="24"/>
                <w:lang w:val="en-US" w:eastAsia="zh-CN"/>
                <w14:textFill>
                  <w14:solidFill>
                    <w14:schemeClr w14:val="tx1"/>
                  </w14:solidFill>
                </w14:textFill>
              </w:rPr>
              <w:t>《危险废物贮存污染控制标准》（GB18597-2023）相关要求</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63F64979">
            <w:pPr>
              <w:widowControl/>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（5）建设单位设置1台处理能力为</w:t>
            </w:r>
            <w:r>
              <w:rPr>
                <w:rFonts w:hint="eastAsia" w:cs="Times New Roman"/>
                <w:color w:val="000000" w:themeColor="text1"/>
                <w:sz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/d的一体化生活污水处理设施，生活污水经隔油池、化粪池预处理后进入自建生活污水处理设施处理达标后用于厂区绿化。</w:t>
            </w:r>
          </w:p>
          <w:p w14:paraId="5574FA84">
            <w:pPr>
              <w:widowControl/>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（6）</w:t>
            </w:r>
            <w:r>
              <w:rPr>
                <w:rFonts w:hint="eastAsia" w:cs="Times New Roman"/>
                <w:color w:val="000000" w:themeColor="text1"/>
                <w:sz w:val="24"/>
                <w:lang w:val="en-US" w:eastAsia="zh-CN"/>
                <w14:textFill>
                  <w14:solidFill>
                    <w14:schemeClr w14:val="tx1"/>
                  </w14:solidFill>
                </w14:textFill>
              </w:rPr>
              <w:t>新增</w:t>
            </w:r>
            <w:r>
              <w:rPr>
                <w:rFonts w:hint="eastAsia" w:ascii="Times New Roman" w:hAnsi="Times New Roman" w:eastAsia="宋体" w:cs="Times New Roman"/>
                <w:color w:val="000000" w:themeColor="text1"/>
                <w:sz w:val="24"/>
                <w:lang w:val="en-US" w:eastAsia="zh-CN"/>
                <w14:textFill>
                  <w14:solidFill>
                    <w14:schemeClr w14:val="tx1"/>
                  </w14:solidFill>
                </w14:textFill>
              </w:rPr>
              <w:t>设置1台油烟净化器</w:t>
            </w:r>
            <w:r>
              <w:rPr>
                <w:rFonts w:hint="eastAsia" w:cs="Times New Roman"/>
                <w:color w:val="000000" w:themeColor="text1"/>
                <w:sz w:val="24"/>
                <w:lang w:val="en-US" w:eastAsia="zh-CN"/>
                <w14:textFill>
                  <w14:solidFill>
                    <w14:schemeClr w14:val="tx1"/>
                  </w14:solidFill>
                </w14:textFill>
              </w:rPr>
              <w:t>，油烟经油烟净化器处理后排放</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28CCA376">
            <w:pPr>
              <w:pStyle w:val="151"/>
              <w:ind w:firstLine="482"/>
              <w:rPr>
                <w:rFonts w:hint="eastAsia" w:eastAsia="宋体"/>
                <w:b/>
                <w:bCs/>
                <w:color w:val="000000" w:themeColor="text1"/>
                <w:szCs w:val="24"/>
                <w:lang w:val="en-US" w:eastAsia="zh-CN"/>
                <w14:textFill>
                  <w14:solidFill>
                    <w14:schemeClr w14:val="tx1"/>
                  </w14:solidFill>
                </w14:textFill>
              </w:rPr>
            </w:pPr>
            <w:r>
              <w:rPr>
                <w:rFonts w:hint="eastAsia" w:ascii="Times New Roman" w:eastAsia="宋体" w:cs="Times New Roman"/>
                <w:color w:val="000000" w:themeColor="text1"/>
                <w:lang w:val="en-US" w:eastAsia="zh-CN"/>
                <w14:textFill>
                  <w14:solidFill>
                    <w14:schemeClr w14:val="tx1"/>
                  </w14:solidFill>
                </w14:textFill>
              </w:rPr>
              <w:t>10</w:t>
            </w:r>
            <w:r>
              <w:rPr>
                <w:rFonts w:hint="eastAsia"/>
                <w:b/>
                <w:bCs/>
                <w:color w:val="000000" w:themeColor="text1"/>
                <w:szCs w:val="24"/>
                <w:lang w:val="en-US" w:eastAsia="zh-CN"/>
                <w14:textFill>
                  <w14:solidFill>
                    <w14:schemeClr w14:val="tx1"/>
                  </w14:solidFill>
                </w14:textFill>
              </w:rPr>
              <w:t>、三本账核算</w:t>
            </w:r>
          </w:p>
          <w:p w14:paraId="0C6230D7">
            <w:pPr>
              <w:pStyle w:val="151"/>
              <w:ind w:firstLine="482"/>
              <w:rPr>
                <w:rFonts w:hint="eastAsia" w:eastAsia="宋体"/>
                <w:b w:val="0"/>
                <w:bCs w:val="0"/>
                <w:color w:val="000000" w:themeColor="text1"/>
                <w:szCs w:val="24"/>
                <w:lang w:eastAsia="zh-CN"/>
                <w14:textFill>
                  <w14:solidFill>
                    <w14:schemeClr w14:val="tx1"/>
                  </w14:solidFill>
                </w14:textFill>
              </w:rPr>
            </w:pPr>
            <w:r>
              <w:rPr>
                <w:rFonts w:hint="eastAsia"/>
                <w:b w:val="0"/>
                <w:bCs w:val="0"/>
                <w:color w:val="000000" w:themeColor="text1"/>
                <w:szCs w:val="24"/>
                <w:lang w:eastAsia="zh-CN"/>
                <w14:textFill>
                  <w14:solidFill>
                    <w14:schemeClr w14:val="tx1"/>
                  </w14:solidFill>
                </w14:textFill>
              </w:rPr>
              <w:t>本次为改建项目，本项目建设完成后</w:t>
            </w:r>
            <w:r>
              <w:rPr>
                <w:rFonts w:ascii="Times New Roman" w:eastAsia="宋体" w:cs="Times New Roman"/>
                <w:color w:val="000000" w:themeColor="text1"/>
                <w14:textFill>
                  <w14:solidFill>
                    <w14:schemeClr w14:val="tx1"/>
                  </w14:solidFill>
                </w14:textFill>
              </w:rPr>
              <w:t>污染物变化情况如下。</w:t>
            </w:r>
          </w:p>
          <w:p w14:paraId="34E3E2C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b/>
                <w:bCs/>
                <w:color w:val="000000" w:themeColor="text1"/>
                <w:vertAlign w:val="baseline"/>
                <w:lang w:eastAsia="zh-CN"/>
                <w14:textFill>
                  <w14:solidFill>
                    <w14:schemeClr w14:val="tx1"/>
                  </w14:solidFill>
                </w14:textFill>
              </w:rPr>
            </w:pPr>
            <w:r>
              <w:rPr>
                <w:rFonts w:hint="eastAsia"/>
                <w:b/>
                <w:bCs/>
                <w:color w:val="000000" w:themeColor="text1"/>
                <w:lang w:eastAsia="zh-CN"/>
                <w14:textFill>
                  <w14:solidFill>
                    <w14:schemeClr w14:val="tx1"/>
                  </w14:solidFill>
                </w14:textFill>
              </w:rPr>
              <w:t>表</w:t>
            </w:r>
            <w:r>
              <w:rPr>
                <w:rFonts w:hint="eastAsia"/>
                <w:b/>
                <w:bCs/>
                <w:color w:val="000000" w:themeColor="text1"/>
                <w:lang w:val="en-US" w:eastAsia="zh-CN"/>
                <w14:textFill>
                  <w14:solidFill>
                    <w14:schemeClr w14:val="tx1"/>
                  </w14:solidFill>
                </w14:textFill>
              </w:rPr>
              <w:t>2-17  污染物处理措施变化情况</w:t>
            </w:r>
          </w:p>
          <w:tbl>
            <w:tblPr>
              <w:tblStyle w:val="34"/>
              <w:tblW w:w="84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
              <w:gridCol w:w="705"/>
              <w:gridCol w:w="3150"/>
              <w:gridCol w:w="4058"/>
            </w:tblGrid>
            <w:tr w14:paraId="5DDFF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gridSpan w:val="2"/>
                  <w:vAlign w:val="center"/>
                </w:tcPr>
                <w:p w14:paraId="4EAAE21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b/>
                      <w:bCs/>
                      <w:color w:val="000000" w:themeColor="text1"/>
                      <w:vertAlign w:val="baseline"/>
                      <w:lang w:eastAsia="zh-CN"/>
                      <w14:textFill>
                        <w14:solidFill>
                          <w14:schemeClr w14:val="tx1"/>
                        </w14:solidFill>
                      </w14:textFill>
                    </w:rPr>
                  </w:pPr>
                  <w:r>
                    <w:rPr>
                      <w:rFonts w:hint="eastAsia"/>
                      <w:b/>
                      <w:bCs/>
                      <w:color w:val="000000" w:themeColor="text1"/>
                      <w:vertAlign w:val="baseline"/>
                      <w:lang w:eastAsia="zh-CN"/>
                      <w14:textFill>
                        <w14:solidFill>
                          <w14:schemeClr w14:val="tx1"/>
                        </w14:solidFill>
                      </w14:textFill>
                    </w:rPr>
                    <w:t>污染物</w:t>
                  </w:r>
                </w:p>
              </w:tc>
              <w:tc>
                <w:tcPr>
                  <w:tcW w:w="3150" w:type="dxa"/>
                  <w:vAlign w:val="center"/>
                </w:tcPr>
                <w:p w14:paraId="5B0E84D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b/>
                      <w:bCs/>
                      <w:color w:val="000000" w:themeColor="text1"/>
                      <w:vertAlign w:val="baseline"/>
                      <w:lang w:eastAsia="zh-CN"/>
                      <w14:textFill>
                        <w14:solidFill>
                          <w14:schemeClr w14:val="tx1"/>
                        </w14:solidFill>
                      </w14:textFill>
                    </w:rPr>
                  </w:pPr>
                  <w:r>
                    <w:rPr>
                      <w:rFonts w:hint="eastAsia"/>
                      <w:b/>
                      <w:bCs/>
                      <w:color w:val="000000" w:themeColor="text1"/>
                      <w:vertAlign w:val="baseline"/>
                      <w:lang w:eastAsia="zh-CN"/>
                      <w14:textFill>
                        <w14:solidFill>
                          <w14:schemeClr w14:val="tx1"/>
                        </w14:solidFill>
                      </w14:textFill>
                    </w:rPr>
                    <w:t>现有项目处置情况</w:t>
                  </w:r>
                </w:p>
              </w:tc>
              <w:tc>
                <w:tcPr>
                  <w:tcW w:w="4058" w:type="dxa"/>
                  <w:vAlign w:val="center"/>
                </w:tcPr>
                <w:p w14:paraId="041E811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b/>
                      <w:bCs/>
                      <w:color w:val="000000" w:themeColor="text1"/>
                      <w:vertAlign w:val="baseline"/>
                      <w:lang w:eastAsia="zh-CN"/>
                      <w14:textFill>
                        <w14:solidFill>
                          <w14:schemeClr w14:val="tx1"/>
                        </w14:solidFill>
                      </w14:textFill>
                    </w:rPr>
                  </w:pPr>
                  <w:r>
                    <w:rPr>
                      <w:rFonts w:hint="eastAsia"/>
                      <w:b/>
                      <w:bCs/>
                      <w:color w:val="000000" w:themeColor="text1"/>
                      <w:vertAlign w:val="baseline"/>
                      <w:lang w:eastAsia="zh-CN"/>
                      <w14:textFill>
                        <w14:solidFill>
                          <w14:schemeClr w14:val="tx1"/>
                        </w14:solidFill>
                      </w14:textFill>
                    </w:rPr>
                    <w:t>本次改建后项目“以新带老”处置情况</w:t>
                  </w:r>
                </w:p>
              </w:tc>
            </w:tr>
            <w:tr w14:paraId="664EA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Merge w:val="restart"/>
                  <w:vAlign w:val="center"/>
                </w:tcPr>
                <w:p w14:paraId="0089936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olor w:val="000000" w:themeColor="text1"/>
                      <w:vertAlign w:val="baseline"/>
                      <w:lang w:eastAsia="zh-CN"/>
                      <w14:textFill>
                        <w14:solidFill>
                          <w14:schemeClr w14:val="tx1"/>
                        </w14:solidFill>
                      </w14:textFill>
                    </w:rPr>
                  </w:pPr>
                  <w:r>
                    <w:rPr>
                      <w:rFonts w:hint="eastAsia"/>
                      <w:color w:val="000000" w:themeColor="text1"/>
                      <w:vertAlign w:val="baseline"/>
                      <w:lang w:eastAsia="zh-CN"/>
                      <w14:textFill>
                        <w14:solidFill>
                          <w14:schemeClr w14:val="tx1"/>
                        </w14:solidFill>
                      </w14:textFill>
                    </w:rPr>
                    <w:t>废水</w:t>
                  </w:r>
                </w:p>
              </w:tc>
              <w:tc>
                <w:tcPr>
                  <w:tcW w:w="705" w:type="dxa"/>
                  <w:vAlign w:val="center"/>
                </w:tcPr>
                <w:p w14:paraId="19E1E2A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eastAsia="zh-CN"/>
                      <w14:textFill>
                        <w14:solidFill>
                          <w14:schemeClr w14:val="tx1"/>
                        </w14:solidFill>
                      </w14:textFill>
                    </w:rPr>
                  </w:pPr>
                  <w:r>
                    <w:rPr>
                      <w:rFonts w:hint="eastAsia"/>
                      <w:color w:val="000000" w:themeColor="text1"/>
                      <w:vertAlign w:val="baseline"/>
                      <w:lang w:eastAsia="zh-CN"/>
                      <w14:textFill>
                        <w14:solidFill>
                          <w14:schemeClr w14:val="tx1"/>
                        </w14:solidFill>
                      </w14:textFill>
                    </w:rPr>
                    <w:t>生活污水</w:t>
                  </w:r>
                </w:p>
              </w:tc>
              <w:tc>
                <w:tcPr>
                  <w:tcW w:w="3150" w:type="dxa"/>
                  <w:vAlign w:val="center"/>
                </w:tcPr>
                <w:p w14:paraId="054574A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val="en-US" w:eastAsia="zh-CN"/>
                      <w14:textFill>
                        <w14:solidFill>
                          <w14:schemeClr w14:val="tx1"/>
                        </w14:solidFill>
                      </w14:textFill>
                    </w:rPr>
                    <w:t>员工生活污水经隔油池、化粪池处理后用于厂区内菜地浇洒。</w:t>
                  </w:r>
                </w:p>
              </w:tc>
              <w:tc>
                <w:tcPr>
                  <w:tcW w:w="4058" w:type="dxa"/>
                  <w:vAlign w:val="center"/>
                </w:tcPr>
                <w:p w14:paraId="1C2C78E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建设单位新增</w:t>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t>1台一体化污水处理设施。</w:t>
                  </w:r>
                </w:p>
                <w:p w14:paraId="49AC3DA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员工</w:t>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t>生活污水经隔油池、化粪池预处理后进入自建生活污水处理设施处理达标后用于厂区绿化。</w:t>
                  </w:r>
                </w:p>
              </w:tc>
            </w:tr>
            <w:tr w14:paraId="59031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Merge w:val="continue"/>
                  <w:vAlign w:val="center"/>
                </w:tcPr>
                <w:p w14:paraId="057ADD9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eastAsia="zh-CN"/>
                      <w14:textFill>
                        <w14:solidFill>
                          <w14:schemeClr w14:val="tx1"/>
                        </w14:solidFill>
                      </w14:textFill>
                    </w:rPr>
                  </w:pPr>
                </w:p>
              </w:tc>
              <w:tc>
                <w:tcPr>
                  <w:tcW w:w="705" w:type="dxa"/>
                  <w:vAlign w:val="center"/>
                </w:tcPr>
                <w:p w14:paraId="6097D0D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eastAsia="zh-CN"/>
                      <w14:textFill>
                        <w14:solidFill>
                          <w14:schemeClr w14:val="tx1"/>
                        </w14:solidFill>
                      </w14:textFill>
                    </w:rPr>
                  </w:pPr>
                  <w:r>
                    <w:rPr>
                      <w:rFonts w:hint="eastAsia"/>
                      <w:color w:val="000000" w:themeColor="text1"/>
                      <w:vertAlign w:val="baseline"/>
                      <w:lang w:eastAsia="zh-CN"/>
                      <w14:textFill>
                        <w14:solidFill>
                          <w14:schemeClr w14:val="tx1"/>
                        </w14:solidFill>
                      </w14:textFill>
                    </w:rPr>
                    <w:t>生产废水</w:t>
                  </w:r>
                </w:p>
              </w:tc>
              <w:tc>
                <w:tcPr>
                  <w:tcW w:w="3150" w:type="dxa"/>
                  <w:vAlign w:val="center"/>
                </w:tcPr>
                <w:p w14:paraId="68A2FE3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vertAlign w:val="baseline"/>
                      <w:lang w:val="en-US" w:eastAsia="zh-CN"/>
                      <w14:textFill>
                        <w14:solidFill>
                          <w14:schemeClr w14:val="tx1"/>
                        </w14:solidFill>
                      </w14:textFill>
                    </w:rPr>
                    <w:t>锅炉排水用于双碱脱硫除尘设施补充水。</w:t>
                  </w:r>
                </w:p>
              </w:tc>
              <w:tc>
                <w:tcPr>
                  <w:tcW w:w="4058" w:type="dxa"/>
                  <w:vAlign w:val="center"/>
                </w:tcPr>
                <w:p w14:paraId="423B95F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val="en-US" w:eastAsia="zh-CN"/>
                      <w14:textFill>
                        <w14:solidFill>
                          <w14:schemeClr w14:val="tx1"/>
                        </w14:solidFill>
                      </w14:textFill>
                    </w:rPr>
                    <w:t>新增1套软水制备设备。锅炉排水、软水制备废水经收集池收集，用于厂区洒水降尘。</w:t>
                  </w:r>
                </w:p>
              </w:tc>
            </w:tr>
            <w:tr w14:paraId="7DDDA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Merge w:val="restart"/>
                  <w:vAlign w:val="center"/>
                </w:tcPr>
                <w:p w14:paraId="3B5C538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eastAsia="zh-CN"/>
                      <w14:textFill>
                        <w14:solidFill>
                          <w14:schemeClr w14:val="tx1"/>
                        </w14:solidFill>
                      </w14:textFill>
                    </w:rPr>
                  </w:pPr>
                  <w:r>
                    <w:rPr>
                      <w:rFonts w:hint="eastAsia"/>
                      <w:color w:val="000000" w:themeColor="text1"/>
                      <w:vertAlign w:val="baseline"/>
                      <w:lang w:eastAsia="zh-CN"/>
                      <w14:textFill>
                        <w14:solidFill>
                          <w14:schemeClr w14:val="tx1"/>
                        </w14:solidFill>
                      </w14:textFill>
                    </w:rPr>
                    <w:t>废气</w:t>
                  </w:r>
                </w:p>
              </w:tc>
              <w:tc>
                <w:tcPr>
                  <w:tcW w:w="705" w:type="dxa"/>
                  <w:vAlign w:val="center"/>
                </w:tcPr>
                <w:p w14:paraId="2B3413D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eastAsia="zh-CN"/>
                      <w14:textFill>
                        <w14:solidFill>
                          <w14:schemeClr w14:val="tx1"/>
                        </w14:solidFill>
                      </w14:textFill>
                    </w:rPr>
                  </w:pPr>
                  <w:r>
                    <w:rPr>
                      <w:rFonts w:hint="eastAsia"/>
                      <w:color w:val="000000" w:themeColor="text1"/>
                      <w:vertAlign w:val="baseline"/>
                      <w:lang w:eastAsia="zh-CN"/>
                      <w14:textFill>
                        <w14:solidFill>
                          <w14:schemeClr w14:val="tx1"/>
                        </w14:solidFill>
                      </w14:textFill>
                    </w:rPr>
                    <w:t>锅炉废气</w:t>
                  </w:r>
                </w:p>
              </w:tc>
              <w:tc>
                <w:tcPr>
                  <w:tcW w:w="3150" w:type="dxa"/>
                  <w:vAlign w:val="center"/>
                </w:tcPr>
                <w:p w14:paraId="63CA69C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vertAlign w:val="baseline"/>
                      <w:lang w:val="en-US" w:eastAsia="zh-CN"/>
                      <w14:textFill>
                        <w14:solidFill>
                          <w14:schemeClr w14:val="tx1"/>
                        </w14:solidFill>
                      </w14:textFill>
                    </w:rPr>
                    <w:t>燃煤锅炉废气经</w:t>
                  </w:r>
                  <w:r>
                    <w:rPr>
                      <w:rFonts w:hint="eastAsia" w:cs="Times New Roman"/>
                      <w:color w:val="000000" w:themeColor="text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t>双碱法脱硫除尘</w:t>
                  </w:r>
                  <w:r>
                    <w:rPr>
                      <w:rFonts w:hint="eastAsia" w:cs="Times New Roman"/>
                      <w:color w:val="000000" w:themeColor="text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t>处理后通过1根</w:t>
                  </w:r>
                  <w:r>
                    <w:rPr>
                      <w:rFonts w:hint="eastAsia" w:cs="Times New Roman"/>
                      <w:color w:val="000000" w:themeColor="text1"/>
                      <w:vertAlign w:val="baseline"/>
                      <w:lang w:val="en-US" w:eastAsia="zh-CN"/>
                      <w14:textFill>
                        <w14:solidFill>
                          <w14:schemeClr w14:val="tx1"/>
                        </w14:solidFill>
                      </w14:textFill>
                    </w:rPr>
                    <w:t>30m</w:t>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t>高排气筒DA001排放。</w:t>
                  </w:r>
                </w:p>
                <w:p w14:paraId="268F4C1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vertAlign w:val="baseline"/>
                      <w:lang w:val="en-US" w:eastAsia="zh-CN"/>
                      <w14:textFill>
                        <w14:solidFill>
                          <w14:schemeClr w14:val="tx1"/>
                        </w14:solidFill>
                      </w14:textFill>
                    </w:rPr>
                  </w:pPr>
                </w:p>
              </w:tc>
              <w:tc>
                <w:tcPr>
                  <w:tcW w:w="4058" w:type="dxa"/>
                  <w:vAlign w:val="center"/>
                </w:tcPr>
                <w:p w14:paraId="4CF4B08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vertAlign w:val="baseline"/>
                      <w:lang w:val="en-US" w:eastAsia="zh-CN"/>
                      <w14:textFill>
                        <w14:solidFill>
                          <w14:schemeClr w14:val="tx1"/>
                        </w14:solidFill>
                      </w14:textFill>
                    </w:rPr>
                    <w:t>拆除2t/h燃煤锅炉及配套</w:t>
                  </w:r>
                  <w:r>
                    <w:rPr>
                      <w:rFonts w:hint="eastAsia" w:cs="Times New Roman"/>
                      <w:color w:val="000000" w:themeColor="text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t>双碱法脱硫除尘</w:t>
                  </w:r>
                  <w:r>
                    <w:rPr>
                      <w:rFonts w:hint="eastAsia" w:cs="Times New Roman"/>
                      <w:color w:val="000000" w:themeColor="text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t>设施。</w:t>
                  </w:r>
                </w:p>
                <w:p w14:paraId="0FFBF67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vertAlign w:val="baseline"/>
                      <w:lang w:val="en-US" w:eastAsia="zh-CN"/>
                      <w14:textFill>
                        <w14:solidFill>
                          <w14:schemeClr w14:val="tx1"/>
                        </w14:solidFill>
                      </w14:textFill>
                    </w:rPr>
                    <w:t>新增1台3t/h生物质锅炉，新增1套</w:t>
                  </w:r>
                  <w:r>
                    <w:rPr>
                      <w:rFonts w:hint="eastAsia" w:cs="Times New Roman"/>
                      <w:color w:val="000000" w:themeColor="text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t>低氮燃烧+旋风除尘+布袋除尘</w:t>
                  </w:r>
                  <w:r>
                    <w:rPr>
                      <w:rFonts w:hint="eastAsia" w:cs="Times New Roman"/>
                      <w:color w:val="000000" w:themeColor="text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t>设施。</w:t>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br w:type="textWrapping"/>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t>生物质锅炉废气经</w:t>
                  </w:r>
                  <w:r>
                    <w:rPr>
                      <w:rFonts w:hint="eastAsia" w:cs="Times New Roman"/>
                      <w:color w:val="000000" w:themeColor="text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t>低氮燃烧+旋风除尘+布袋除尘</w:t>
                  </w:r>
                  <w:r>
                    <w:rPr>
                      <w:rFonts w:hint="eastAsia" w:cs="Times New Roman"/>
                      <w:color w:val="000000" w:themeColor="text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t>设施处理后通过</w:t>
                  </w:r>
                  <w:r>
                    <w:rPr>
                      <w:rFonts w:hint="eastAsia" w:cs="Times New Roman"/>
                      <w:color w:val="000000" w:themeColor="text1"/>
                      <w:vertAlign w:val="baseline"/>
                      <w:lang w:val="en-US" w:eastAsia="zh-CN"/>
                      <w14:textFill>
                        <w14:solidFill>
                          <w14:schemeClr w14:val="tx1"/>
                        </w14:solidFill>
                      </w14:textFill>
                    </w:rPr>
                    <w:t>30m</w:t>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t>高排气筒DA001排放。</w:t>
                  </w:r>
                </w:p>
              </w:tc>
            </w:tr>
            <w:tr w14:paraId="0D0A3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Merge w:val="continue"/>
                  <w:vAlign w:val="center"/>
                </w:tcPr>
                <w:p w14:paraId="4890002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eastAsia="zh-CN"/>
                      <w14:textFill>
                        <w14:solidFill>
                          <w14:schemeClr w14:val="tx1"/>
                        </w14:solidFill>
                      </w14:textFill>
                    </w:rPr>
                  </w:pPr>
                </w:p>
              </w:tc>
              <w:tc>
                <w:tcPr>
                  <w:tcW w:w="705" w:type="dxa"/>
                  <w:vMerge w:val="restart"/>
                  <w:vAlign w:val="center"/>
                </w:tcPr>
                <w:p w14:paraId="5B25928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eastAsia="zh-CN"/>
                      <w14:textFill>
                        <w14:solidFill>
                          <w14:schemeClr w14:val="tx1"/>
                        </w14:solidFill>
                      </w14:textFill>
                    </w:rPr>
                  </w:pPr>
                  <w:r>
                    <w:rPr>
                      <w:rFonts w:hint="eastAsia"/>
                      <w:color w:val="000000" w:themeColor="text1"/>
                      <w:vertAlign w:val="baseline"/>
                      <w:lang w:eastAsia="zh-CN"/>
                      <w14:textFill>
                        <w14:solidFill>
                          <w14:schemeClr w14:val="tx1"/>
                        </w14:solidFill>
                      </w14:textFill>
                    </w:rPr>
                    <w:t>有机废气</w:t>
                  </w:r>
                </w:p>
              </w:tc>
              <w:tc>
                <w:tcPr>
                  <w:tcW w:w="3150" w:type="dxa"/>
                  <w:vMerge w:val="restart"/>
                  <w:vAlign w:val="center"/>
                </w:tcPr>
                <w:p w14:paraId="6309562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vertAlign w:val="baseline"/>
                      <w:lang w:val="en-US" w:eastAsia="zh-CN"/>
                      <w14:textFill>
                        <w14:solidFill>
                          <w14:schemeClr w14:val="tx1"/>
                        </w14:solidFill>
                      </w14:textFill>
                    </w:rPr>
                    <w:t>项目生产过程中产生的有机废气经厂房通风后无组织排放。</w:t>
                  </w:r>
                </w:p>
              </w:tc>
              <w:tc>
                <w:tcPr>
                  <w:tcW w:w="4058" w:type="dxa"/>
                  <w:vAlign w:val="center"/>
                </w:tcPr>
                <w:p w14:paraId="76B33494">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vertAlign w:val="baseline"/>
                      <w:lang w:val="en-US" w:eastAsia="zh-CN"/>
                      <w14:textFill>
                        <w14:solidFill>
                          <w14:schemeClr w14:val="tx1"/>
                        </w14:solidFill>
                      </w14:textFill>
                    </w:rPr>
                    <w:t>新增1套</w:t>
                  </w:r>
                  <w:r>
                    <w:rPr>
                      <w:rFonts w:hint="eastAsia" w:cs="Times New Roman"/>
                      <w:color w:val="000000" w:themeColor="text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t>两级活性炭吸附装置</w:t>
                  </w:r>
                  <w:r>
                    <w:rPr>
                      <w:rFonts w:hint="eastAsia" w:cs="Times New Roman"/>
                      <w:color w:val="000000" w:themeColor="text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t>，新增</w:t>
                  </w:r>
                  <w:r>
                    <w:rPr>
                      <w:rFonts w:hint="eastAsia" w:cs="Times New Roman"/>
                      <w:color w:val="000000" w:themeColor="text1"/>
                      <w:vertAlign w:val="baseline"/>
                      <w:lang w:val="en-US" w:eastAsia="zh-CN"/>
                      <w14:textFill>
                        <w14:solidFill>
                          <w14:schemeClr w14:val="tx1"/>
                        </w14:solidFill>
                      </w14:textFill>
                    </w:rPr>
                    <w:t>1根15m高排气筒DA002</w:t>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t>。</w:t>
                  </w:r>
                </w:p>
                <w:p w14:paraId="13682185">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vertAlign w:val="baseline"/>
                      <w:lang w:val="en-US" w:eastAsia="zh-CN"/>
                      <w14:textFill>
                        <w14:solidFill>
                          <w14:schemeClr w14:val="tx1"/>
                        </w14:solidFill>
                      </w14:textFill>
                    </w:rPr>
                    <w:t>有机废气主要产生于发泡工序成型工序，2台发泡机、1台成型机上方设置集气罩，有机废气经收集后进入</w:t>
                  </w:r>
                  <w:r>
                    <w:rPr>
                      <w:rFonts w:hint="eastAsia" w:cs="Times New Roman"/>
                      <w:color w:val="000000" w:themeColor="text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t>两级活性炭吸附装置</w:t>
                  </w:r>
                  <w:r>
                    <w:rPr>
                      <w:rFonts w:hint="eastAsia" w:cs="Times New Roman"/>
                      <w:color w:val="000000" w:themeColor="text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t>，处理后通过15m高排气筒DA002排放。</w:t>
                  </w:r>
                </w:p>
              </w:tc>
            </w:tr>
            <w:tr w14:paraId="50BDB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Merge w:val="continue"/>
                  <w:vAlign w:val="center"/>
                </w:tcPr>
                <w:p w14:paraId="1769B33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eastAsia="zh-CN"/>
                      <w14:textFill>
                        <w14:solidFill>
                          <w14:schemeClr w14:val="tx1"/>
                        </w14:solidFill>
                      </w14:textFill>
                    </w:rPr>
                  </w:pPr>
                </w:p>
              </w:tc>
              <w:tc>
                <w:tcPr>
                  <w:tcW w:w="705" w:type="dxa"/>
                  <w:vMerge w:val="continue"/>
                  <w:vAlign w:val="center"/>
                </w:tcPr>
                <w:p w14:paraId="77AD8C7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eastAsia="zh-CN"/>
                      <w14:textFill>
                        <w14:solidFill>
                          <w14:schemeClr w14:val="tx1"/>
                        </w14:solidFill>
                      </w14:textFill>
                    </w:rPr>
                  </w:pPr>
                </w:p>
              </w:tc>
              <w:tc>
                <w:tcPr>
                  <w:tcW w:w="3150" w:type="dxa"/>
                  <w:vMerge w:val="continue"/>
                  <w:vAlign w:val="center"/>
                </w:tcPr>
                <w:p w14:paraId="5F356D8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vertAlign w:val="baseline"/>
                      <w:lang w:val="en-US" w:eastAsia="zh-CN"/>
                      <w14:textFill>
                        <w14:solidFill>
                          <w14:schemeClr w14:val="tx1"/>
                        </w14:solidFill>
                      </w14:textFill>
                    </w:rPr>
                  </w:pPr>
                </w:p>
              </w:tc>
              <w:tc>
                <w:tcPr>
                  <w:tcW w:w="4058" w:type="dxa"/>
                  <w:vAlign w:val="center"/>
                </w:tcPr>
                <w:p w14:paraId="13A40968">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vertAlign w:val="baseline"/>
                      <w:lang w:val="en-US" w:eastAsia="zh-CN"/>
                      <w14:textFill>
                        <w14:solidFill>
                          <w14:schemeClr w14:val="tx1"/>
                        </w14:solidFill>
                      </w14:textFill>
                    </w:rPr>
                    <w:t>流化干燥、烘干、切割工序有机废气产生量不大，经厂房通风后进行无组织排放，通过大气扩散和周边植被吸附后净化后，对周围环境影响不大</w:t>
                  </w:r>
                </w:p>
              </w:tc>
            </w:tr>
            <w:tr w14:paraId="46075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Merge w:val="continue"/>
                  <w:vAlign w:val="center"/>
                </w:tcPr>
                <w:p w14:paraId="7A16759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eastAsia="zh-CN"/>
                      <w14:textFill>
                        <w14:solidFill>
                          <w14:schemeClr w14:val="tx1"/>
                        </w14:solidFill>
                      </w14:textFill>
                    </w:rPr>
                  </w:pPr>
                </w:p>
              </w:tc>
              <w:tc>
                <w:tcPr>
                  <w:tcW w:w="705" w:type="dxa"/>
                  <w:vAlign w:val="center"/>
                </w:tcPr>
                <w:p w14:paraId="3B519B2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vertAlign w:val="baseline"/>
                      <w:lang w:val="en-US" w:eastAsia="zh-CN"/>
                      <w14:textFill>
                        <w14:solidFill>
                          <w14:schemeClr w14:val="tx1"/>
                        </w14:solidFill>
                      </w14:textFill>
                    </w:rPr>
                    <w:t>食堂油烟</w:t>
                  </w:r>
                </w:p>
              </w:tc>
              <w:tc>
                <w:tcPr>
                  <w:tcW w:w="3150" w:type="dxa"/>
                  <w:vAlign w:val="center"/>
                </w:tcPr>
                <w:p w14:paraId="103B7BB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vertAlign w:val="baseline"/>
                      <w:lang w:val="en-US" w:eastAsia="zh-CN"/>
                      <w14:textFill>
                        <w14:solidFill>
                          <w14:schemeClr w14:val="tx1"/>
                        </w14:solidFill>
                      </w14:textFill>
                    </w:rPr>
                    <w:t>食堂油烟经风扇后无组织排放。</w:t>
                  </w:r>
                </w:p>
              </w:tc>
              <w:tc>
                <w:tcPr>
                  <w:tcW w:w="4058" w:type="dxa"/>
                  <w:vAlign w:val="center"/>
                </w:tcPr>
                <w:p w14:paraId="3A9BA4B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vertAlign w:val="baseline"/>
                      <w:lang w:val="en-US" w:eastAsia="zh-CN"/>
                      <w14:textFill>
                        <w14:solidFill>
                          <w14:schemeClr w14:val="tx1"/>
                        </w14:solidFill>
                      </w14:textFill>
                    </w:rPr>
                    <w:t>建设单位新增1台油烟净化器。食堂油烟经油烟净化器处理后排放。</w:t>
                  </w:r>
                </w:p>
              </w:tc>
            </w:tr>
            <w:tr w14:paraId="2AFD3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Align w:val="center"/>
                </w:tcPr>
                <w:p w14:paraId="407FAF0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eastAsia="zh-CN"/>
                      <w14:textFill>
                        <w14:solidFill>
                          <w14:schemeClr w14:val="tx1"/>
                        </w14:solidFill>
                      </w14:textFill>
                    </w:rPr>
                  </w:pPr>
                  <w:r>
                    <w:rPr>
                      <w:rFonts w:hint="eastAsia"/>
                      <w:color w:val="000000" w:themeColor="text1"/>
                      <w:vertAlign w:val="baseline"/>
                      <w:lang w:eastAsia="zh-CN"/>
                      <w14:textFill>
                        <w14:solidFill>
                          <w14:schemeClr w14:val="tx1"/>
                        </w14:solidFill>
                      </w14:textFill>
                    </w:rPr>
                    <w:t>固废</w:t>
                  </w:r>
                </w:p>
              </w:tc>
              <w:tc>
                <w:tcPr>
                  <w:tcW w:w="705" w:type="dxa"/>
                  <w:vAlign w:val="center"/>
                </w:tcPr>
                <w:p w14:paraId="24AB1C7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000000" w:themeColor="text1"/>
                      <w:vertAlign w:val="baseline"/>
                      <w:lang w:eastAsia="zh-CN"/>
                      <w14:textFill>
                        <w14:solidFill>
                          <w14:schemeClr w14:val="tx1"/>
                        </w14:solidFill>
                      </w14:textFill>
                    </w:rPr>
                  </w:pPr>
                  <w:r>
                    <w:rPr>
                      <w:rFonts w:hint="eastAsia"/>
                      <w:color w:val="000000" w:themeColor="text1"/>
                      <w:vertAlign w:val="baseline"/>
                      <w:lang w:eastAsia="zh-CN"/>
                      <w14:textFill>
                        <w14:solidFill>
                          <w14:schemeClr w14:val="tx1"/>
                        </w14:solidFill>
                      </w14:textFill>
                    </w:rPr>
                    <w:t>危废贮存库</w:t>
                  </w:r>
                </w:p>
              </w:tc>
              <w:tc>
                <w:tcPr>
                  <w:tcW w:w="3150" w:type="dxa"/>
                  <w:vAlign w:val="center"/>
                </w:tcPr>
                <w:p w14:paraId="4B805BC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cs="Times New Roman" w:eastAsiaTheme="minorEastAsia"/>
                      <w:bCs/>
                      <w:color w:val="000000" w:themeColor="text1"/>
                      <w:sz w:val="21"/>
                      <w:szCs w:val="21"/>
                      <w:lang w:val="en-US" w:eastAsia="zh-CN"/>
                      <w14:textFill>
                        <w14:solidFill>
                          <w14:schemeClr w14:val="tx1"/>
                        </w14:solidFill>
                      </w14:textFill>
                    </w:rPr>
                    <w:t>现有</w:t>
                  </w: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1间</w:t>
                  </w:r>
                  <w:r>
                    <w:rPr>
                      <w:rFonts w:hint="default" w:ascii="Times New Roman" w:hAnsi="Times New Roman" w:cs="Times New Roman" w:eastAsiaTheme="minorEastAsia"/>
                      <w:color w:val="000000" w:themeColor="text1"/>
                      <w:sz w:val="21"/>
                      <w:szCs w:val="21"/>
                      <w14:textFill>
                        <w14:solidFill>
                          <w14:schemeClr w14:val="tx1"/>
                        </w14:solidFill>
                      </w14:textFill>
                    </w:rPr>
                    <w:t>5m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eastAsia" w:cs="Times New Roman" w:eastAsiaTheme="minorEastAsia"/>
                      <w:color w:val="000000" w:themeColor="text1"/>
                      <w:sz w:val="21"/>
                      <w:szCs w:val="21"/>
                      <w:lang w:eastAsia="zh-CN"/>
                      <w14:textFill>
                        <w14:solidFill>
                          <w14:schemeClr w14:val="tx1"/>
                        </w14:solidFill>
                      </w14:textFill>
                    </w:rPr>
                    <w:t>危险废物贮存库</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eastAsia="zh-CN"/>
                      <w14:textFill>
                        <w14:solidFill>
                          <w14:schemeClr w14:val="tx1"/>
                        </w14:solidFill>
                      </w14:textFill>
                    </w:rPr>
                    <w:t>根据现场踏勘，危废贮存库设置有四面彩钢瓦围挡及顶棚，地面采用混凝土硬化，设置有混凝土围堰，加挂门锁，安排专人管理，设置有标识标牌。</w:t>
                  </w:r>
                </w:p>
              </w:tc>
              <w:tc>
                <w:tcPr>
                  <w:tcW w:w="4058" w:type="dxa"/>
                  <w:vAlign w:val="center"/>
                </w:tcPr>
                <w:p w14:paraId="45EBCF12">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cs="Times New Roman" w:eastAsiaTheme="minorEastAsia"/>
                      <w:bCs/>
                      <w:color w:val="000000" w:themeColor="text1"/>
                      <w:sz w:val="21"/>
                      <w:szCs w:val="21"/>
                      <w:lang w:val="en-US" w:eastAsia="zh-CN"/>
                      <w14:textFill>
                        <w14:solidFill>
                          <w14:schemeClr w14:val="tx1"/>
                        </w14:solidFill>
                      </w14:textFill>
                    </w:rPr>
                    <w:t>危废贮存库依托现有。</w:t>
                  </w:r>
                </w:p>
                <w:p w14:paraId="11EE66C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cs="Times New Roman" w:eastAsiaTheme="minorEastAsia"/>
                      <w:color w:val="000000" w:themeColor="text1"/>
                      <w:sz w:val="21"/>
                      <w:szCs w:val="21"/>
                      <w:lang w:eastAsia="zh-CN"/>
                      <w14:textFill>
                        <w14:solidFill>
                          <w14:schemeClr w14:val="tx1"/>
                        </w14:solidFill>
                      </w14:textFill>
                    </w:rPr>
                    <w:t>根据现场调查情况，本环评要求危废贮存库进行修缮后使用，危废贮存库重新修缮涂刷地面及裙角环氧树脂防渗材料；危废贮存库大门处需设置约</w:t>
                  </w:r>
                  <w:r>
                    <w:rPr>
                      <w:rFonts w:hint="eastAsia" w:cs="Times New Roman" w:eastAsiaTheme="minorEastAsia"/>
                      <w:color w:val="000000" w:themeColor="text1"/>
                      <w:sz w:val="21"/>
                      <w:szCs w:val="21"/>
                      <w:lang w:val="en-US" w:eastAsia="zh-CN"/>
                      <w14:textFill>
                        <w14:solidFill>
                          <w14:schemeClr w14:val="tx1"/>
                        </w14:solidFill>
                      </w14:textFill>
                    </w:rPr>
                    <w:t>20cm围挡</w:t>
                  </w:r>
                  <w:r>
                    <w:rPr>
                      <w:rFonts w:hint="eastAsia" w:cs="Times New Roman" w:eastAsiaTheme="minorEastAsia"/>
                      <w:color w:val="000000" w:themeColor="text1"/>
                      <w:sz w:val="21"/>
                      <w:szCs w:val="21"/>
                      <w:lang w:eastAsia="zh-CN"/>
                      <w14:textFill>
                        <w14:solidFill>
                          <w14:schemeClr w14:val="tx1"/>
                        </w14:solidFill>
                      </w14:textFill>
                    </w:rPr>
                    <w:t>。</w:t>
                  </w:r>
                </w:p>
              </w:tc>
            </w:tr>
          </w:tbl>
          <w:p w14:paraId="3B7E9861">
            <w:pPr>
              <w:widowControl/>
              <w:spacing w:line="360" w:lineRule="auto"/>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br w:type="textWrapping"/>
            </w:r>
            <w:r>
              <w:rPr>
                <w:rFonts w:hint="eastAsia" w:eastAsia="宋体"/>
                <w:color w:val="000000" w:themeColor="text1"/>
                <w:lang w:eastAsia="zh-CN"/>
                <w14:textFill>
                  <w14:solidFill>
                    <w14:schemeClr w14:val="tx1"/>
                  </w14:solidFill>
                </w14:textFill>
              </w:rPr>
              <w:br w:type="textWrapping"/>
            </w:r>
          </w:p>
          <w:p w14:paraId="3F315ECE">
            <w:pPr>
              <w:widowControl/>
              <w:spacing w:line="360" w:lineRule="auto"/>
              <w:jc w:val="center"/>
              <w:rPr>
                <w:rFonts w:hint="eastAsia" w:eastAsia="宋体"/>
                <w:color w:val="000000" w:themeColor="text1"/>
                <w:lang w:eastAsia="zh-CN"/>
                <w14:textFill>
                  <w14:solidFill>
                    <w14:schemeClr w14:val="tx1"/>
                  </w14:solidFill>
                </w14:textFill>
              </w:rPr>
            </w:pPr>
          </w:p>
          <w:p w14:paraId="726CE53E">
            <w:pPr>
              <w:widowControl/>
              <w:spacing w:line="360" w:lineRule="auto"/>
              <w:jc w:val="center"/>
              <w:rPr>
                <w:rFonts w:hint="eastAsia" w:eastAsia="宋体"/>
                <w:color w:val="000000" w:themeColor="text1"/>
                <w:lang w:eastAsia="zh-CN"/>
                <w14:textFill>
                  <w14:solidFill>
                    <w14:schemeClr w14:val="tx1"/>
                  </w14:solidFill>
                </w14:textFill>
              </w:rPr>
            </w:pPr>
          </w:p>
          <w:p w14:paraId="446A44C5">
            <w:pPr>
              <w:widowControl/>
              <w:spacing w:line="360" w:lineRule="auto"/>
              <w:jc w:val="center"/>
              <w:rPr>
                <w:rFonts w:hint="eastAsia" w:eastAsia="宋体"/>
                <w:color w:val="000000" w:themeColor="text1"/>
                <w:lang w:eastAsia="zh-CN"/>
                <w14:textFill>
                  <w14:solidFill>
                    <w14:schemeClr w14:val="tx1"/>
                  </w14:solidFill>
                </w14:textFill>
              </w:rPr>
            </w:pPr>
          </w:p>
          <w:p w14:paraId="5E35ABD2">
            <w:pPr>
              <w:widowControl/>
              <w:spacing w:line="360" w:lineRule="auto"/>
              <w:jc w:val="center"/>
              <w:rPr>
                <w:rFonts w:hint="eastAsia" w:eastAsia="宋体"/>
                <w:color w:val="000000" w:themeColor="text1"/>
                <w:lang w:eastAsia="zh-CN"/>
                <w14:textFill>
                  <w14:solidFill>
                    <w14:schemeClr w14:val="tx1"/>
                  </w14:solidFill>
                </w14:textFill>
              </w:rPr>
            </w:pPr>
          </w:p>
          <w:p w14:paraId="7B69DE78">
            <w:pPr>
              <w:widowControl/>
              <w:spacing w:line="360" w:lineRule="auto"/>
              <w:jc w:val="center"/>
              <w:rPr>
                <w:rFonts w:hint="eastAsia" w:eastAsia="宋体"/>
                <w:color w:val="000000" w:themeColor="text1"/>
                <w:lang w:eastAsia="zh-CN"/>
                <w14:textFill>
                  <w14:solidFill>
                    <w14:schemeClr w14:val="tx1"/>
                  </w14:solidFill>
                </w14:textFill>
              </w:rPr>
            </w:pPr>
          </w:p>
          <w:p w14:paraId="3755DB5E">
            <w:pPr>
              <w:widowControl/>
              <w:spacing w:line="360" w:lineRule="auto"/>
              <w:jc w:val="center"/>
              <w:rPr>
                <w:rFonts w:hint="eastAsia" w:eastAsia="宋体"/>
                <w:color w:val="000000" w:themeColor="text1"/>
                <w:lang w:eastAsia="zh-CN"/>
                <w14:textFill>
                  <w14:solidFill>
                    <w14:schemeClr w14:val="tx1"/>
                  </w14:solidFill>
                </w14:textFill>
              </w:rPr>
            </w:pPr>
          </w:p>
          <w:p w14:paraId="300584EE">
            <w:pPr>
              <w:widowControl/>
              <w:spacing w:line="360" w:lineRule="auto"/>
              <w:jc w:val="center"/>
              <w:rPr>
                <w:rFonts w:hint="eastAsia" w:eastAsia="宋体"/>
                <w:color w:val="000000" w:themeColor="text1"/>
                <w:lang w:eastAsia="zh-CN"/>
                <w14:textFill>
                  <w14:solidFill>
                    <w14:schemeClr w14:val="tx1"/>
                  </w14:solidFill>
                </w14:textFill>
              </w:rPr>
            </w:pPr>
          </w:p>
          <w:p w14:paraId="0431EF11">
            <w:pPr>
              <w:widowControl/>
              <w:spacing w:line="360" w:lineRule="auto"/>
              <w:jc w:val="center"/>
              <w:rPr>
                <w:rFonts w:hint="eastAsia" w:eastAsia="宋体"/>
                <w:color w:val="000000" w:themeColor="text1"/>
                <w:lang w:eastAsia="zh-CN"/>
                <w14:textFill>
                  <w14:solidFill>
                    <w14:schemeClr w14:val="tx1"/>
                  </w14:solidFill>
                </w14:textFill>
              </w:rPr>
            </w:pPr>
          </w:p>
          <w:p w14:paraId="464A760A">
            <w:pPr>
              <w:widowControl/>
              <w:spacing w:line="360" w:lineRule="auto"/>
              <w:jc w:val="center"/>
              <w:rPr>
                <w:rFonts w:hint="eastAsia" w:eastAsia="宋体"/>
                <w:color w:val="000000" w:themeColor="text1"/>
                <w:lang w:eastAsia="zh-CN"/>
                <w14:textFill>
                  <w14:solidFill>
                    <w14:schemeClr w14:val="tx1"/>
                  </w14:solidFill>
                </w14:textFill>
              </w:rPr>
            </w:pPr>
          </w:p>
          <w:p w14:paraId="4829F135">
            <w:pPr>
              <w:widowControl/>
              <w:spacing w:line="360" w:lineRule="auto"/>
              <w:jc w:val="center"/>
              <w:rPr>
                <w:rFonts w:hint="eastAsia" w:eastAsia="宋体"/>
                <w:color w:val="000000" w:themeColor="text1"/>
                <w:lang w:eastAsia="zh-CN"/>
                <w14:textFill>
                  <w14:solidFill>
                    <w14:schemeClr w14:val="tx1"/>
                  </w14:solidFill>
                </w14:textFill>
              </w:rPr>
            </w:pPr>
          </w:p>
          <w:p w14:paraId="09B3F664">
            <w:pPr>
              <w:widowControl/>
              <w:spacing w:line="360" w:lineRule="auto"/>
              <w:jc w:val="center"/>
              <w:rPr>
                <w:rFonts w:hint="eastAsia" w:eastAsia="宋体"/>
                <w:color w:val="000000" w:themeColor="text1"/>
                <w:lang w:eastAsia="zh-CN"/>
                <w14:textFill>
                  <w14:solidFill>
                    <w14:schemeClr w14:val="tx1"/>
                  </w14:solidFill>
                </w14:textFill>
              </w:rPr>
            </w:pPr>
          </w:p>
          <w:p w14:paraId="5BD4600F">
            <w:pPr>
              <w:widowControl/>
              <w:spacing w:line="360" w:lineRule="auto"/>
              <w:jc w:val="center"/>
              <w:rPr>
                <w:rFonts w:hint="eastAsia" w:eastAsia="宋体"/>
                <w:color w:val="000000" w:themeColor="text1"/>
                <w:lang w:eastAsia="zh-CN"/>
                <w14:textFill>
                  <w14:solidFill>
                    <w14:schemeClr w14:val="tx1"/>
                  </w14:solidFill>
                </w14:textFill>
              </w:rPr>
            </w:pPr>
          </w:p>
          <w:p w14:paraId="18DB5BF2">
            <w:pPr>
              <w:widowControl/>
              <w:spacing w:line="360" w:lineRule="auto"/>
              <w:jc w:val="center"/>
              <w:rPr>
                <w:rFonts w:hint="eastAsia" w:eastAsia="宋体"/>
                <w:color w:val="000000" w:themeColor="text1"/>
                <w:lang w:eastAsia="zh-CN"/>
                <w14:textFill>
                  <w14:solidFill>
                    <w14:schemeClr w14:val="tx1"/>
                  </w14:solidFill>
                </w14:textFill>
              </w:rPr>
            </w:pPr>
          </w:p>
          <w:p w14:paraId="7172118F">
            <w:pPr>
              <w:widowControl/>
              <w:spacing w:line="360" w:lineRule="auto"/>
              <w:jc w:val="center"/>
              <w:rPr>
                <w:rFonts w:hint="eastAsia" w:eastAsia="宋体"/>
                <w:color w:val="000000" w:themeColor="text1"/>
                <w:lang w:eastAsia="zh-CN"/>
                <w14:textFill>
                  <w14:solidFill>
                    <w14:schemeClr w14:val="tx1"/>
                  </w14:solidFill>
                </w14:textFill>
              </w:rPr>
            </w:pPr>
          </w:p>
          <w:p w14:paraId="272C82BD">
            <w:pPr>
              <w:widowControl/>
              <w:spacing w:line="360" w:lineRule="auto"/>
              <w:jc w:val="center"/>
              <w:rPr>
                <w:rFonts w:hint="eastAsia" w:eastAsia="宋体"/>
                <w:color w:val="000000" w:themeColor="text1"/>
                <w:lang w:eastAsia="zh-CN"/>
                <w14:textFill>
                  <w14:solidFill>
                    <w14:schemeClr w14:val="tx1"/>
                  </w14:solidFill>
                </w14:textFill>
              </w:rPr>
            </w:pPr>
          </w:p>
          <w:p w14:paraId="2A6B2F30">
            <w:pPr>
              <w:widowControl/>
              <w:spacing w:line="360" w:lineRule="auto"/>
              <w:jc w:val="center"/>
              <w:rPr>
                <w:rFonts w:hint="eastAsia" w:eastAsia="宋体"/>
                <w:color w:val="000000" w:themeColor="text1"/>
                <w:lang w:eastAsia="zh-CN"/>
                <w14:textFill>
                  <w14:solidFill>
                    <w14:schemeClr w14:val="tx1"/>
                  </w14:solidFill>
                </w14:textFill>
              </w:rPr>
            </w:pPr>
          </w:p>
          <w:p w14:paraId="739D21CB">
            <w:pPr>
              <w:widowControl/>
              <w:spacing w:line="360" w:lineRule="auto"/>
              <w:jc w:val="center"/>
              <w:rPr>
                <w:rFonts w:hint="eastAsia" w:eastAsia="宋体"/>
                <w:color w:val="000000" w:themeColor="text1"/>
                <w:lang w:eastAsia="zh-CN"/>
                <w14:textFill>
                  <w14:solidFill>
                    <w14:schemeClr w14:val="tx1"/>
                  </w14:solidFill>
                </w14:textFill>
              </w:rPr>
            </w:pPr>
          </w:p>
          <w:p w14:paraId="0EC3FF56">
            <w:pPr>
              <w:widowControl/>
              <w:spacing w:line="360" w:lineRule="auto"/>
              <w:jc w:val="both"/>
              <w:rPr>
                <w:rFonts w:hint="eastAsia" w:eastAsia="宋体"/>
                <w:color w:val="000000" w:themeColor="text1"/>
                <w:lang w:eastAsia="zh-CN"/>
                <w14:textFill>
                  <w14:solidFill>
                    <w14:schemeClr w14:val="tx1"/>
                  </w14:solidFill>
                </w14:textFill>
              </w:rPr>
            </w:pPr>
          </w:p>
        </w:tc>
      </w:tr>
    </w:tbl>
    <w:p w14:paraId="20197B13">
      <w:pPr>
        <w:pStyle w:val="46"/>
        <w:pageBreakBefore w:val="0"/>
        <w:kinsoku/>
        <w:overflowPunct/>
        <w:topLinePunct w:val="0"/>
        <w:bidi w:val="0"/>
        <w:spacing w:before="0" w:after="0"/>
        <w:ind w:left="0" w:leftChars="0" w:right="0"/>
        <w:jc w:val="both"/>
        <w:rPr>
          <w:rFonts w:hint="eastAsia"/>
          <w:color w:val="000000" w:themeColor="text1"/>
          <w:lang w:eastAsia="zh-CN"/>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3DDAB622">
      <w:pPr>
        <w:pStyle w:val="29"/>
        <w:pageBreakBefore w:val="0"/>
        <w:kinsoku/>
        <w:overflowPunct/>
        <w:topLinePunct w:val="0"/>
        <w:bidi w:val="0"/>
        <w:adjustRightInd w:val="0"/>
        <w:snapToGrid w:val="0"/>
        <w:spacing w:before="0" w:beforeAutospacing="0" w:after="0" w:afterAutospacing="0"/>
        <w:ind w:left="0" w:leftChars="0" w:right="0"/>
        <w:jc w:val="center"/>
        <w:outlineLvl w:val="0"/>
        <w:rPr>
          <w:rFonts w:ascii="Times New Roman" w:hAnsi="Times New Roman"/>
          <w:b/>
          <w:bCs/>
          <w:snapToGrid w:val="0"/>
          <w:color w:val="000000" w:themeColor="text1"/>
          <w:sz w:val="30"/>
          <w:szCs w:val="30"/>
          <w14:textFill>
            <w14:solidFill>
              <w14:schemeClr w14:val="tx1"/>
            </w14:solidFill>
          </w14:textFill>
        </w:rPr>
      </w:pPr>
      <w:bookmarkStart w:id="7" w:name="_Toc30051"/>
      <w:bookmarkStart w:id="8" w:name="_Toc7404"/>
      <w:r>
        <w:rPr>
          <w:rFonts w:ascii="Times New Roman" w:hAnsi="Times New Roman"/>
          <w:b/>
          <w:bCs/>
          <w:snapToGrid w:val="0"/>
          <w:color w:val="000000" w:themeColor="text1"/>
          <w:sz w:val="30"/>
          <w:szCs w:val="30"/>
          <w14:textFill>
            <w14:solidFill>
              <w14:schemeClr w14:val="tx1"/>
            </w14:solidFill>
          </w14:textFill>
        </w:rPr>
        <w:t>三、区域环境质量现状、环境保护目标及评价标准</w:t>
      </w:r>
      <w:bookmarkEnd w:id="7"/>
      <w:bookmarkEnd w:id="8"/>
    </w:p>
    <w:tbl>
      <w:tblPr>
        <w:tblStyle w:val="33"/>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92"/>
      </w:tblGrid>
      <w:tr w14:paraId="2948F6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740" w:type="dxa"/>
            <w:vAlign w:val="center"/>
          </w:tcPr>
          <w:p w14:paraId="1DB9B9AB">
            <w:pPr>
              <w:pageBreakBefore w:val="0"/>
              <w:kinsoku/>
              <w:overflowPunct/>
              <w:topLinePunct w:val="0"/>
              <w:bidi w:val="0"/>
              <w:adjustRightInd w:val="0"/>
              <w:snapToGrid w:val="0"/>
              <w:ind w:left="0" w:leftChars="0" w:right="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区域</w:t>
            </w:r>
          </w:p>
          <w:p w14:paraId="4946D031">
            <w:pPr>
              <w:pageBreakBefore w:val="0"/>
              <w:kinsoku/>
              <w:overflowPunct/>
              <w:topLinePunct w:val="0"/>
              <w:bidi w:val="0"/>
              <w:adjustRightInd w:val="0"/>
              <w:snapToGrid w:val="0"/>
              <w:ind w:left="0" w:leftChars="0" w:right="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14:paraId="18418F53">
            <w:pPr>
              <w:pageBreakBefore w:val="0"/>
              <w:kinsoku/>
              <w:overflowPunct/>
              <w:topLinePunct w:val="0"/>
              <w:bidi w:val="0"/>
              <w:adjustRightInd w:val="0"/>
              <w:snapToGrid w:val="0"/>
              <w:ind w:left="0" w:leftChars="0" w:right="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质量</w:t>
            </w:r>
          </w:p>
          <w:p w14:paraId="4649E954">
            <w:pPr>
              <w:pageBreakBefore w:val="0"/>
              <w:kinsoku/>
              <w:overflowPunct/>
              <w:topLinePunct w:val="0"/>
              <w:bidi w:val="0"/>
              <w:adjustRightInd w:val="0"/>
              <w:snapToGrid w:val="0"/>
              <w:ind w:left="0" w:leftChars="0" w:right="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现状</w:t>
            </w:r>
          </w:p>
        </w:tc>
        <w:tc>
          <w:tcPr>
            <w:tcW w:w="8321" w:type="dxa"/>
            <w:vAlign w:val="center"/>
          </w:tcPr>
          <w:p w14:paraId="4FD02A8D">
            <w:pPr>
              <w:pageBreakBefore w:val="0"/>
              <w:kinsoku/>
              <w:overflowPunct/>
              <w:topLinePunct w:val="0"/>
              <w:bidi w:val="0"/>
              <w:spacing w:line="360" w:lineRule="auto"/>
              <w:ind w:left="0" w:leftChars="0" w:right="0"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1、环境空气质量现状</w:t>
            </w:r>
          </w:p>
          <w:p w14:paraId="0E545A9E">
            <w:pPr>
              <w:pageBreakBefore w:val="0"/>
              <w:kinsoku/>
              <w:overflowPunct/>
              <w:topLinePunct w:val="0"/>
              <w:bidi w:val="0"/>
              <w:spacing w:line="360" w:lineRule="auto"/>
              <w:ind w:left="0" w:leftChars="0" w:right="0" w:firstLine="458" w:firstLineChars="200"/>
              <w:rPr>
                <w:b/>
                <w:bCs/>
                <w:color w:val="000000" w:themeColor="text1"/>
                <w:spacing w:val="-6"/>
                <w:sz w:val="24"/>
                <w14:textFill>
                  <w14:solidFill>
                    <w14:schemeClr w14:val="tx1"/>
                  </w14:solidFill>
                </w14:textFill>
              </w:rPr>
            </w:pPr>
            <w:r>
              <w:rPr>
                <w:b/>
                <w:bCs/>
                <w:color w:val="000000" w:themeColor="text1"/>
                <w:spacing w:val="-6"/>
                <w:sz w:val="24"/>
                <w14:textFill>
                  <w14:solidFill>
                    <w14:schemeClr w14:val="tx1"/>
                  </w14:solidFill>
                </w14:textFill>
              </w:rPr>
              <w:t>（1）环境质量标准</w:t>
            </w:r>
          </w:p>
          <w:p w14:paraId="437D1036">
            <w:pPr>
              <w:pageBreakBefore w:val="0"/>
              <w:kinsoku/>
              <w:overflowPunct/>
              <w:topLinePunct w:val="0"/>
              <w:bidi w:val="0"/>
              <w:spacing w:line="360" w:lineRule="auto"/>
              <w:ind w:left="0" w:leftChars="0" w:right="0"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本项目位于峨山县双江街道办事处峨山县文邦包装制品有限公司内，属于</w:t>
            </w:r>
            <w:r>
              <w:rPr>
                <w:rFonts w:hint="eastAsia" w:cs="Times New Roman"/>
                <w:color w:val="000000" w:themeColor="text1"/>
                <w:sz w:val="24"/>
                <w:szCs w:val="24"/>
                <w:lang w:val="en-US" w:eastAsia="zh-CN"/>
                <w14:textFill>
                  <w14:solidFill>
                    <w14:schemeClr w14:val="tx1"/>
                  </w14:solidFill>
                </w14:textFill>
              </w:rPr>
              <w:t>云南红塔产业园区研和片区双小地块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，根据《云南红塔产业园区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总体规划修编（2021-2035年）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环境影响报告书》，该区域属二类环境空气质量功能区，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执行</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《环境空气质量标准》（GB3095-20</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26</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中表1过渡阶段</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浓度限值二级标准</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以及表2二级标准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，TVOC</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执行</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《环境影响评价技术导则大气环境》（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HJ2.2- 2018</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）中附录</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，非甲烷总烃执行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《大气污染物综合排放标准详解》P244。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标准值见表3-1。</w:t>
            </w:r>
          </w:p>
          <w:p w14:paraId="33C83CB1">
            <w:pPr>
              <w:pageBreakBefore w:val="0"/>
              <w:kinsoku/>
              <w:overflowPunct/>
              <w:topLinePunct w:val="0"/>
              <w:bidi w:val="0"/>
              <w:ind w:left="0" w:leftChars="0" w:right="0"/>
              <w:jc w:val="center"/>
              <w:rPr>
                <w:rFonts w:hint="default" w:eastAsia="宋体"/>
                <w:color w:val="000000" w:themeColor="text1"/>
                <w:kern w:val="0"/>
                <w:sz w:val="24"/>
                <w:vertAlign w:val="superscript"/>
                <w:lang w:val="en-US" w:eastAsia="zh-CN"/>
                <w14:textFill>
                  <w14:solidFill>
                    <w14:schemeClr w14:val="tx1"/>
                  </w14:solidFill>
                </w14:textFill>
              </w:rPr>
            </w:pPr>
            <w:r>
              <w:rPr>
                <w:b/>
                <w:color w:val="000000" w:themeColor="text1"/>
                <w:kern w:val="0"/>
                <w:szCs w:val="21"/>
                <w14:textFill>
                  <w14:solidFill>
                    <w14:schemeClr w14:val="tx1"/>
                  </w14:solidFill>
                </w14:textFill>
              </w:rPr>
              <w:t>表3-1   环境空气质量标准</w:t>
            </w:r>
            <w:r>
              <w:rPr>
                <w:rFonts w:hint="eastAsia"/>
                <w:b/>
                <w:color w:val="000000" w:themeColor="text1"/>
                <w:kern w:val="0"/>
                <w:szCs w:val="21"/>
                <w:lang w:val="en-US" w:eastAsia="zh-CN"/>
                <w14:textFill>
                  <w14:solidFill>
                    <w14:schemeClr w14:val="tx1"/>
                  </w14:solidFill>
                </w14:textFill>
              </w:rPr>
              <w:t xml:space="preserve">   </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01"/>
              <w:gridCol w:w="2511"/>
              <w:gridCol w:w="2495"/>
            </w:tblGrid>
            <w:tr w14:paraId="16E58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1" w:type="pct"/>
                  <w:noWrap w:val="0"/>
                  <w:vAlign w:val="center"/>
                </w:tcPr>
                <w:p w14:paraId="6BB36518">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污染物名称</w:t>
                  </w:r>
                </w:p>
              </w:tc>
              <w:tc>
                <w:tcPr>
                  <w:tcW w:w="1241" w:type="pct"/>
                  <w:noWrap w:val="0"/>
                  <w:vAlign w:val="center"/>
                </w:tcPr>
                <w:p w14:paraId="538BC36D">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取值时间</w:t>
                  </w:r>
                </w:p>
              </w:tc>
              <w:tc>
                <w:tcPr>
                  <w:tcW w:w="1483" w:type="pct"/>
                  <w:noWrap w:val="0"/>
                  <w:vAlign w:val="center"/>
                </w:tcPr>
                <w:p w14:paraId="3A8C2925">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过度阶段标准</w:t>
                  </w:r>
                  <w:r>
                    <w:rPr>
                      <w:rFonts w:hint="default" w:ascii="Times New Roman" w:hAnsi="Times New Roman" w:eastAsia="宋体" w:cs="Times New Roman"/>
                      <w:b w:val="0"/>
                      <w:bCs/>
                      <w:color w:val="000000" w:themeColor="text1"/>
                      <w:sz w:val="21"/>
                      <w:szCs w:val="21"/>
                      <w14:textFill>
                        <w14:solidFill>
                          <w14:schemeClr w14:val="tx1"/>
                        </w14:solidFill>
                      </w14:textFill>
                    </w:rPr>
                    <w:t>浓度限值</w:t>
                  </w:r>
                </w:p>
                <w:p w14:paraId="13E8D8B0">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eastAsia"/>
                      <w:b w:val="0"/>
                      <w:bCs/>
                      <w:color w:val="000000" w:themeColor="text1"/>
                      <w:kern w:val="0"/>
                      <w:szCs w:val="21"/>
                      <w:lang w:val="en-US" w:eastAsia="zh-CN"/>
                      <w14:textFill>
                        <w14:solidFill>
                          <w14:schemeClr w14:val="tx1"/>
                        </w14:solidFill>
                      </w14:textFill>
                    </w:rPr>
                    <w:t>μg/m</w:t>
                  </w:r>
                  <w:r>
                    <w:rPr>
                      <w:rFonts w:hint="eastAsia"/>
                      <w:b w:val="0"/>
                      <w:bCs/>
                      <w:color w:val="000000" w:themeColor="text1"/>
                      <w:kern w:val="0"/>
                      <w:szCs w:val="21"/>
                      <w:vertAlign w:val="superscript"/>
                      <w:lang w:val="en-US" w:eastAsia="zh-CN"/>
                      <w14:textFill>
                        <w14:solidFill>
                          <w14:schemeClr w14:val="tx1"/>
                        </w14:solidFill>
                      </w14:textFill>
                    </w:rPr>
                    <w:t>3</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1474" w:type="pct"/>
                  <w:noWrap w:val="0"/>
                  <w:vAlign w:val="center"/>
                </w:tcPr>
                <w:p w14:paraId="6974AC34">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执行标准</w:t>
                  </w:r>
                </w:p>
              </w:tc>
            </w:tr>
            <w:tr w14:paraId="39256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1" w:type="pct"/>
                  <w:vMerge w:val="restart"/>
                  <w:noWrap w:val="0"/>
                  <w:vAlign w:val="center"/>
                </w:tcPr>
                <w:p w14:paraId="45A8EFA0">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SO</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2</w:t>
                  </w:r>
                </w:p>
              </w:tc>
              <w:tc>
                <w:tcPr>
                  <w:tcW w:w="1241" w:type="pct"/>
                  <w:noWrap w:val="0"/>
                  <w:vAlign w:val="center"/>
                </w:tcPr>
                <w:p w14:paraId="3BC71723">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年平均</w:t>
                  </w:r>
                </w:p>
              </w:tc>
              <w:tc>
                <w:tcPr>
                  <w:tcW w:w="1483" w:type="pct"/>
                  <w:noWrap w:val="0"/>
                  <w:vAlign w:val="center"/>
                </w:tcPr>
                <w:p w14:paraId="7333BF32">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eastAsia="宋体" w:cs="Times New Roman"/>
                      <w:bCs/>
                      <w:color w:val="000000" w:themeColor="text1"/>
                      <w:sz w:val="21"/>
                      <w:szCs w:val="21"/>
                      <w:lang w:val="en-US" w:eastAsia="zh-CN"/>
                      <w14:textFill>
                        <w14:solidFill>
                          <w14:schemeClr w14:val="tx1"/>
                        </w14:solidFill>
                      </w14:textFill>
                    </w:rPr>
                    <w:t>60</w:t>
                  </w:r>
                </w:p>
              </w:tc>
              <w:tc>
                <w:tcPr>
                  <w:tcW w:w="1474" w:type="pct"/>
                  <w:vMerge w:val="restart"/>
                  <w:noWrap w:val="0"/>
                  <w:vAlign w:val="center"/>
                </w:tcPr>
                <w:p w14:paraId="77AA313B">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《环境空气质量标准》（GB3095</w:t>
                  </w:r>
                  <w:r>
                    <w:rPr>
                      <w:rFonts w:hint="eastAsia" w:ascii="Times New Roman" w:eastAsia="宋体" w:cs="Times New Roman"/>
                      <w:bCs/>
                      <w:color w:val="000000" w:themeColor="text1"/>
                      <w:sz w:val="21"/>
                      <w:szCs w:val="21"/>
                      <w:lang w:eastAsia="zh-CN"/>
                      <w14:textFill>
                        <w14:solidFill>
                          <w14:schemeClr w14:val="tx1"/>
                        </w14:solidFill>
                      </w14:textFill>
                    </w:rPr>
                    <w:t>-2026</w:t>
                  </w:r>
                  <w:r>
                    <w:rPr>
                      <w:rFonts w:hint="default" w:ascii="Times New Roman" w:hAnsi="Times New Roman" w:eastAsia="宋体" w:cs="Times New Roman"/>
                      <w:bCs/>
                      <w:color w:val="000000" w:themeColor="text1"/>
                      <w:sz w:val="21"/>
                      <w:szCs w:val="21"/>
                      <w14:textFill>
                        <w14:solidFill>
                          <w14:schemeClr w14:val="tx1"/>
                        </w14:solidFill>
                      </w14:textFill>
                    </w:rPr>
                    <w:t>）</w:t>
                  </w:r>
                  <w:r>
                    <w:rPr>
                      <w:rFonts w:hint="eastAsia" w:ascii="Times New Roman" w:eastAsia="宋体" w:cs="Times New Roman"/>
                      <w:bCs/>
                      <w:color w:val="000000" w:themeColor="text1"/>
                      <w:sz w:val="21"/>
                      <w:szCs w:val="21"/>
                      <w:lang w:eastAsia="zh-CN"/>
                      <w14:textFill>
                        <w14:solidFill>
                          <w14:schemeClr w14:val="tx1"/>
                        </w14:solidFill>
                      </w14:textFill>
                    </w:rPr>
                    <w:t>表</w:t>
                  </w:r>
                  <w:r>
                    <w:rPr>
                      <w:rFonts w:hint="eastAsia" w:ascii="Times New Roman" w:eastAsia="宋体" w:cs="Times New Roman"/>
                      <w:bCs/>
                      <w:color w:val="000000" w:themeColor="text1"/>
                      <w:sz w:val="21"/>
                      <w:szCs w:val="21"/>
                      <w:lang w:val="en-US" w:eastAsia="zh-CN"/>
                      <w14:textFill>
                        <w14:solidFill>
                          <w14:schemeClr w14:val="tx1"/>
                        </w14:solidFill>
                      </w14:textFill>
                    </w:rPr>
                    <w:t>1</w:t>
                  </w:r>
                  <w:r>
                    <w:rPr>
                      <w:rFonts w:hint="eastAsia" w:ascii="Times New Roman" w:eastAsia="宋体" w:cs="Times New Roman"/>
                      <w:bCs/>
                      <w:color w:val="000000" w:themeColor="text1"/>
                      <w:sz w:val="21"/>
                      <w:szCs w:val="21"/>
                      <w:lang w:eastAsia="zh-CN"/>
                      <w14:textFill>
                        <w14:solidFill>
                          <w14:schemeClr w14:val="tx1"/>
                        </w14:solidFill>
                      </w14:textFill>
                    </w:rPr>
                    <w:t>过渡阶段</w:t>
                  </w:r>
                  <w:r>
                    <w:rPr>
                      <w:rFonts w:hint="default" w:ascii="Times New Roman" w:hAnsi="Times New Roman" w:eastAsia="宋体" w:cs="Times New Roman"/>
                      <w:bCs/>
                      <w:color w:val="000000" w:themeColor="text1"/>
                      <w:sz w:val="21"/>
                      <w:szCs w:val="21"/>
                      <w14:textFill>
                        <w14:solidFill>
                          <w14:schemeClr w14:val="tx1"/>
                        </w14:solidFill>
                      </w14:textFill>
                    </w:rPr>
                    <w:t>浓度限值二级标准</w:t>
                  </w:r>
                </w:p>
              </w:tc>
            </w:tr>
            <w:tr w14:paraId="2A576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1" w:type="pct"/>
                  <w:vMerge w:val="continue"/>
                  <w:noWrap w:val="0"/>
                  <w:vAlign w:val="center"/>
                </w:tcPr>
                <w:p w14:paraId="69109CF1">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1241" w:type="pct"/>
                  <w:noWrap w:val="0"/>
                  <w:vAlign w:val="center"/>
                </w:tcPr>
                <w:p w14:paraId="3B219B7B">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日</w:t>
                  </w:r>
                  <w:r>
                    <w:rPr>
                      <w:rFonts w:hint="default" w:ascii="Times New Roman" w:hAnsi="Times New Roman" w:eastAsia="宋体" w:cs="Times New Roman"/>
                      <w:bCs/>
                      <w:color w:val="000000" w:themeColor="text1"/>
                      <w:sz w:val="21"/>
                      <w:szCs w:val="21"/>
                      <w14:textFill>
                        <w14:solidFill>
                          <w14:schemeClr w14:val="tx1"/>
                        </w14:solidFill>
                      </w14:textFill>
                    </w:rPr>
                    <w:t>平均</w:t>
                  </w:r>
                </w:p>
              </w:tc>
              <w:tc>
                <w:tcPr>
                  <w:tcW w:w="1483" w:type="pct"/>
                  <w:noWrap w:val="0"/>
                  <w:vAlign w:val="center"/>
                </w:tcPr>
                <w:p w14:paraId="45DCAEB2">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eastAsia="宋体" w:cs="Times New Roman"/>
                      <w:bCs/>
                      <w:color w:val="000000" w:themeColor="text1"/>
                      <w:sz w:val="21"/>
                      <w:szCs w:val="21"/>
                      <w:lang w:val="en-US" w:eastAsia="zh-CN"/>
                      <w14:textFill>
                        <w14:solidFill>
                          <w14:schemeClr w14:val="tx1"/>
                        </w14:solidFill>
                      </w14:textFill>
                    </w:rPr>
                    <w:t>150</w:t>
                  </w:r>
                </w:p>
              </w:tc>
              <w:tc>
                <w:tcPr>
                  <w:tcW w:w="1474" w:type="pct"/>
                  <w:vMerge w:val="continue"/>
                  <w:noWrap w:val="0"/>
                  <w:vAlign w:val="center"/>
                </w:tcPr>
                <w:p w14:paraId="6966E4A3">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5130E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1" w:type="pct"/>
                  <w:vMerge w:val="continue"/>
                  <w:noWrap w:val="0"/>
                  <w:vAlign w:val="center"/>
                </w:tcPr>
                <w:p w14:paraId="3307A964">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1241" w:type="pct"/>
                  <w:noWrap w:val="0"/>
                  <w:vAlign w:val="center"/>
                </w:tcPr>
                <w:p w14:paraId="7A2862DF">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1小时平均</w:t>
                  </w:r>
                </w:p>
              </w:tc>
              <w:tc>
                <w:tcPr>
                  <w:tcW w:w="1483" w:type="pct"/>
                  <w:noWrap w:val="0"/>
                  <w:vAlign w:val="center"/>
                </w:tcPr>
                <w:p w14:paraId="32AD6F5D">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eastAsia="宋体" w:cs="Times New Roman"/>
                      <w:bCs/>
                      <w:color w:val="000000" w:themeColor="text1"/>
                      <w:sz w:val="21"/>
                      <w:szCs w:val="21"/>
                      <w:lang w:val="en-US" w:eastAsia="zh-CN"/>
                      <w14:textFill>
                        <w14:solidFill>
                          <w14:schemeClr w14:val="tx1"/>
                        </w14:solidFill>
                      </w14:textFill>
                    </w:rPr>
                    <w:t>500</w:t>
                  </w:r>
                </w:p>
              </w:tc>
              <w:tc>
                <w:tcPr>
                  <w:tcW w:w="1474" w:type="pct"/>
                  <w:vMerge w:val="continue"/>
                  <w:noWrap w:val="0"/>
                  <w:vAlign w:val="center"/>
                </w:tcPr>
                <w:p w14:paraId="2F9ABEBA">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337B5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1" w:type="pct"/>
                  <w:vMerge w:val="restart"/>
                  <w:noWrap w:val="0"/>
                  <w:vAlign w:val="center"/>
                </w:tcPr>
                <w:p w14:paraId="4C7C0657">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NO</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2</w:t>
                  </w:r>
                </w:p>
              </w:tc>
              <w:tc>
                <w:tcPr>
                  <w:tcW w:w="1241" w:type="pct"/>
                  <w:noWrap w:val="0"/>
                  <w:vAlign w:val="center"/>
                </w:tcPr>
                <w:p w14:paraId="49F3F495">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年平均</w:t>
                  </w:r>
                </w:p>
              </w:tc>
              <w:tc>
                <w:tcPr>
                  <w:tcW w:w="1483" w:type="pct"/>
                  <w:noWrap w:val="0"/>
                  <w:vAlign w:val="center"/>
                </w:tcPr>
                <w:p w14:paraId="219EEE2A">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eastAsia="宋体" w:cs="Times New Roman"/>
                      <w:bCs/>
                      <w:color w:val="000000" w:themeColor="text1"/>
                      <w:sz w:val="21"/>
                      <w:szCs w:val="21"/>
                      <w:lang w:val="en-US" w:eastAsia="zh-CN"/>
                      <w14:textFill>
                        <w14:solidFill>
                          <w14:schemeClr w14:val="tx1"/>
                        </w14:solidFill>
                      </w14:textFill>
                    </w:rPr>
                    <w:t>40</w:t>
                  </w:r>
                </w:p>
              </w:tc>
              <w:tc>
                <w:tcPr>
                  <w:tcW w:w="1474" w:type="pct"/>
                  <w:vMerge w:val="continue"/>
                  <w:noWrap w:val="0"/>
                  <w:vAlign w:val="center"/>
                </w:tcPr>
                <w:p w14:paraId="6B30BCB3">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3B6F9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1" w:type="pct"/>
                  <w:vMerge w:val="continue"/>
                  <w:noWrap w:val="0"/>
                  <w:vAlign w:val="center"/>
                </w:tcPr>
                <w:p w14:paraId="3C57ED1A">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1241" w:type="pct"/>
                  <w:noWrap w:val="0"/>
                  <w:vAlign w:val="center"/>
                </w:tcPr>
                <w:p w14:paraId="1FB9905B">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日</w:t>
                  </w:r>
                  <w:r>
                    <w:rPr>
                      <w:rFonts w:hint="default" w:ascii="Times New Roman" w:hAnsi="Times New Roman" w:eastAsia="宋体" w:cs="Times New Roman"/>
                      <w:bCs/>
                      <w:color w:val="000000" w:themeColor="text1"/>
                      <w:sz w:val="21"/>
                      <w:szCs w:val="21"/>
                      <w14:textFill>
                        <w14:solidFill>
                          <w14:schemeClr w14:val="tx1"/>
                        </w14:solidFill>
                      </w14:textFill>
                    </w:rPr>
                    <w:t>平均</w:t>
                  </w:r>
                </w:p>
              </w:tc>
              <w:tc>
                <w:tcPr>
                  <w:tcW w:w="1483" w:type="pct"/>
                  <w:noWrap w:val="0"/>
                  <w:vAlign w:val="center"/>
                </w:tcPr>
                <w:p w14:paraId="39327932">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eastAsia="宋体" w:cs="Times New Roman"/>
                      <w:bCs/>
                      <w:color w:val="000000" w:themeColor="text1"/>
                      <w:sz w:val="21"/>
                      <w:szCs w:val="21"/>
                      <w:lang w:val="en-US" w:eastAsia="zh-CN"/>
                      <w14:textFill>
                        <w14:solidFill>
                          <w14:schemeClr w14:val="tx1"/>
                        </w14:solidFill>
                      </w14:textFill>
                    </w:rPr>
                    <w:t>80</w:t>
                  </w:r>
                </w:p>
              </w:tc>
              <w:tc>
                <w:tcPr>
                  <w:tcW w:w="1474" w:type="pct"/>
                  <w:vMerge w:val="continue"/>
                  <w:noWrap w:val="0"/>
                  <w:vAlign w:val="center"/>
                </w:tcPr>
                <w:p w14:paraId="1EB509B9">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4D4C1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1" w:type="pct"/>
                  <w:vMerge w:val="continue"/>
                  <w:noWrap w:val="0"/>
                  <w:vAlign w:val="center"/>
                </w:tcPr>
                <w:p w14:paraId="206FB953">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1241" w:type="pct"/>
                  <w:noWrap w:val="0"/>
                  <w:vAlign w:val="center"/>
                </w:tcPr>
                <w:p w14:paraId="77A76E83">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1小时平均</w:t>
                  </w:r>
                </w:p>
              </w:tc>
              <w:tc>
                <w:tcPr>
                  <w:tcW w:w="1483" w:type="pct"/>
                  <w:noWrap w:val="0"/>
                  <w:vAlign w:val="center"/>
                </w:tcPr>
                <w:p w14:paraId="59BBD34E">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eastAsia="宋体" w:cs="Times New Roman"/>
                      <w:bCs/>
                      <w:color w:val="000000" w:themeColor="text1"/>
                      <w:sz w:val="21"/>
                      <w:szCs w:val="21"/>
                      <w:lang w:val="en-US" w:eastAsia="zh-CN"/>
                      <w14:textFill>
                        <w14:solidFill>
                          <w14:schemeClr w14:val="tx1"/>
                        </w14:solidFill>
                      </w14:textFill>
                    </w:rPr>
                    <w:t>200</w:t>
                  </w:r>
                </w:p>
              </w:tc>
              <w:tc>
                <w:tcPr>
                  <w:tcW w:w="1474" w:type="pct"/>
                  <w:vMerge w:val="continue"/>
                  <w:noWrap w:val="0"/>
                  <w:vAlign w:val="center"/>
                </w:tcPr>
                <w:p w14:paraId="4E7F564C">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18B83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1" w:type="pct"/>
                  <w:vMerge w:val="restart"/>
                  <w:noWrap w:val="0"/>
                  <w:vAlign w:val="center"/>
                </w:tcPr>
                <w:p w14:paraId="07613AB7">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CO</w:t>
                  </w:r>
                </w:p>
              </w:tc>
              <w:tc>
                <w:tcPr>
                  <w:tcW w:w="1241" w:type="pct"/>
                  <w:noWrap w:val="0"/>
                  <w:vAlign w:val="center"/>
                </w:tcPr>
                <w:p w14:paraId="696E9AF5">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日</w:t>
                  </w:r>
                  <w:r>
                    <w:rPr>
                      <w:rFonts w:hint="default" w:ascii="Times New Roman" w:hAnsi="Times New Roman" w:eastAsia="宋体" w:cs="Times New Roman"/>
                      <w:bCs/>
                      <w:color w:val="000000" w:themeColor="text1"/>
                      <w:sz w:val="21"/>
                      <w:szCs w:val="21"/>
                      <w14:textFill>
                        <w14:solidFill>
                          <w14:schemeClr w14:val="tx1"/>
                        </w14:solidFill>
                      </w14:textFill>
                    </w:rPr>
                    <w:t>平均</w:t>
                  </w:r>
                </w:p>
              </w:tc>
              <w:tc>
                <w:tcPr>
                  <w:tcW w:w="1483" w:type="pct"/>
                  <w:noWrap w:val="0"/>
                  <w:vAlign w:val="center"/>
                </w:tcPr>
                <w:p w14:paraId="35BE9CF0">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eastAsia="宋体" w:cs="Times New Roman"/>
                      <w:bCs/>
                      <w:color w:val="000000" w:themeColor="text1"/>
                      <w:sz w:val="21"/>
                      <w:szCs w:val="21"/>
                      <w:lang w:val="en-US" w:eastAsia="zh-CN"/>
                      <w14:textFill>
                        <w14:solidFill>
                          <w14:schemeClr w14:val="tx1"/>
                        </w14:solidFill>
                      </w14:textFill>
                    </w:rPr>
                    <w:t>4</w:t>
                  </w:r>
                </w:p>
              </w:tc>
              <w:tc>
                <w:tcPr>
                  <w:tcW w:w="1474" w:type="pct"/>
                  <w:vMerge w:val="continue"/>
                  <w:noWrap w:val="0"/>
                  <w:vAlign w:val="center"/>
                </w:tcPr>
                <w:p w14:paraId="45DA81EE">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43754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1" w:type="pct"/>
                  <w:vMerge w:val="continue"/>
                  <w:noWrap w:val="0"/>
                  <w:vAlign w:val="center"/>
                </w:tcPr>
                <w:p w14:paraId="1750DA8F">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1241" w:type="pct"/>
                  <w:noWrap w:val="0"/>
                  <w:vAlign w:val="center"/>
                </w:tcPr>
                <w:p w14:paraId="6EE8EB90">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1小时平均</w:t>
                  </w:r>
                </w:p>
              </w:tc>
              <w:tc>
                <w:tcPr>
                  <w:tcW w:w="1483" w:type="pct"/>
                  <w:noWrap w:val="0"/>
                  <w:vAlign w:val="center"/>
                </w:tcPr>
                <w:p w14:paraId="35CF96CA">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eastAsia="宋体" w:cs="Times New Roman"/>
                      <w:bCs/>
                      <w:color w:val="000000" w:themeColor="text1"/>
                      <w:sz w:val="21"/>
                      <w:szCs w:val="21"/>
                      <w:lang w:val="en-US" w:eastAsia="zh-CN"/>
                      <w14:textFill>
                        <w14:solidFill>
                          <w14:schemeClr w14:val="tx1"/>
                        </w14:solidFill>
                      </w14:textFill>
                    </w:rPr>
                    <w:t>10</w:t>
                  </w:r>
                </w:p>
              </w:tc>
              <w:tc>
                <w:tcPr>
                  <w:tcW w:w="1474" w:type="pct"/>
                  <w:vMerge w:val="continue"/>
                  <w:noWrap w:val="0"/>
                  <w:vAlign w:val="center"/>
                </w:tcPr>
                <w:p w14:paraId="50033D19">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09422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1" w:type="pct"/>
                  <w:vMerge w:val="restart"/>
                  <w:noWrap w:val="0"/>
                  <w:vAlign w:val="center"/>
                </w:tcPr>
                <w:p w14:paraId="0B1F1904">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O</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3</w:t>
                  </w:r>
                </w:p>
              </w:tc>
              <w:tc>
                <w:tcPr>
                  <w:tcW w:w="1241" w:type="pct"/>
                  <w:noWrap w:val="0"/>
                  <w:vAlign w:val="center"/>
                </w:tcPr>
                <w:p w14:paraId="44660202">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日最大8小时平均</w:t>
                  </w:r>
                </w:p>
              </w:tc>
              <w:tc>
                <w:tcPr>
                  <w:tcW w:w="1483" w:type="pct"/>
                  <w:noWrap w:val="0"/>
                  <w:vAlign w:val="center"/>
                </w:tcPr>
                <w:p w14:paraId="030B0669">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eastAsia="宋体" w:cs="Times New Roman"/>
                      <w:bCs/>
                      <w:color w:val="000000" w:themeColor="text1"/>
                      <w:sz w:val="21"/>
                      <w:szCs w:val="21"/>
                      <w:lang w:val="en-US" w:eastAsia="zh-CN"/>
                      <w14:textFill>
                        <w14:solidFill>
                          <w14:schemeClr w14:val="tx1"/>
                        </w14:solidFill>
                      </w14:textFill>
                    </w:rPr>
                    <w:t>160</w:t>
                  </w:r>
                </w:p>
              </w:tc>
              <w:tc>
                <w:tcPr>
                  <w:tcW w:w="1474" w:type="pct"/>
                  <w:vMerge w:val="continue"/>
                  <w:noWrap w:val="0"/>
                  <w:vAlign w:val="center"/>
                </w:tcPr>
                <w:p w14:paraId="7D75D0A7">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28C70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1" w:type="pct"/>
                  <w:vMerge w:val="continue"/>
                  <w:noWrap w:val="0"/>
                  <w:vAlign w:val="center"/>
                </w:tcPr>
                <w:p w14:paraId="5BAD3A5B">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1241" w:type="pct"/>
                  <w:noWrap w:val="0"/>
                  <w:vAlign w:val="center"/>
                </w:tcPr>
                <w:p w14:paraId="1EA44D66">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1小时平均</w:t>
                  </w:r>
                </w:p>
              </w:tc>
              <w:tc>
                <w:tcPr>
                  <w:tcW w:w="1483" w:type="pct"/>
                  <w:noWrap w:val="0"/>
                  <w:vAlign w:val="center"/>
                </w:tcPr>
                <w:p w14:paraId="43A2B5B2">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eastAsia="宋体" w:cs="Times New Roman"/>
                      <w:bCs/>
                      <w:color w:val="000000" w:themeColor="text1"/>
                      <w:sz w:val="21"/>
                      <w:szCs w:val="21"/>
                      <w:lang w:val="en-US" w:eastAsia="zh-CN"/>
                      <w14:textFill>
                        <w14:solidFill>
                          <w14:schemeClr w14:val="tx1"/>
                        </w14:solidFill>
                      </w14:textFill>
                    </w:rPr>
                    <w:t>200</w:t>
                  </w:r>
                </w:p>
              </w:tc>
              <w:tc>
                <w:tcPr>
                  <w:tcW w:w="1474" w:type="pct"/>
                  <w:vMerge w:val="continue"/>
                  <w:noWrap w:val="0"/>
                  <w:vAlign w:val="center"/>
                </w:tcPr>
                <w:p w14:paraId="0F4BC043">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11AD2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1" w:type="pct"/>
                  <w:vMerge w:val="restart"/>
                  <w:noWrap w:val="0"/>
                  <w:vAlign w:val="center"/>
                </w:tcPr>
                <w:p w14:paraId="61B4CA95">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PM</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10</w:t>
                  </w:r>
                </w:p>
              </w:tc>
              <w:tc>
                <w:tcPr>
                  <w:tcW w:w="1241" w:type="pct"/>
                  <w:noWrap w:val="0"/>
                  <w:vAlign w:val="center"/>
                </w:tcPr>
                <w:p w14:paraId="137572A0">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年平均</w:t>
                  </w:r>
                </w:p>
              </w:tc>
              <w:tc>
                <w:tcPr>
                  <w:tcW w:w="1483" w:type="pct"/>
                  <w:noWrap w:val="0"/>
                  <w:vAlign w:val="center"/>
                </w:tcPr>
                <w:p w14:paraId="598E0E5E">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eastAsia="宋体" w:cs="Times New Roman"/>
                      <w:bCs/>
                      <w:color w:val="000000" w:themeColor="text1"/>
                      <w:sz w:val="21"/>
                      <w:szCs w:val="21"/>
                      <w:lang w:val="en-US" w:eastAsia="zh-CN"/>
                      <w14:textFill>
                        <w14:solidFill>
                          <w14:schemeClr w14:val="tx1"/>
                        </w14:solidFill>
                      </w14:textFill>
                    </w:rPr>
                    <w:t>60</w:t>
                  </w:r>
                </w:p>
              </w:tc>
              <w:tc>
                <w:tcPr>
                  <w:tcW w:w="1474" w:type="pct"/>
                  <w:vMerge w:val="continue"/>
                  <w:noWrap w:val="0"/>
                  <w:vAlign w:val="center"/>
                </w:tcPr>
                <w:p w14:paraId="578D1D9E">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5D16E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1" w:type="pct"/>
                  <w:vMerge w:val="continue"/>
                  <w:noWrap w:val="0"/>
                  <w:vAlign w:val="center"/>
                </w:tcPr>
                <w:p w14:paraId="6B1211D6">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1241" w:type="pct"/>
                  <w:noWrap w:val="0"/>
                  <w:vAlign w:val="center"/>
                </w:tcPr>
                <w:p w14:paraId="798C8F2E">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日</w:t>
                  </w:r>
                  <w:r>
                    <w:rPr>
                      <w:rFonts w:hint="default" w:ascii="Times New Roman" w:hAnsi="Times New Roman" w:eastAsia="宋体" w:cs="Times New Roman"/>
                      <w:bCs/>
                      <w:color w:val="000000" w:themeColor="text1"/>
                      <w:sz w:val="21"/>
                      <w:szCs w:val="21"/>
                      <w14:textFill>
                        <w14:solidFill>
                          <w14:schemeClr w14:val="tx1"/>
                        </w14:solidFill>
                      </w14:textFill>
                    </w:rPr>
                    <w:t>平均</w:t>
                  </w:r>
                </w:p>
              </w:tc>
              <w:tc>
                <w:tcPr>
                  <w:tcW w:w="1483" w:type="pct"/>
                  <w:noWrap w:val="0"/>
                  <w:vAlign w:val="center"/>
                </w:tcPr>
                <w:p w14:paraId="7F44E8AD">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eastAsia="宋体" w:cs="Times New Roman"/>
                      <w:bCs/>
                      <w:color w:val="000000" w:themeColor="text1"/>
                      <w:sz w:val="21"/>
                      <w:szCs w:val="21"/>
                      <w:lang w:val="en-US" w:eastAsia="zh-CN"/>
                      <w14:textFill>
                        <w14:solidFill>
                          <w14:schemeClr w14:val="tx1"/>
                        </w14:solidFill>
                      </w14:textFill>
                    </w:rPr>
                    <w:t>120</w:t>
                  </w:r>
                </w:p>
              </w:tc>
              <w:tc>
                <w:tcPr>
                  <w:tcW w:w="1474" w:type="pct"/>
                  <w:vMerge w:val="continue"/>
                  <w:noWrap w:val="0"/>
                  <w:vAlign w:val="center"/>
                </w:tcPr>
                <w:p w14:paraId="03753FCE">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34F82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1" w:type="pct"/>
                  <w:vMerge w:val="restart"/>
                  <w:noWrap w:val="0"/>
                  <w:vAlign w:val="center"/>
                </w:tcPr>
                <w:p w14:paraId="1E7F91EE">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P</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.5</w:t>
                  </w:r>
                </w:p>
              </w:tc>
              <w:tc>
                <w:tcPr>
                  <w:tcW w:w="1241" w:type="pct"/>
                  <w:noWrap w:val="0"/>
                  <w:vAlign w:val="center"/>
                </w:tcPr>
                <w:p w14:paraId="0EF8A48C">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年平均</w:t>
                  </w:r>
                </w:p>
              </w:tc>
              <w:tc>
                <w:tcPr>
                  <w:tcW w:w="1483" w:type="pct"/>
                  <w:noWrap w:val="0"/>
                  <w:vAlign w:val="center"/>
                </w:tcPr>
                <w:p w14:paraId="1DFCC5E1">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eastAsia="宋体" w:cs="Times New Roman"/>
                      <w:bCs/>
                      <w:color w:val="000000" w:themeColor="text1"/>
                      <w:sz w:val="21"/>
                      <w:szCs w:val="21"/>
                      <w:lang w:val="en-US" w:eastAsia="zh-CN"/>
                      <w14:textFill>
                        <w14:solidFill>
                          <w14:schemeClr w14:val="tx1"/>
                        </w14:solidFill>
                      </w14:textFill>
                    </w:rPr>
                    <w:t>30</w:t>
                  </w:r>
                </w:p>
              </w:tc>
              <w:tc>
                <w:tcPr>
                  <w:tcW w:w="1474" w:type="pct"/>
                  <w:vMerge w:val="continue"/>
                  <w:noWrap w:val="0"/>
                  <w:vAlign w:val="center"/>
                </w:tcPr>
                <w:p w14:paraId="74DB706D">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4F625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1" w:type="pct"/>
                  <w:vMerge w:val="continue"/>
                  <w:noWrap w:val="0"/>
                  <w:vAlign w:val="center"/>
                </w:tcPr>
                <w:p w14:paraId="409F00AB">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1241" w:type="pct"/>
                  <w:noWrap w:val="0"/>
                  <w:vAlign w:val="center"/>
                </w:tcPr>
                <w:p w14:paraId="5C2FE3E7">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日</w:t>
                  </w:r>
                  <w:r>
                    <w:rPr>
                      <w:rFonts w:hint="default" w:ascii="Times New Roman" w:hAnsi="Times New Roman" w:eastAsia="宋体" w:cs="Times New Roman"/>
                      <w:bCs/>
                      <w:color w:val="000000" w:themeColor="text1"/>
                      <w:sz w:val="21"/>
                      <w:szCs w:val="21"/>
                      <w14:textFill>
                        <w14:solidFill>
                          <w14:schemeClr w14:val="tx1"/>
                        </w14:solidFill>
                      </w14:textFill>
                    </w:rPr>
                    <w:t>平均</w:t>
                  </w:r>
                </w:p>
              </w:tc>
              <w:tc>
                <w:tcPr>
                  <w:tcW w:w="1483" w:type="pct"/>
                  <w:noWrap w:val="0"/>
                  <w:vAlign w:val="center"/>
                </w:tcPr>
                <w:p w14:paraId="46B665CA">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eastAsia="宋体" w:cs="Times New Roman"/>
                      <w:bCs/>
                      <w:color w:val="000000" w:themeColor="text1"/>
                      <w:sz w:val="21"/>
                      <w:szCs w:val="21"/>
                      <w:lang w:val="en-US" w:eastAsia="zh-CN"/>
                      <w14:textFill>
                        <w14:solidFill>
                          <w14:schemeClr w14:val="tx1"/>
                        </w14:solidFill>
                      </w14:textFill>
                    </w:rPr>
                    <w:t>60</w:t>
                  </w:r>
                </w:p>
              </w:tc>
              <w:tc>
                <w:tcPr>
                  <w:tcW w:w="1474" w:type="pct"/>
                  <w:vMerge w:val="continue"/>
                  <w:noWrap w:val="0"/>
                  <w:vAlign w:val="center"/>
                </w:tcPr>
                <w:p w14:paraId="3E6070AC">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65809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801" w:type="pct"/>
                  <w:vMerge w:val="restart"/>
                  <w:noWrap w:val="0"/>
                  <w:vAlign w:val="center"/>
                </w:tcPr>
                <w:p w14:paraId="0945C103">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TSP</w:t>
                  </w:r>
                </w:p>
              </w:tc>
              <w:tc>
                <w:tcPr>
                  <w:tcW w:w="1241" w:type="pct"/>
                  <w:noWrap w:val="0"/>
                  <w:vAlign w:val="center"/>
                </w:tcPr>
                <w:p w14:paraId="38C4BFD5">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年平均</w:t>
                  </w:r>
                </w:p>
              </w:tc>
              <w:tc>
                <w:tcPr>
                  <w:tcW w:w="1483" w:type="pct"/>
                  <w:noWrap w:val="0"/>
                  <w:vAlign w:val="center"/>
                </w:tcPr>
                <w:p w14:paraId="328AFE44">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eastAsia="宋体" w:cs="Times New Roman"/>
                      <w:bCs/>
                      <w:color w:val="000000" w:themeColor="text1"/>
                      <w:sz w:val="21"/>
                      <w:szCs w:val="21"/>
                      <w:lang w:val="en-US" w:eastAsia="zh-CN"/>
                      <w14:textFill>
                        <w14:solidFill>
                          <w14:schemeClr w14:val="tx1"/>
                        </w14:solidFill>
                      </w14:textFill>
                    </w:rPr>
                    <w:t>200</w:t>
                  </w:r>
                </w:p>
              </w:tc>
              <w:tc>
                <w:tcPr>
                  <w:tcW w:w="1474" w:type="pct"/>
                  <w:vMerge w:val="restart"/>
                  <w:noWrap w:val="0"/>
                  <w:vAlign w:val="center"/>
                </w:tcPr>
                <w:p w14:paraId="460822C2">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《环境空气质量标准》（GB3095</w:t>
                  </w:r>
                  <w:r>
                    <w:rPr>
                      <w:rFonts w:hint="eastAsia" w:ascii="Times New Roman" w:eastAsia="宋体" w:cs="Times New Roman"/>
                      <w:bCs/>
                      <w:color w:val="000000" w:themeColor="text1"/>
                      <w:sz w:val="21"/>
                      <w:szCs w:val="21"/>
                      <w:lang w:eastAsia="zh-CN"/>
                      <w14:textFill>
                        <w14:solidFill>
                          <w14:schemeClr w14:val="tx1"/>
                        </w14:solidFill>
                      </w14:textFill>
                    </w:rPr>
                    <w:t>-2026</w:t>
                  </w:r>
                  <w:r>
                    <w:rPr>
                      <w:rFonts w:hint="default" w:ascii="Times New Roman" w:hAnsi="Times New Roman" w:eastAsia="宋体" w:cs="Times New Roman"/>
                      <w:bCs/>
                      <w:color w:val="000000" w:themeColor="text1"/>
                      <w:sz w:val="21"/>
                      <w:szCs w:val="21"/>
                      <w14:textFill>
                        <w14:solidFill>
                          <w14:schemeClr w14:val="tx1"/>
                        </w14:solidFill>
                      </w14:textFill>
                    </w:rPr>
                    <w:t>）</w:t>
                  </w:r>
                  <w:r>
                    <w:rPr>
                      <w:rFonts w:hint="eastAsia" w:ascii="Times New Roman" w:eastAsia="宋体" w:cs="Times New Roman"/>
                      <w:bCs/>
                      <w:color w:val="000000" w:themeColor="text1"/>
                      <w:sz w:val="21"/>
                      <w:szCs w:val="21"/>
                      <w:lang w:val="en-US" w:eastAsia="zh-CN"/>
                      <w14:textFill>
                        <w14:solidFill>
                          <w14:schemeClr w14:val="tx1"/>
                        </w14:solidFill>
                      </w14:textFill>
                    </w:rPr>
                    <w:t>表2二级标准</w:t>
                  </w:r>
                </w:p>
              </w:tc>
            </w:tr>
            <w:tr w14:paraId="0F345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1" w:type="pct"/>
                  <w:vMerge w:val="continue"/>
                  <w:noWrap w:val="0"/>
                  <w:vAlign w:val="center"/>
                </w:tcPr>
                <w:p w14:paraId="156F702B">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1241" w:type="pct"/>
                  <w:noWrap w:val="0"/>
                  <w:vAlign w:val="center"/>
                </w:tcPr>
                <w:p w14:paraId="3D19A17D">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日</w:t>
                  </w:r>
                  <w:r>
                    <w:rPr>
                      <w:rFonts w:hint="default" w:ascii="Times New Roman" w:hAnsi="Times New Roman" w:eastAsia="宋体" w:cs="Times New Roman"/>
                      <w:bCs/>
                      <w:color w:val="000000" w:themeColor="text1"/>
                      <w:sz w:val="21"/>
                      <w:szCs w:val="21"/>
                      <w14:textFill>
                        <w14:solidFill>
                          <w14:schemeClr w14:val="tx1"/>
                        </w14:solidFill>
                      </w14:textFill>
                    </w:rPr>
                    <w:t>平均</w:t>
                  </w:r>
                </w:p>
              </w:tc>
              <w:tc>
                <w:tcPr>
                  <w:tcW w:w="1483" w:type="pct"/>
                  <w:noWrap w:val="0"/>
                  <w:vAlign w:val="center"/>
                </w:tcPr>
                <w:p w14:paraId="1887868C">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eastAsia="宋体" w:cs="Times New Roman"/>
                      <w:bCs/>
                      <w:color w:val="000000" w:themeColor="text1"/>
                      <w:sz w:val="21"/>
                      <w:szCs w:val="21"/>
                      <w:lang w:val="en-US" w:eastAsia="zh-CN"/>
                      <w14:textFill>
                        <w14:solidFill>
                          <w14:schemeClr w14:val="tx1"/>
                        </w14:solidFill>
                      </w14:textFill>
                    </w:rPr>
                    <w:t>300</w:t>
                  </w:r>
                </w:p>
              </w:tc>
              <w:tc>
                <w:tcPr>
                  <w:tcW w:w="1474" w:type="pct"/>
                  <w:vMerge w:val="continue"/>
                  <w:noWrap w:val="0"/>
                  <w:vAlign w:val="center"/>
                </w:tcPr>
                <w:p w14:paraId="4D525DC5">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76E0E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1" w:type="pct"/>
                  <w:vMerge w:val="restart"/>
                  <w:noWrap w:val="0"/>
                  <w:vAlign w:val="center"/>
                </w:tcPr>
                <w:p w14:paraId="0F601445">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eastAsia="宋体" w:cs="Times New Roman"/>
                      <w:bCs/>
                      <w:color w:val="000000" w:themeColor="text1"/>
                      <w:sz w:val="21"/>
                      <w:szCs w:val="21"/>
                      <w:lang w:val="en-US" w:eastAsia="zh-CN"/>
                      <w14:textFill>
                        <w14:solidFill>
                          <w14:schemeClr w14:val="tx1"/>
                        </w14:solidFill>
                      </w14:textFill>
                    </w:rPr>
                    <w:t>NOx</w:t>
                  </w:r>
                </w:p>
              </w:tc>
              <w:tc>
                <w:tcPr>
                  <w:tcW w:w="1241" w:type="pct"/>
                  <w:noWrap w:val="0"/>
                  <w:vAlign w:val="center"/>
                </w:tcPr>
                <w:p w14:paraId="17E8BBD8">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eastAsia="宋体" w:cs="Times New Roman"/>
                      <w:bCs/>
                      <w:color w:val="000000" w:themeColor="text1"/>
                      <w:sz w:val="21"/>
                      <w:szCs w:val="21"/>
                      <w:lang w:eastAsia="zh-CN"/>
                      <w14:textFill>
                        <w14:solidFill>
                          <w14:schemeClr w14:val="tx1"/>
                        </w14:solidFill>
                      </w14:textFill>
                    </w:rPr>
                    <w:t>年平均</w:t>
                  </w:r>
                </w:p>
              </w:tc>
              <w:tc>
                <w:tcPr>
                  <w:tcW w:w="1483" w:type="pct"/>
                  <w:noWrap w:val="0"/>
                  <w:vAlign w:val="center"/>
                </w:tcPr>
                <w:p w14:paraId="4FDFE890">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eastAsia="宋体" w:cs="Times New Roman"/>
                      <w:bCs/>
                      <w:color w:val="000000" w:themeColor="text1"/>
                      <w:sz w:val="21"/>
                      <w:szCs w:val="21"/>
                      <w:lang w:val="en-US" w:eastAsia="zh-CN"/>
                      <w14:textFill>
                        <w14:solidFill>
                          <w14:schemeClr w14:val="tx1"/>
                        </w14:solidFill>
                      </w14:textFill>
                    </w:rPr>
                    <w:t>50</w:t>
                  </w:r>
                </w:p>
              </w:tc>
              <w:tc>
                <w:tcPr>
                  <w:tcW w:w="1474" w:type="pct"/>
                  <w:vMerge w:val="continue"/>
                  <w:noWrap w:val="0"/>
                  <w:vAlign w:val="center"/>
                </w:tcPr>
                <w:p w14:paraId="5EB34BC8">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4D158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1" w:type="pct"/>
                  <w:vMerge w:val="continue"/>
                  <w:noWrap w:val="0"/>
                  <w:vAlign w:val="center"/>
                </w:tcPr>
                <w:p w14:paraId="28EFF854">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1241" w:type="pct"/>
                  <w:noWrap w:val="0"/>
                  <w:vAlign w:val="center"/>
                </w:tcPr>
                <w:p w14:paraId="57632140">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eastAsia="宋体" w:cs="Times New Roman"/>
                      <w:bCs/>
                      <w:color w:val="000000" w:themeColor="text1"/>
                      <w:sz w:val="21"/>
                      <w:szCs w:val="21"/>
                      <w:lang w:eastAsia="zh-CN"/>
                      <w14:textFill>
                        <w14:solidFill>
                          <w14:schemeClr w14:val="tx1"/>
                        </w14:solidFill>
                      </w14:textFill>
                    </w:rPr>
                    <w:t>日平均</w:t>
                  </w:r>
                </w:p>
              </w:tc>
              <w:tc>
                <w:tcPr>
                  <w:tcW w:w="1483" w:type="pct"/>
                  <w:noWrap w:val="0"/>
                  <w:vAlign w:val="center"/>
                </w:tcPr>
                <w:p w14:paraId="45C6AD89">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eastAsia="宋体" w:cs="Times New Roman"/>
                      <w:bCs/>
                      <w:color w:val="000000" w:themeColor="text1"/>
                      <w:sz w:val="21"/>
                      <w:szCs w:val="21"/>
                      <w:lang w:val="en-US" w:eastAsia="zh-CN"/>
                      <w14:textFill>
                        <w14:solidFill>
                          <w14:schemeClr w14:val="tx1"/>
                        </w14:solidFill>
                      </w14:textFill>
                    </w:rPr>
                    <w:t>100</w:t>
                  </w:r>
                </w:p>
              </w:tc>
              <w:tc>
                <w:tcPr>
                  <w:tcW w:w="1474" w:type="pct"/>
                  <w:vMerge w:val="continue"/>
                  <w:noWrap w:val="0"/>
                  <w:vAlign w:val="center"/>
                </w:tcPr>
                <w:p w14:paraId="2BCE7E42">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220CC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1" w:type="pct"/>
                  <w:vMerge w:val="continue"/>
                  <w:noWrap w:val="0"/>
                  <w:vAlign w:val="center"/>
                </w:tcPr>
                <w:p w14:paraId="293E4CA5">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1241" w:type="pct"/>
                  <w:noWrap w:val="0"/>
                  <w:vAlign w:val="center"/>
                </w:tcPr>
                <w:p w14:paraId="0D1187AA">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eastAsia="宋体" w:cs="Times New Roman"/>
                      <w:bCs/>
                      <w:color w:val="000000" w:themeColor="text1"/>
                      <w:sz w:val="21"/>
                      <w:szCs w:val="21"/>
                      <w:lang w:val="en-US" w:eastAsia="zh-CN"/>
                      <w14:textFill>
                        <w14:solidFill>
                          <w14:schemeClr w14:val="tx1"/>
                        </w14:solidFill>
                      </w14:textFill>
                    </w:rPr>
                    <w:t>1小时平均</w:t>
                  </w:r>
                </w:p>
              </w:tc>
              <w:tc>
                <w:tcPr>
                  <w:tcW w:w="1483" w:type="pct"/>
                  <w:noWrap w:val="0"/>
                  <w:vAlign w:val="center"/>
                </w:tcPr>
                <w:p w14:paraId="3042A00C">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eastAsia="宋体" w:cs="Times New Roman"/>
                      <w:bCs/>
                      <w:color w:val="000000" w:themeColor="text1"/>
                      <w:sz w:val="21"/>
                      <w:szCs w:val="21"/>
                      <w:lang w:val="en-US" w:eastAsia="zh-CN"/>
                      <w14:textFill>
                        <w14:solidFill>
                          <w14:schemeClr w14:val="tx1"/>
                        </w14:solidFill>
                      </w14:textFill>
                    </w:rPr>
                    <w:t>250</w:t>
                  </w:r>
                </w:p>
              </w:tc>
              <w:tc>
                <w:tcPr>
                  <w:tcW w:w="1474" w:type="pct"/>
                  <w:vMerge w:val="continue"/>
                  <w:noWrap w:val="0"/>
                  <w:vAlign w:val="center"/>
                </w:tcPr>
                <w:p w14:paraId="5B510D34">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76A22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1" w:type="pct"/>
                  <w:noWrap w:val="0"/>
                  <w:vAlign w:val="center"/>
                </w:tcPr>
                <w:p w14:paraId="19BC69DF">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非甲烷总烃</w:t>
                  </w:r>
                </w:p>
              </w:tc>
              <w:tc>
                <w:tcPr>
                  <w:tcW w:w="1241" w:type="pct"/>
                  <w:noWrap w:val="0"/>
                  <w:vAlign w:val="center"/>
                </w:tcPr>
                <w:p w14:paraId="65FD2C9C">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eastAsia="宋体" w:cs="Times New Roman"/>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小时平均</w:t>
                  </w:r>
                </w:p>
              </w:tc>
              <w:tc>
                <w:tcPr>
                  <w:tcW w:w="1483" w:type="pct"/>
                  <w:noWrap w:val="0"/>
                  <w:vAlign w:val="center"/>
                </w:tcPr>
                <w:p w14:paraId="0AF9AF9D">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2mg/m</w:t>
                  </w:r>
                  <w:r>
                    <w:rPr>
                      <w:rFonts w:hint="default"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3</w:t>
                  </w:r>
                </w:p>
              </w:tc>
              <w:tc>
                <w:tcPr>
                  <w:tcW w:w="1474" w:type="pct"/>
                  <w:noWrap w:val="0"/>
                  <w:vAlign w:val="center"/>
                </w:tcPr>
                <w:p w14:paraId="73AA948E">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《大气污染物综合排放标准详解》P244</w:t>
                  </w:r>
                  <w:r>
                    <w:rPr>
                      <w:rFonts w:hint="eastAsia" w:ascii="Times New Roman" w:eastAsia="宋体" w:cs="Times New Roman"/>
                      <w:bCs/>
                      <w:color w:val="000000" w:themeColor="text1"/>
                      <w:sz w:val="21"/>
                      <w:szCs w:val="21"/>
                      <w:lang w:val="en-US" w:eastAsia="zh-CN"/>
                      <w14:textFill>
                        <w14:solidFill>
                          <w14:schemeClr w14:val="tx1"/>
                        </w14:solidFill>
                      </w14:textFill>
                    </w:rPr>
                    <w:t>中以色列标准</w:t>
                  </w:r>
                </w:p>
              </w:tc>
            </w:tr>
            <w:tr w14:paraId="4E44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1" w:type="pct"/>
                  <w:noWrap w:val="0"/>
                  <w:vAlign w:val="center"/>
                </w:tcPr>
                <w:p w14:paraId="62C34EB0">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eastAsia="宋体" w:cs="Times New Roman"/>
                      <w:bCs/>
                      <w:color w:val="000000" w:themeColor="text1"/>
                      <w:sz w:val="21"/>
                      <w:szCs w:val="21"/>
                      <w:lang w:val="en-US" w:eastAsia="zh-CN"/>
                      <w14:textFill>
                        <w14:solidFill>
                          <w14:schemeClr w14:val="tx1"/>
                        </w14:solidFill>
                      </w14:textFill>
                    </w:rPr>
                    <w:t>TVOC</w:t>
                  </w:r>
                </w:p>
              </w:tc>
              <w:tc>
                <w:tcPr>
                  <w:tcW w:w="1241" w:type="pct"/>
                  <w:noWrap w:val="0"/>
                  <w:vAlign w:val="center"/>
                </w:tcPr>
                <w:p w14:paraId="57B13617">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eastAsia="宋体" w:cs="Times New Roman"/>
                      <w:bCs/>
                      <w:color w:val="000000" w:themeColor="text1"/>
                      <w:sz w:val="21"/>
                      <w:szCs w:val="21"/>
                      <w:lang w:val="en-US" w:eastAsia="zh-CN"/>
                      <w14:textFill>
                        <w14:solidFill>
                          <w14:schemeClr w14:val="tx1"/>
                        </w14:solidFill>
                      </w14:textFill>
                    </w:rPr>
                    <w:t>8小时平均</w:t>
                  </w:r>
                </w:p>
              </w:tc>
              <w:tc>
                <w:tcPr>
                  <w:tcW w:w="1483" w:type="pct"/>
                  <w:noWrap w:val="0"/>
                  <w:vAlign w:val="center"/>
                </w:tcPr>
                <w:p w14:paraId="14984332">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eastAsia="宋体" w:cs="Times New Roman"/>
                      <w:bCs/>
                      <w:color w:val="000000" w:themeColor="text1"/>
                      <w:sz w:val="21"/>
                      <w:szCs w:val="21"/>
                      <w:lang w:val="en-US" w:eastAsia="zh-CN"/>
                      <w14:textFill>
                        <w14:solidFill>
                          <w14:schemeClr w14:val="tx1"/>
                        </w14:solidFill>
                      </w14:textFill>
                    </w:rPr>
                    <w:t>600</w:t>
                  </w:r>
                </w:p>
              </w:tc>
              <w:tc>
                <w:tcPr>
                  <w:tcW w:w="1474" w:type="pct"/>
                  <w:noWrap w:val="0"/>
                  <w:vAlign w:val="center"/>
                </w:tcPr>
                <w:p w14:paraId="2A1207F7">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《环境影响评价技术导则 大气环境》（</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 xml:space="preserve">HJ </w:t>
                  </w:r>
                </w:p>
                <w:p w14:paraId="25AC839B">
                  <w:pPr>
                    <w:pStyle w:val="101"/>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2.2-2018</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r>
                    <w:rPr>
                      <w:rFonts w:hint="eastAsia" w:ascii="Times New Roman" w:eastAsia="宋体" w:cs="Times New Roman"/>
                      <w:bCs/>
                      <w:color w:val="000000" w:themeColor="text1"/>
                      <w:sz w:val="21"/>
                      <w:szCs w:val="21"/>
                      <w:lang w:val="en-US" w:eastAsia="zh-CN"/>
                      <w14:textFill>
                        <w14:solidFill>
                          <w14:schemeClr w14:val="tx1"/>
                        </w14:solidFill>
                      </w14:textFill>
                    </w:rPr>
                    <w:t>附录D</w:t>
                  </w:r>
                </w:p>
              </w:tc>
            </w:tr>
          </w:tbl>
          <w:p w14:paraId="7708E197">
            <w:pPr>
              <w:pageBreakBefore w:val="0"/>
              <w:kinsoku/>
              <w:overflowPunct/>
              <w:topLinePunct w:val="0"/>
              <w:bidi w:val="0"/>
              <w:spacing w:line="360" w:lineRule="auto"/>
              <w:ind w:left="0" w:leftChars="0" w:right="0"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（2）区域达标判断</w:t>
            </w:r>
          </w:p>
          <w:p w14:paraId="37926E49">
            <w:pPr>
              <w:keepNext w:val="0"/>
              <w:keepLines w:val="0"/>
              <w:pageBreakBefore w:val="0"/>
              <w:widowControl w:val="0"/>
              <w:kinsoku/>
              <w:wordWrap w:val="0"/>
              <w:overflowPunct/>
              <w:topLinePunct w:val="0"/>
              <w:autoSpaceDE/>
              <w:autoSpaceDN/>
              <w:bidi w:val="0"/>
              <w:adjustRightInd/>
              <w:snapToGrid/>
              <w:spacing w:line="360" w:lineRule="auto"/>
              <w:ind w:left="0" w:leftChars="0" w:right="0" w:firstLine="480" w:firstLineChars="200"/>
              <w:textAlignment w:val="auto"/>
              <w:rPr>
                <w:rFonts w:hint="eastAsia"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本项目位于峨山县双江街道办事处峨山县文邦包装制品有限公司内，属于</w:t>
            </w:r>
            <w:r>
              <w:rPr>
                <w:rFonts w:hint="eastAsia" w:cs="Times New Roman"/>
                <w:color w:val="000000" w:themeColor="text1"/>
                <w:sz w:val="24"/>
                <w:szCs w:val="24"/>
                <w:lang w:val="en-US" w:eastAsia="zh-CN"/>
                <w14:textFill>
                  <w14:solidFill>
                    <w14:schemeClr w14:val="tx1"/>
                  </w14:solidFill>
                </w14:textFill>
              </w:rPr>
              <w:t>云南红塔产业园区研和片区双小地块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根据玉溪市生态环境局发布《玉溪市生态环境状况公报（202</w:t>
            </w:r>
            <w:r>
              <w:rPr>
                <w:rFonts w:hint="eastAsia" w:cs="Times New Roman"/>
                <w:color w:val="000000" w:themeColor="text1"/>
                <w:sz w:val="24"/>
                <w:lang w:val="en-US" w:eastAsia="zh-CN"/>
                <w14:textFill>
                  <w14:solidFill>
                    <w14:schemeClr w14:val="tx1"/>
                  </w14:solidFill>
                </w14:textFill>
              </w:rPr>
              <w:t>4</w:t>
            </w:r>
            <w:r>
              <w:rPr>
                <w:rFonts w:hint="eastAsia" w:cs="Times New Roman"/>
                <w:color w:val="000000" w:themeColor="text1"/>
                <w:sz w:val="24"/>
                <w:lang w:eastAsia="zh-CN"/>
                <w14:textFill>
                  <w14:solidFill>
                    <w14:schemeClr w14:val="tx1"/>
                  </w14:solidFill>
                </w14:textFill>
              </w:rPr>
              <w:t>年度）》，</w:t>
            </w:r>
            <w:r>
              <w:rPr>
                <w:rFonts w:hint="eastAsia" w:cs="Times New Roman"/>
                <w:color w:val="000000" w:themeColor="text1"/>
                <w:sz w:val="24"/>
                <w:lang w:val="en-US" w:eastAsia="zh-CN"/>
                <w14:textFill>
                  <w14:solidFill>
                    <w14:schemeClr w14:val="tx1"/>
                  </w14:solidFill>
                </w14:textFill>
              </w:rPr>
              <w:t>2024年峨山县空气质量优良天数比率为99.4%。</w:t>
            </w:r>
          </w:p>
          <w:p w14:paraId="0E833372">
            <w:pPr>
              <w:keepNext w:val="0"/>
              <w:keepLines w:val="0"/>
              <w:pageBreakBefore w:val="0"/>
              <w:widowControl w:val="0"/>
              <w:kinsoku/>
              <w:wordWrap w:val="0"/>
              <w:overflowPunct/>
              <w:topLinePunct w:val="0"/>
              <w:autoSpaceDE/>
              <w:autoSpaceDN/>
              <w:bidi w:val="0"/>
              <w:adjustRightInd/>
              <w:snapToGrid/>
              <w:spacing w:line="360" w:lineRule="auto"/>
              <w:ind w:left="0" w:leftChars="0" w:right="0"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本报告采用玉溪市生态环境局峨山分局202</w:t>
            </w:r>
            <w:r>
              <w:rPr>
                <w:rFonts w:hint="eastAsia" w:ascii="Times New Roman" w:hAnsi="Times New Roman" w:cs="Times New Roman"/>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highlight w:val="none"/>
                <w14:textFill>
                  <w14:solidFill>
                    <w14:schemeClr w14:val="tx1"/>
                  </w14:solidFill>
                </w14:textFill>
              </w:rPr>
              <w:t>年连续发布的《峨山县城区环境空气质量日报》的自动监测数据。峨山县环境空气质量自动监测点位于峨山县政府，</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该点位位于本项目西南侧约3.6km处。环境质量现状监测结果见下表：</w:t>
            </w:r>
          </w:p>
          <w:p w14:paraId="030988E0">
            <w:pPr>
              <w:keepNext w:val="0"/>
              <w:keepLines w:val="0"/>
              <w:pageBreakBefore w:val="0"/>
              <w:widowControl w:val="0"/>
              <w:kinsoku/>
              <w:wordWrap w:val="0"/>
              <w:overflowPunct/>
              <w:topLinePunct w:val="0"/>
              <w:autoSpaceDE/>
              <w:autoSpaceDN/>
              <w:bidi w:val="0"/>
              <w:adjustRightInd/>
              <w:snapToGrid/>
              <w:spacing w:line="240" w:lineRule="auto"/>
              <w:ind w:right="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表3-2 峨山县环境空气质量监测结果一览表</w:t>
            </w:r>
          </w:p>
          <w:tbl>
            <w:tblPr>
              <w:tblStyle w:val="33"/>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47"/>
              <w:gridCol w:w="2748"/>
              <w:gridCol w:w="1235"/>
              <w:gridCol w:w="1235"/>
              <w:gridCol w:w="1180"/>
              <w:gridCol w:w="1013"/>
            </w:tblGrid>
            <w:tr w14:paraId="09E083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0" w:hRule="atLeast"/>
                <w:jc w:val="center"/>
              </w:trPr>
              <w:tc>
                <w:tcPr>
                  <w:tcW w:w="619" w:type="pct"/>
                  <w:noWrap w:val="0"/>
                  <w:vAlign w:val="center"/>
                </w:tcPr>
                <w:p w14:paraId="2FFD076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污染物</w:t>
                  </w:r>
                </w:p>
              </w:tc>
              <w:tc>
                <w:tcPr>
                  <w:tcW w:w="1624" w:type="pct"/>
                  <w:noWrap w:val="0"/>
                  <w:vAlign w:val="center"/>
                </w:tcPr>
                <w:p w14:paraId="228689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年评价指标</w:t>
                  </w:r>
                </w:p>
              </w:tc>
              <w:tc>
                <w:tcPr>
                  <w:tcW w:w="730" w:type="pct"/>
                  <w:noWrap w:val="0"/>
                  <w:vAlign w:val="center"/>
                </w:tcPr>
                <w:p w14:paraId="59196DC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现状浓度（</w:t>
                  </w:r>
                  <w:r>
                    <w:rPr>
                      <w:rFonts w:hint="default" w:ascii="Times New Roman" w:hAnsi="Times New Roman" w:eastAsia="宋体" w:cs="Times New Roman"/>
                      <w:color w:val="000000" w:themeColor="text1"/>
                      <w:sz w:val="21"/>
                      <w:szCs w:val="21"/>
                      <w14:textFill>
                        <w14:solidFill>
                          <w14:schemeClr w14:val="tx1"/>
                        </w14:solidFill>
                      </w14:textFill>
                    </w:rPr>
                    <w:t>μg/m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730" w:type="pct"/>
                  <w:noWrap w:val="0"/>
                  <w:vAlign w:val="center"/>
                </w:tcPr>
                <w:p w14:paraId="3930DFC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标准值</w:t>
                  </w:r>
                </w:p>
                <w:p w14:paraId="45A6E73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μg/m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697" w:type="pct"/>
                  <w:noWrap w:val="0"/>
                  <w:vAlign w:val="center"/>
                </w:tcPr>
                <w:p w14:paraId="6C124B2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占标率/%</w:t>
                  </w:r>
                </w:p>
              </w:tc>
              <w:tc>
                <w:tcPr>
                  <w:tcW w:w="598" w:type="pct"/>
                  <w:noWrap w:val="0"/>
                  <w:vAlign w:val="center"/>
                </w:tcPr>
                <w:p w14:paraId="4162BA9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评价结果</w:t>
                  </w:r>
                </w:p>
              </w:tc>
            </w:tr>
            <w:tr w14:paraId="4840D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19" w:type="pct"/>
                  <w:vMerge w:val="restart"/>
                  <w:noWrap w:val="0"/>
                  <w:vAlign w:val="center"/>
                </w:tcPr>
                <w:p w14:paraId="1377D8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SO</w:t>
                  </w:r>
                  <w:r>
                    <w:rPr>
                      <w:rFonts w:hint="default" w:ascii="Times New Roman" w:hAnsi="Times New Roman" w:eastAsia="宋体" w:cs="Times New Roman"/>
                      <w:bCs/>
                      <w:color w:val="000000" w:themeColor="text1"/>
                      <w:sz w:val="21"/>
                      <w:szCs w:val="21"/>
                      <w:vertAlign w:val="subscript"/>
                      <w:lang w:val="en-US" w:eastAsia="zh-CN"/>
                      <w14:textFill>
                        <w14:solidFill>
                          <w14:schemeClr w14:val="tx1"/>
                        </w14:solidFill>
                      </w14:textFill>
                    </w:rPr>
                    <w:t>2</w:t>
                  </w:r>
                </w:p>
              </w:tc>
              <w:tc>
                <w:tcPr>
                  <w:tcW w:w="1624" w:type="pct"/>
                  <w:noWrap w:val="0"/>
                  <w:vAlign w:val="center"/>
                </w:tcPr>
                <w:p w14:paraId="7C03CD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年平均质量浓度</w:t>
                  </w:r>
                </w:p>
              </w:tc>
              <w:tc>
                <w:tcPr>
                  <w:tcW w:w="1145" w:type="dxa"/>
                  <w:noWrap w:val="0"/>
                  <w:vAlign w:val="center"/>
                </w:tcPr>
                <w:p w14:paraId="35AA44D3">
                  <w:pPr>
                    <w:pStyle w:val="9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6.89</w:t>
                  </w:r>
                </w:p>
              </w:tc>
              <w:tc>
                <w:tcPr>
                  <w:tcW w:w="730" w:type="pct"/>
                  <w:noWrap w:val="0"/>
                  <w:vAlign w:val="center"/>
                </w:tcPr>
                <w:p w14:paraId="21C242D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60</w:t>
                  </w:r>
                </w:p>
              </w:tc>
              <w:tc>
                <w:tcPr>
                  <w:tcW w:w="1093" w:type="dxa"/>
                  <w:noWrap w:val="0"/>
                  <w:vAlign w:val="center"/>
                </w:tcPr>
                <w:p w14:paraId="72935082">
                  <w:pPr>
                    <w:pStyle w:val="9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11.4833</w:t>
                  </w:r>
                </w:p>
              </w:tc>
              <w:tc>
                <w:tcPr>
                  <w:tcW w:w="598" w:type="pct"/>
                  <w:noWrap w:val="0"/>
                  <w:vAlign w:val="center"/>
                </w:tcPr>
                <w:p w14:paraId="0AC410C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达标</w:t>
                  </w:r>
                </w:p>
              </w:tc>
            </w:tr>
            <w:tr w14:paraId="61903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19" w:type="pct"/>
                  <w:vMerge w:val="continue"/>
                  <w:noWrap w:val="0"/>
                  <w:vAlign w:val="center"/>
                </w:tcPr>
                <w:p w14:paraId="73A2452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1624" w:type="pct"/>
                  <w:noWrap w:val="0"/>
                  <w:vAlign w:val="center"/>
                </w:tcPr>
                <w:p w14:paraId="4465129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24h平均第98百分位数</w:t>
                  </w:r>
                </w:p>
              </w:tc>
              <w:tc>
                <w:tcPr>
                  <w:tcW w:w="1145" w:type="dxa"/>
                  <w:noWrap w:val="0"/>
                  <w:vAlign w:val="center"/>
                </w:tcPr>
                <w:p w14:paraId="2F3A52A7">
                  <w:pPr>
                    <w:pStyle w:val="9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w:t>
                  </w:r>
                </w:p>
              </w:tc>
              <w:tc>
                <w:tcPr>
                  <w:tcW w:w="730" w:type="pct"/>
                  <w:noWrap w:val="0"/>
                  <w:vAlign w:val="center"/>
                </w:tcPr>
                <w:p w14:paraId="7E93E40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150</w:t>
                  </w:r>
                </w:p>
              </w:tc>
              <w:tc>
                <w:tcPr>
                  <w:tcW w:w="1093" w:type="dxa"/>
                  <w:noWrap w:val="0"/>
                  <w:vAlign w:val="center"/>
                </w:tcPr>
                <w:p w14:paraId="3DE7C0D4">
                  <w:pPr>
                    <w:pStyle w:val="9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6.6667</w:t>
                  </w:r>
                </w:p>
              </w:tc>
              <w:tc>
                <w:tcPr>
                  <w:tcW w:w="598" w:type="pct"/>
                  <w:noWrap w:val="0"/>
                  <w:vAlign w:val="center"/>
                </w:tcPr>
                <w:p w14:paraId="2959427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达标</w:t>
                  </w:r>
                </w:p>
              </w:tc>
            </w:tr>
            <w:tr w14:paraId="63A6B8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19" w:type="pct"/>
                  <w:vMerge w:val="restart"/>
                  <w:noWrap w:val="0"/>
                  <w:vAlign w:val="center"/>
                </w:tcPr>
                <w:p w14:paraId="09858D1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NO</w:t>
                  </w:r>
                  <w:r>
                    <w:rPr>
                      <w:rFonts w:hint="default" w:ascii="Times New Roman" w:hAnsi="Times New Roman" w:eastAsia="宋体" w:cs="Times New Roman"/>
                      <w:bCs/>
                      <w:color w:val="000000" w:themeColor="text1"/>
                      <w:sz w:val="21"/>
                      <w:szCs w:val="21"/>
                      <w:vertAlign w:val="subscript"/>
                      <w:lang w:val="en-US" w:eastAsia="zh-CN"/>
                      <w14:textFill>
                        <w14:solidFill>
                          <w14:schemeClr w14:val="tx1"/>
                        </w14:solidFill>
                      </w14:textFill>
                    </w:rPr>
                    <w:t>2</w:t>
                  </w:r>
                </w:p>
              </w:tc>
              <w:tc>
                <w:tcPr>
                  <w:tcW w:w="1624" w:type="pct"/>
                  <w:noWrap w:val="0"/>
                  <w:vAlign w:val="center"/>
                </w:tcPr>
                <w:p w14:paraId="339AA7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年平均质量浓度</w:t>
                  </w:r>
                </w:p>
              </w:tc>
              <w:tc>
                <w:tcPr>
                  <w:tcW w:w="1145" w:type="dxa"/>
                  <w:noWrap w:val="0"/>
                  <w:vAlign w:val="center"/>
                </w:tcPr>
                <w:p w14:paraId="09AB7DE4">
                  <w:pPr>
                    <w:pStyle w:val="9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19.35</w:t>
                  </w:r>
                </w:p>
              </w:tc>
              <w:tc>
                <w:tcPr>
                  <w:tcW w:w="730" w:type="pct"/>
                  <w:noWrap w:val="0"/>
                  <w:vAlign w:val="center"/>
                </w:tcPr>
                <w:p w14:paraId="56B06B3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40</w:t>
                  </w:r>
                </w:p>
              </w:tc>
              <w:tc>
                <w:tcPr>
                  <w:tcW w:w="1093" w:type="dxa"/>
                  <w:noWrap w:val="0"/>
                  <w:vAlign w:val="center"/>
                </w:tcPr>
                <w:p w14:paraId="56AA54EE">
                  <w:pPr>
                    <w:pStyle w:val="9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48.375</w:t>
                  </w:r>
                </w:p>
              </w:tc>
              <w:tc>
                <w:tcPr>
                  <w:tcW w:w="598" w:type="pct"/>
                  <w:noWrap w:val="0"/>
                  <w:vAlign w:val="center"/>
                </w:tcPr>
                <w:p w14:paraId="0D535E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达标</w:t>
                  </w:r>
                </w:p>
              </w:tc>
            </w:tr>
            <w:tr w14:paraId="3E2F2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19" w:type="pct"/>
                  <w:vMerge w:val="continue"/>
                  <w:noWrap w:val="0"/>
                  <w:vAlign w:val="center"/>
                </w:tcPr>
                <w:p w14:paraId="10BC0FF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1624" w:type="pct"/>
                  <w:noWrap w:val="0"/>
                  <w:vAlign w:val="center"/>
                </w:tcPr>
                <w:p w14:paraId="20C1733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24h平均第98百分位数</w:t>
                  </w:r>
                </w:p>
              </w:tc>
              <w:tc>
                <w:tcPr>
                  <w:tcW w:w="1145" w:type="dxa"/>
                  <w:noWrap w:val="0"/>
                  <w:vAlign w:val="center"/>
                </w:tcPr>
                <w:p w14:paraId="0D0E9AFD">
                  <w:pPr>
                    <w:pStyle w:val="9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w:t>
                  </w:r>
                </w:p>
              </w:tc>
              <w:tc>
                <w:tcPr>
                  <w:tcW w:w="730" w:type="pct"/>
                  <w:noWrap w:val="0"/>
                  <w:vAlign w:val="center"/>
                </w:tcPr>
                <w:p w14:paraId="5470088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80</w:t>
                  </w:r>
                </w:p>
              </w:tc>
              <w:tc>
                <w:tcPr>
                  <w:tcW w:w="1093" w:type="dxa"/>
                  <w:noWrap w:val="0"/>
                  <w:vAlign w:val="center"/>
                </w:tcPr>
                <w:p w14:paraId="52C07484">
                  <w:pPr>
                    <w:pStyle w:val="9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52.5</w:t>
                  </w:r>
                </w:p>
              </w:tc>
              <w:tc>
                <w:tcPr>
                  <w:tcW w:w="598" w:type="pct"/>
                  <w:noWrap w:val="0"/>
                  <w:vAlign w:val="center"/>
                </w:tcPr>
                <w:p w14:paraId="06178F6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达标</w:t>
                  </w:r>
                </w:p>
              </w:tc>
            </w:tr>
            <w:tr w14:paraId="727A9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19" w:type="pct"/>
                  <w:vMerge w:val="restart"/>
                  <w:noWrap w:val="0"/>
                  <w:vAlign w:val="center"/>
                </w:tcPr>
                <w:p w14:paraId="72E64F7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PM</w:t>
                  </w:r>
                  <w:r>
                    <w:rPr>
                      <w:rFonts w:hint="default" w:ascii="Times New Roman" w:hAnsi="Times New Roman" w:eastAsia="宋体" w:cs="Times New Roman"/>
                      <w:bCs/>
                      <w:color w:val="000000" w:themeColor="text1"/>
                      <w:sz w:val="21"/>
                      <w:szCs w:val="21"/>
                      <w:vertAlign w:val="subscript"/>
                      <w:lang w:val="en-US" w:eastAsia="zh-CN"/>
                      <w14:textFill>
                        <w14:solidFill>
                          <w14:schemeClr w14:val="tx1"/>
                        </w14:solidFill>
                      </w14:textFill>
                    </w:rPr>
                    <w:t>10</w:t>
                  </w:r>
                </w:p>
              </w:tc>
              <w:tc>
                <w:tcPr>
                  <w:tcW w:w="1624" w:type="pct"/>
                  <w:noWrap w:val="0"/>
                  <w:vAlign w:val="center"/>
                </w:tcPr>
                <w:p w14:paraId="6277EF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年平均质量浓度</w:t>
                  </w:r>
                </w:p>
              </w:tc>
              <w:tc>
                <w:tcPr>
                  <w:tcW w:w="1145" w:type="dxa"/>
                  <w:noWrap w:val="0"/>
                  <w:vAlign w:val="center"/>
                </w:tcPr>
                <w:p w14:paraId="6DC3A911">
                  <w:pPr>
                    <w:pStyle w:val="9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29.73</w:t>
                  </w:r>
                </w:p>
              </w:tc>
              <w:tc>
                <w:tcPr>
                  <w:tcW w:w="1145" w:type="dxa"/>
                  <w:noWrap w:val="0"/>
                  <w:vAlign w:val="center"/>
                </w:tcPr>
                <w:p w14:paraId="4B4F4E81">
                  <w:pPr>
                    <w:pStyle w:val="9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1093" w:type="dxa"/>
                  <w:noWrap w:val="0"/>
                  <w:vAlign w:val="center"/>
                </w:tcPr>
                <w:p w14:paraId="3BDE9420">
                  <w:pPr>
                    <w:pStyle w:val="9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49.55</w:t>
                  </w:r>
                </w:p>
              </w:tc>
              <w:tc>
                <w:tcPr>
                  <w:tcW w:w="598" w:type="pct"/>
                  <w:noWrap w:val="0"/>
                  <w:vAlign w:val="center"/>
                </w:tcPr>
                <w:p w14:paraId="169BE51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达标</w:t>
                  </w:r>
                </w:p>
              </w:tc>
            </w:tr>
            <w:tr w14:paraId="20822F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19" w:type="pct"/>
                  <w:vMerge w:val="continue"/>
                  <w:noWrap w:val="0"/>
                  <w:vAlign w:val="center"/>
                </w:tcPr>
                <w:p w14:paraId="015A1DC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1624" w:type="pct"/>
                  <w:noWrap w:val="0"/>
                  <w:vAlign w:val="center"/>
                </w:tcPr>
                <w:p w14:paraId="075F1CD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24h平均第95百分位数</w:t>
                  </w:r>
                </w:p>
              </w:tc>
              <w:tc>
                <w:tcPr>
                  <w:tcW w:w="1145" w:type="dxa"/>
                  <w:noWrap w:val="0"/>
                  <w:vAlign w:val="center"/>
                </w:tcPr>
                <w:p w14:paraId="35544EE8">
                  <w:pPr>
                    <w:pStyle w:val="9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w:t>
                  </w:r>
                </w:p>
              </w:tc>
              <w:tc>
                <w:tcPr>
                  <w:tcW w:w="1145" w:type="dxa"/>
                  <w:noWrap w:val="0"/>
                  <w:vAlign w:val="center"/>
                </w:tcPr>
                <w:p w14:paraId="61F5DCC8">
                  <w:pPr>
                    <w:pStyle w:val="9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120</w:t>
                  </w:r>
                </w:p>
              </w:tc>
              <w:tc>
                <w:tcPr>
                  <w:tcW w:w="1093" w:type="dxa"/>
                  <w:noWrap w:val="0"/>
                  <w:vAlign w:val="center"/>
                </w:tcPr>
                <w:p w14:paraId="49814C4D">
                  <w:pPr>
                    <w:pStyle w:val="9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48.3333</w:t>
                  </w:r>
                </w:p>
              </w:tc>
              <w:tc>
                <w:tcPr>
                  <w:tcW w:w="598" w:type="pct"/>
                  <w:noWrap w:val="0"/>
                  <w:vAlign w:val="center"/>
                </w:tcPr>
                <w:p w14:paraId="52144CC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达标</w:t>
                  </w:r>
                </w:p>
              </w:tc>
            </w:tr>
            <w:tr w14:paraId="3A11A0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19" w:type="pct"/>
                  <w:vMerge w:val="restart"/>
                  <w:noWrap w:val="0"/>
                  <w:vAlign w:val="center"/>
                </w:tcPr>
                <w:p w14:paraId="008BEB4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PM</w:t>
                  </w:r>
                  <w:r>
                    <w:rPr>
                      <w:rFonts w:hint="default" w:ascii="Times New Roman" w:hAnsi="Times New Roman" w:eastAsia="宋体" w:cs="Times New Roman"/>
                      <w:bCs/>
                      <w:color w:val="000000" w:themeColor="text1"/>
                      <w:sz w:val="21"/>
                      <w:szCs w:val="21"/>
                      <w:vertAlign w:val="subscript"/>
                      <w:lang w:val="en-US" w:eastAsia="zh-CN"/>
                      <w14:textFill>
                        <w14:solidFill>
                          <w14:schemeClr w14:val="tx1"/>
                        </w14:solidFill>
                      </w14:textFill>
                    </w:rPr>
                    <w:t>2.5</w:t>
                  </w:r>
                </w:p>
              </w:tc>
              <w:tc>
                <w:tcPr>
                  <w:tcW w:w="1624" w:type="pct"/>
                  <w:noWrap w:val="0"/>
                  <w:vAlign w:val="center"/>
                </w:tcPr>
                <w:p w14:paraId="67C9BC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年平均质量浓度</w:t>
                  </w:r>
                </w:p>
              </w:tc>
              <w:tc>
                <w:tcPr>
                  <w:tcW w:w="1145" w:type="dxa"/>
                  <w:noWrap w:val="0"/>
                  <w:vAlign w:val="center"/>
                </w:tcPr>
                <w:p w14:paraId="1D35C01B">
                  <w:pPr>
                    <w:pStyle w:val="9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17.00</w:t>
                  </w:r>
                </w:p>
              </w:tc>
              <w:tc>
                <w:tcPr>
                  <w:tcW w:w="1145" w:type="dxa"/>
                  <w:noWrap w:val="0"/>
                  <w:vAlign w:val="center"/>
                </w:tcPr>
                <w:p w14:paraId="1E764856">
                  <w:pPr>
                    <w:pStyle w:val="9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w:t>
                  </w:r>
                </w:p>
              </w:tc>
              <w:tc>
                <w:tcPr>
                  <w:tcW w:w="1093" w:type="dxa"/>
                  <w:noWrap w:val="0"/>
                  <w:vAlign w:val="center"/>
                </w:tcPr>
                <w:p w14:paraId="49A1094D">
                  <w:pPr>
                    <w:pStyle w:val="9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56.6667</w:t>
                  </w:r>
                </w:p>
              </w:tc>
              <w:tc>
                <w:tcPr>
                  <w:tcW w:w="598" w:type="pct"/>
                  <w:noWrap w:val="0"/>
                  <w:vAlign w:val="center"/>
                </w:tcPr>
                <w:p w14:paraId="7FA9DDB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达标</w:t>
                  </w:r>
                </w:p>
              </w:tc>
            </w:tr>
            <w:tr w14:paraId="215EC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19" w:type="pct"/>
                  <w:vMerge w:val="continue"/>
                  <w:noWrap w:val="0"/>
                  <w:vAlign w:val="center"/>
                </w:tcPr>
                <w:p w14:paraId="104F424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1624" w:type="pct"/>
                  <w:noWrap w:val="0"/>
                  <w:vAlign w:val="center"/>
                </w:tcPr>
                <w:p w14:paraId="7FBF544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24h平均第95百分位数</w:t>
                  </w:r>
                </w:p>
              </w:tc>
              <w:tc>
                <w:tcPr>
                  <w:tcW w:w="1145" w:type="dxa"/>
                  <w:noWrap w:val="0"/>
                  <w:vAlign w:val="center"/>
                </w:tcPr>
                <w:p w14:paraId="4A9265E4">
                  <w:pPr>
                    <w:pStyle w:val="9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w:t>
                  </w:r>
                </w:p>
              </w:tc>
              <w:tc>
                <w:tcPr>
                  <w:tcW w:w="1145" w:type="dxa"/>
                  <w:noWrap w:val="0"/>
                  <w:vAlign w:val="center"/>
                </w:tcPr>
                <w:p w14:paraId="71526735">
                  <w:pPr>
                    <w:pStyle w:val="9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1093" w:type="dxa"/>
                  <w:noWrap w:val="0"/>
                  <w:vAlign w:val="center"/>
                </w:tcPr>
                <w:p w14:paraId="3BB54D6C">
                  <w:pPr>
                    <w:pStyle w:val="9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55</w:t>
                  </w:r>
                </w:p>
              </w:tc>
              <w:tc>
                <w:tcPr>
                  <w:tcW w:w="598" w:type="pct"/>
                  <w:noWrap w:val="0"/>
                  <w:vAlign w:val="center"/>
                </w:tcPr>
                <w:p w14:paraId="5A1AE7E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达标</w:t>
                  </w:r>
                </w:p>
              </w:tc>
            </w:tr>
            <w:tr w14:paraId="4633B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19" w:type="pct"/>
                  <w:noWrap w:val="0"/>
                  <w:vAlign w:val="center"/>
                </w:tcPr>
                <w:p w14:paraId="70489A5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CO</w:t>
                  </w:r>
                </w:p>
              </w:tc>
              <w:tc>
                <w:tcPr>
                  <w:tcW w:w="1624" w:type="pct"/>
                  <w:noWrap w:val="0"/>
                  <w:vAlign w:val="center"/>
                </w:tcPr>
                <w:p w14:paraId="35C789A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24h平均第95百分位数</w:t>
                  </w:r>
                </w:p>
              </w:tc>
              <w:tc>
                <w:tcPr>
                  <w:tcW w:w="1145" w:type="dxa"/>
                  <w:noWrap w:val="0"/>
                  <w:vAlign w:val="center"/>
                </w:tcPr>
                <w:p w14:paraId="0DF1D13D">
                  <w:pPr>
                    <w:pStyle w:val="9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00.00</w:t>
                  </w:r>
                </w:p>
              </w:tc>
              <w:tc>
                <w:tcPr>
                  <w:tcW w:w="730" w:type="pct"/>
                  <w:noWrap w:val="0"/>
                  <w:vAlign w:val="center"/>
                </w:tcPr>
                <w:p w14:paraId="3163479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4000</w:t>
                  </w:r>
                </w:p>
              </w:tc>
              <w:tc>
                <w:tcPr>
                  <w:tcW w:w="1093" w:type="dxa"/>
                  <w:noWrap w:val="0"/>
                  <w:vAlign w:val="center"/>
                </w:tcPr>
                <w:p w14:paraId="5F31B358">
                  <w:pPr>
                    <w:pStyle w:val="9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598" w:type="pct"/>
                  <w:noWrap w:val="0"/>
                  <w:vAlign w:val="center"/>
                </w:tcPr>
                <w:p w14:paraId="3F53AB4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达标</w:t>
                  </w:r>
                </w:p>
              </w:tc>
            </w:tr>
            <w:tr w14:paraId="4FAC5E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19" w:type="pct"/>
                  <w:noWrap w:val="0"/>
                  <w:vAlign w:val="center"/>
                </w:tcPr>
                <w:p w14:paraId="412529E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O</w:t>
                  </w:r>
                  <w:r>
                    <w:rPr>
                      <w:rFonts w:hint="default" w:ascii="Times New Roman" w:hAnsi="Times New Roman" w:eastAsia="宋体" w:cs="Times New Roman"/>
                      <w:bCs/>
                      <w:color w:val="000000" w:themeColor="text1"/>
                      <w:sz w:val="21"/>
                      <w:szCs w:val="21"/>
                      <w:vertAlign w:val="subscript"/>
                      <w:lang w:val="en-US" w:eastAsia="zh-CN"/>
                      <w14:textFill>
                        <w14:solidFill>
                          <w14:schemeClr w14:val="tx1"/>
                        </w14:solidFill>
                      </w14:textFill>
                    </w:rPr>
                    <w:t>3</w:t>
                  </w:r>
                </w:p>
              </w:tc>
              <w:tc>
                <w:tcPr>
                  <w:tcW w:w="1624" w:type="pct"/>
                  <w:noWrap w:val="0"/>
                  <w:vAlign w:val="center"/>
                </w:tcPr>
                <w:p w14:paraId="56870D8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8h平均第90百分位数</w:t>
                  </w:r>
                </w:p>
              </w:tc>
              <w:tc>
                <w:tcPr>
                  <w:tcW w:w="1145" w:type="dxa"/>
                  <w:noWrap w:val="0"/>
                  <w:vAlign w:val="center"/>
                </w:tcPr>
                <w:p w14:paraId="2236659E">
                  <w:pPr>
                    <w:pStyle w:val="9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w:t>
                  </w:r>
                </w:p>
              </w:tc>
              <w:tc>
                <w:tcPr>
                  <w:tcW w:w="730" w:type="pct"/>
                  <w:noWrap w:val="0"/>
                  <w:vAlign w:val="center"/>
                </w:tcPr>
                <w:p w14:paraId="755B637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160</w:t>
                  </w:r>
                </w:p>
              </w:tc>
              <w:tc>
                <w:tcPr>
                  <w:tcW w:w="1093" w:type="dxa"/>
                  <w:noWrap w:val="0"/>
                  <w:vAlign w:val="center"/>
                </w:tcPr>
                <w:p w14:paraId="55315AAC">
                  <w:pPr>
                    <w:pStyle w:val="9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85</w:t>
                  </w:r>
                </w:p>
              </w:tc>
              <w:tc>
                <w:tcPr>
                  <w:tcW w:w="598" w:type="pct"/>
                  <w:noWrap w:val="0"/>
                  <w:vAlign w:val="center"/>
                </w:tcPr>
                <w:p w14:paraId="28A0958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达标</w:t>
                  </w:r>
                </w:p>
              </w:tc>
            </w:tr>
          </w:tbl>
          <w:p w14:paraId="43BD988A">
            <w:pPr>
              <w:adjustRightInd w:val="0"/>
              <w:snapToGrid w:val="0"/>
              <w:spacing w:line="360" w:lineRule="auto"/>
              <w:ind w:left="0" w:leftChars="0" w:firstLine="480" w:firstLineChars="200"/>
              <w:rPr>
                <w:rFonts w:hint="eastAsia" w:ascii="Times New Roman" w:hAnsi="Times New Roman" w:eastAsia="宋体" w:cs="Times New Roman"/>
                <w:bCs/>
                <w:color w:val="000000" w:themeColor="text1"/>
                <w:sz w:val="24"/>
                <w:vertAlign w:val="baseline"/>
                <w:lang w:eastAsia="zh-CN"/>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根据上表所示</w:t>
            </w:r>
            <w:r>
              <w:rPr>
                <w:rFonts w:hint="eastAsia"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14:textFill>
                  <w14:solidFill>
                    <w14:schemeClr w14:val="tx1"/>
                  </w14:solidFill>
                </w14:textFill>
              </w:rPr>
              <w:t>20</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2</w:t>
            </w:r>
            <w:r>
              <w:rPr>
                <w:rFonts w:hint="eastAsia" w:ascii="Times New Roman" w:hAnsi="Times New Roman" w:cs="Times New Roman"/>
                <w:bCs/>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bCs/>
                <w:color w:val="000000" w:themeColor="text1"/>
                <w:sz w:val="24"/>
                <w:highlight w:val="none"/>
                <w14:textFill>
                  <w14:solidFill>
                    <w14:schemeClr w14:val="tx1"/>
                  </w14:solidFill>
                </w14:textFill>
              </w:rPr>
              <w:t>年</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峨山县</w:t>
            </w:r>
            <w:r>
              <w:rPr>
                <w:rFonts w:hint="default" w:ascii="Times New Roman" w:hAnsi="Times New Roman" w:eastAsia="宋体" w:cs="Times New Roman"/>
                <w:bCs/>
                <w:color w:val="000000" w:themeColor="text1"/>
                <w:sz w:val="24"/>
                <w:highlight w:val="none"/>
                <w14:textFill>
                  <w14:solidFill>
                    <w14:schemeClr w14:val="tx1"/>
                  </w14:solidFill>
                </w14:textFill>
              </w:rPr>
              <w:t>环境</w:t>
            </w:r>
            <w:r>
              <w:rPr>
                <w:rFonts w:hint="default" w:ascii="Times New Roman" w:hAnsi="Times New Roman" w:eastAsia="宋体" w:cs="Times New Roman"/>
                <w:bCs/>
                <w:color w:val="000000" w:themeColor="text1"/>
                <w:sz w:val="24"/>
                <w14:textFill>
                  <w14:solidFill>
                    <w14:schemeClr w14:val="tx1"/>
                  </w14:solidFill>
                </w14:textFill>
              </w:rPr>
              <w:t>空气PM</w:t>
            </w:r>
            <w:r>
              <w:rPr>
                <w:rFonts w:hint="default" w:ascii="Times New Roman" w:hAnsi="Times New Roman" w:eastAsia="宋体" w:cs="Times New Roman"/>
                <w:bCs/>
                <w:color w:val="000000" w:themeColor="text1"/>
                <w:sz w:val="24"/>
                <w:vertAlign w:val="subscript"/>
                <w14:textFill>
                  <w14:solidFill>
                    <w14:schemeClr w14:val="tx1"/>
                  </w14:solidFill>
                </w14:textFill>
              </w:rPr>
              <w:t>10</w:t>
            </w:r>
            <w:r>
              <w:rPr>
                <w:rFonts w:hint="default" w:ascii="Times New Roman" w:hAnsi="Times New Roman" w:eastAsia="宋体" w:cs="Times New Roman"/>
                <w:bCs/>
                <w:color w:val="000000" w:themeColor="text1"/>
                <w:sz w:val="24"/>
                <w14:textFill>
                  <w14:solidFill>
                    <w14:schemeClr w14:val="tx1"/>
                  </w14:solidFill>
                </w14:textFill>
              </w:rPr>
              <w:t>、PM</w:t>
            </w:r>
            <w:r>
              <w:rPr>
                <w:rFonts w:hint="default" w:ascii="Times New Roman" w:hAnsi="Times New Roman" w:eastAsia="宋体" w:cs="Times New Roman"/>
                <w:bCs/>
                <w:color w:val="000000" w:themeColor="text1"/>
                <w:sz w:val="24"/>
                <w:vertAlign w:val="subscript"/>
                <w14:textFill>
                  <w14:solidFill>
                    <w14:schemeClr w14:val="tx1"/>
                  </w14:solidFill>
                </w14:textFill>
              </w:rPr>
              <w:t>2.5</w:t>
            </w:r>
            <w:r>
              <w:rPr>
                <w:rFonts w:hint="default" w:ascii="Times New Roman" w:hAnsi="Times New Roman" w:eastAsia="宋体" w:cs="Times New Roman"/>
                <w:bCs/>
                <w:color w:val="000000" w:themeColor="text1"/>
                <w:sz w:val="24"/>
                <w14:textFill>
                  <w14:solidFill>
                    <w14:schemeClr w14:val="tx1"/>
                  </w14:solidFill>
                </w14:textFill>
              </w:rPr>
              <w:t>、SO</w:t>
            </w:r>
            <w:r>
              <w:rPr>
                <w:rFonts w:hint="default" w:ascii="Times New Roman" w:hAnsi="Times New Roman" w:eastAsia="宋体" w:cs="Times New Roman"/>
                <w:bCs/>
                <w:color w:val="000000" w:themeColor="text1"/>
                <w:sz w:val="24"/>
                <w:vertAlign w:val="subscript"/>
                <w14:textFill>
                  <w14:solidFill>
                    <w14:schemeClr w14:val="tx1"/>
                  </w14:solidFill>
                </w14:textFill>
              </w:rPr>
              <w:t>2</w:t>
            </w:r>
            <w:r>
              <w:rPr>
                <w:rFonts w:hint="default" w:ascii="Times New Roman" w:hAnsi="Times New Roman" w:eastAsia="宋体" w:cs="Times New Roman"/>
                <w:bCs/>
                <w:color w:val="000000" w:themeColor="text1"/>
                <w:sz w:val="24"/>
                <w14:textFill>
                  <w14:solidFill>
                    <w14:schemeClr w14:val="tx1"/>
                  </w14:solidFill>
                </w14:textFill>
              </w:rPr>
              <w:t>、NO</w:t>
            </w:r>
            <w:r>
              <w:rPr>
                <w:rFonts w:hint="default" w:ascii="Times New Roman" w:hAnsi="Times New Roman" w:eastAsia="宋体" w:cs="Times New Roman"/>
                <w:bCs/>
                <w:color w:val="000000" w:themeColor="text1"/>
                <w:sz w:val="24"/>
                <w:vertAlign w:val="subscript"/>
                <w14:textFill>
                  <w14:solidFill>
                    <w14:schemeClr w14:val="tx1"/>
                  </w14:solidFill>
                </w14:textFill>
              </w:rPr>
              <w:t>2</w:t>
            </w:r>
            <w:r>
              <w:rPr>
                <w:rFonts w:hint="default" w:ascii="Times New Roman" w:hAnsi="Times New Roman" w:eastAsia="宋体" w:cs="Times New Roman"/>
                <w:bCs/>
                <w:color w:val="000000" w:themeColor="text1"/>
                <w:sz w:val="24"/>
                <w14:textFill>
                  <w14:solidFill>
                    <w14:schemeClr w14:val="tx1"/>
                  </w14:solidFill>
                </w14:textFill>
              </w:rPr>
              <w:t>、CO、O</w:t>
            </w:r>
            <w:r>
              <w:rPr>
                <w:rFonts w:hint="default" w:ascii="Times New Roman" w:hAnsi="Times New Roman" w:eastAsia="宋体" w:cs="Times New Roman"/>
                <w:bCs/>
                <w:color w:val="000000" w:themeColor="text1"/>
                <w:sz w:val="24"/>
                <w:vertAlign w:val="subscript"/>
                <w14:textFill>
                  <w14:solidFill>
                    <w14:schemeClr w14:val="tx1"/>
                  </w14:solidFill>
                </w14:textFill>
              </w:rPr>
              <w:t>3</w:t>
            </w:r>
            <w:r>
              <w:rPr>
                <w:rFonts w:hint="default" w:ascii="Times New Roman" w:hAnsi="Times New Roman" w:eastAsia="宋体" w:cs="Times New Roman"/>
                <w:bCs/>
                <w:color w:val="000000" w:themeColor="text1"/>
                <w:sz w:val="24"/>
                <w:vertAlign w:val="baseline"/>
                <w14:textFill>
                  <w14:solidFill>
                    <w14:schemeClr w14:val="tx1"/>
                  </w14:solidFill>
                </w14:textFill>
              </w:rPr>
              <w:t>监测结果均能达到《环境空气质量标准》（GB3095-20</w:t>
            </w:r>
            <w:r>
              <w:rPr>
                <w:rFonts w:hint="eastAsia" w:ascii="Times New Roman" w:hAnsi="Times New Roman" w:cs="Times New Roman"/>
                <w:bCs/>
                <w:color w:val="000000" w:themeColor="text1"/>
                <w:sz w:val="24"/>
                <w:vertAlign w:val="baseline"/>
                <w:lang w:val="en-US" w:eastAsia="zh-CN"/>
                <w14:textFill>
                  <w14:solidFill>
                    <w14:schemeClr w14:val="tx1"/>
                  </w14:solidFill>
                </w14:textFill>
              </w:rPr>
              <w:t>12</w:t>
            </w:r>
            <w:r>
              <w:rPr>
                <w:rFonts w:hint="eastAsia" w:ascii="Times New Roman" w:hAnsi="Times New Roman" w:cs="Times New Roman"/>
                <w:bCs/>
                <w:color w:val="000000" w:themeColor="text1"/>
                <w:sz w:val="24"/>
                <w:vertAlign w:val="baseline"/>
                <w:lang w:eastAsia="zh-CN"/>
                <w14:textFill>
                  <w14:solidFill>
                    <w14:schemeClr w14:val="tx1"/>
                  </w14:solidFill>
                </w14:textFill>
              </w:rPr>
              <w:t>）</w:t>
            </w:r>
            <w:r>
              <w:rPr>
                <w:rFonts w:hint="default" w:ascii="Times New Roman" w:hAnsi="Times New Roman" w:eastAsia="宋体" w:cs="Times New Roman"/>
                <w:bCs/>
                <w:color w:val="000000" w:themeColor="text1"/>
                <w:sz w:val="24"/>
                <w:vertAlign w:val="baseline"/>
                <w14:textFill>
                  <w14:solidFill>
                    <w14:schemeClr w14:val="tx1"/>
                  </w14:solidFill>
                </w14:textFill>
              </w:rPr>
              <w:t>中的二级标准要求</w:t>
            </w:r>
            <w:r>
              <w:rPr>
                <w:rFonts w:hint="eastAsia"/>
                <w:color w:val="000000" w:themeColor="text1"/>
                <w:kern w:val="0"/>
                <w:sz w:val="24"/>
                <w:lang w:eastAsia="zh-CN"/>
                <w14:textFill>
                  <w14:solidFill>
                    <w14:schemeClr w14:val="tx1"/>
                  </w14:solidFill>
                </w14:textFill>
              </w:rPr>
              <w:t>。</w:t>
            </w:r>
          </w:p>
          <w:p w14:paraId="6B696009">
            <w:pPr>
              <w:keepNext w:val="0"/>
              <w:keepLines w:val="0"/>
              <w:pageBreakBefore w:val="0"/>
              <w:widowControl w:val="0"/>
              <w:kinsoku/>
              <w:wordWrap w:val="0"/>
              <w:overflowPunct/>
              <w:topLinePunct w:val="0"/>
              <w:autoSpaceDE/>
              <w:autoSpaceDN/>
              <w:bidi w:val="0"/>
              <w:adjustRightInd/>
              <w:snapToGrid/>
              <w:spacing w:line="360" w:lineRule="auto"/>
              <w:ind w:left="0" w:leftChars="0" w:right="0" w:firstLine="480" w:firstLineChars="200"/>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cs="Times New Roman"/>
                <w:color w:val="000000" w:themeColor="text1"/>
                <w:sz w:val="24"/>
                <w:lang w:eastAsia="zh-CN"/>
                <w14:textFill>
                  <w14:solidFill>
                    <w14:schemeClr w14:val="tx1"/>
                  </w14:solidFill>
                </w14:textFill>
              </w:rPr>
              <w:t>故本次判定</w:t>
            </w:r>
            <w:r>
              <w:rPr>
                <w:color w:val="000000" w:themeColor="text1"/>
                <w:kern w:val="0"/>
                <w:sz w:val="24"/>
                <w14:textFill>
                  <w14:solidFill>
                    <w14:schemeClr w14:val="tx1"/>
                  </w14:solidFill>
                </w14:textFill>
              </w:rPr>
              <w:t>所在区域</w:t>
            </w:r>
            <w:r>
              <w:rPr>
                <w:rFonts w:hint="eastAsia"/>
                <w:color w:val="000000" w:themeColor="text1"/>
                <w:kern w:val="0"/>
                <w:sz w:val="24"/>
                <w:lang w:eastAsia="zh-CN"/>
                <w14:textFill>
                  <w14:solidFill>
                    <w14:schemeClr w14:val="tx1"/>
                  </w14:solidFill>
                </w14:textFill>
              </w:rPr>
              <w:t>为</w:t>
            </w:r>
            <w:r>
              <w:rPr>
                <w:color w:val="000000" w:themeColor="text1"/>
                <w:kern w:val="0"/>
                <w:sz w:val="24"/>
                <w14:textFill>
                  <w14:solidFill>
                    <w14:schemeClr w14:val="tx1"/>
                  </w14:solidFill>
                </w14:textFill>
              </w:rPr>
              <w:t>环境空气质量达标区</w:t>
            </w:r>
            <w:r>
              <w:rPr>
                <w:rFonts w:hint="eastAsia"/>
                <w:color w:val="000000" w:themeColor="text1"/>
                <w:kern w:val="0"/>
                <w:sz w:val="24"/>
                <w:lang w:eastAsia="zh-CN"/>
                <w14:textFill>
                  <w14:solidFill>
                    <w14:schemeClr w14:val="tx1"/>
                  </w14:solidFill>
                </w14:textFill>
              </w:rPr>
              <w:t>。</w:t>
            </w:r>
          </w:p>
          <w:p w14:paraId="6D86B482">
            <w:pPr>
              <w:pageBreakBefore w:val="0"/>
              <w:kinsoku/>
              <w:overflowPunct/>
              <w:topLinePunct w:val="0"/>
              <w:bidi w:val="0"/>
              <w:adjustRightInd w:val="0"/>
              <w:snapToGrid w:val="0"/>
              <w:spacing w:line="356" w:lineRule="auto"/>
              <w:ind w:left="0" w:leftChars="0" w:right="0"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w:t>
            </w:r>
            <w:r>
              <w:rPr>
                <w:b/>
                <w:bCs/>
                <w:color w:val="000000" w:themeColor="text1"/>
                <w:sz w:val="24"/>
                <w14:textFill>
                  <w14:solidFill>
                    <w14:schemeClr w14:val="tx1"/>
                  </w14:solidFill>
                </w14:textFill>
              </w:rPr>
              <w:t>特征因子环境质量现状</w:t>
            </w:r>
          </w:p>
          <w:p w14:paraId="4989204B">
            <w:pPr>
              <w:pageBreakBefore w:val="0"/>
              <w:kinsoku/>
              <w:overflowPunct/>
              <w:topLinePunct w:val="0"/>
              <w:bidi w:val="0"/>
              <w:spacing w:line="360" w:lineRule="auto"/>
              <w:ind w:left="0" w:leftChars="0" w:right="0" w:firstLine="480" w:firstLineChars="200"/>
              <w:rPr>
                <w:rFonts w:hint="eastAsia" w:ascii="Times New Roman" w:hAnsi="Times New Roman"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参考</w:t>
            </w:r>
            <w:r>
              <w:rPr>
                <w:rFonts w:hint="default" w:ascii="Times New Roman" w:hAnsi="Times New Roman" w:cs="Times New Roman"/>
                <w:color w:val="000000" w:themeColor="text1"/>
                <w:sz w:val="24"/>
                <w:szCs w:val="24"/>
                <w14:textFill>
                  <w14:solidFill>
                    <w14:schemeClr w14:val="tx1"/>
                  </w14:solidFill>
                </w14:textFill>
              </w:rPr>
              <w:t>生态环境部环境工程评估中心</w:t>
            </w:r>
            <w:r>
              <w:rPr>
                <w:rFonts w:hint="eastAsia" w:cs="Times New Roman"/>
                <w:color w:val="000000" w:themeColor="text1"/>
                <w:sz w:val="24"/>
                <w:szCs w:val="24"/>
                <w:lang w:val="en-US" w:eastAsia="zh-CN"/>
                <w14:textFill>
                  <w14:solidFill>
                    <w14:schemeClr w14:val="tx1"/>
                  </w14:solidFill>
                </w14:textFill>
              </w:rPr>
              <w:t>2021年10月20日</w:t>
            </w:r>
            <w:r>
              <w:rPr>
                <w:rFonts w:hint="eastAsia" w:ascii="Times New Roman" w:hAnsi="Times New Roman" w:cs="Times New Roman"/>
                <w:color w:val="000000" w:themeColor="text1"/>
                <w:sz w:val="24"/>
                <w:szCs w:val="24"/>
                <w:lang w:eastAsia="zh-CN"/>
                <w14:textFill>
                  <w14:solidFill>
                    <w14:schemeClr w14:val="tx1"/>
                  </w14:solidFill>
                </w14:textFill>
              </w:rPr>
              <w:t>发布的</w:t>
            </w:r>
            <w:r>
              <w:rPr>
                <w:rFonts w:hint="eastAsia"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《建设项目环境影响报告表》内容、格式及编制技术指南常见问题解答</w:t>
            </w:r>
            <w:r>
              <w:rPr>
                <w:rFonts w:hint="eastAsia" w:cs="Times New Roman"/>
                <w:color w:val="000000" w:themeColor="text1"/>
                <w:sz w:val="24"/>
                <w:szCs w:val="24"/>
                <w:lang w:eastAsia="zh-CN"/>
                <w14:textFill>
                  <w14:solidFill>
                    <w14:schemeClr w14:val="tx1"/>
                  </w14:solidFill>
                </w14:textFill>
              </w:rPr>
              <w:t>”中“</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技术指南中提到排放国家、地方环境空气质量标准中有标准限值要求的特征污染物，其中环境空气质量标准指《环境空气质量标准》</w:t>
            </w:r>
            <w:r>
              <w:rPr>
                <w:color w:val="000000" w:themeColor="text1"/>
                <w:kern w:val="0"/>
                <w:sz w:val="24"/>
                <w14:textFill>
                  <w14:solidFill>
                    <w14:schemeClr w14:val="tx1"/>
                  </w14:solidFill>
                </w14:textFill>
              </w:rPr>
              <w:t>（GB3095-20</w:t>
            </w:r>
            <w:r>
              <w:rPr>
                <w:rFonts w:hint="eastAsia"/>
                <w:color w:val="000000" w:themeColor="text1"/>
                <w:kern w:val="0"/>
                <w:sz w:val="24"/>
                <w:lang w:val="en-US" w:eastAsia="zh-CN"/>
                <w14:textFill>
                  <w14:solidFill>
                    <w14:schemeClr w14:val="tx1"/>
                  </w14:solidFill>
                </w14:textFill>
              </w:rPr>
              <w:t>12</w:t>
            </w:r>
            <w:r>
              <w:rPr>
                <w:color w:val="000000" w:themeColor="text1"/>
                <w:kern w:val="0"/>
                <w:sz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和地方的环境空气质量标准，不包括《环境影响评价技术导则 大气环境》（HJ2.2-2018）附录D、《工业企业设计卫生标准》（TJ36-97）、《前苏联居住区标准》（CH245-71）、《环境影响评价技术导则 制药建设项目》（HJ611-2011）、《大气污染物综合排放标准详解》等导则或参考资料。排放的特征污染物需要在国家、地方环境空气质量标准中有限值要求才涉及现状监测，且优先引用现有监测数据。</w:t>
            </w:r>
            <w:r>
              <w:rPr>
                <w:rFonts w:hint="eastAsia" w:cs="Times New Roman"/>
                <w:color w:val="000000" w:themeColor="text1"/>
                <w:sz w:val="24"/>
                <w:szCs w:val="24"/>
                <w:lang w:eastAsia="zh-CN"/>
                <w14:textFill>
                  <w14:solidFill>
                    <w14:schemeClr w14:val="tx1"/>
                  </w14:solidFill>
                </w14:textFill>
              </w:rPr>
              <w:t>”</w:t>
            </w:r>
          </w:p>
          <w:p w14:paraId="28E29230">
            <w:pPr>
              <w:pageBreakBefore w:val="0"/>
              <w:kinsoku/>
              <w:overflowPunct/>
              <w:topLinePunct w:val="0"/>
              <w:bidi w:val="0"/>
              <w:spacing w:line="360" w:lineRule="auto"/>
              <w:ind w:left="0" w:leftChars="0" w:right="0"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项目运营期特征污染物为颗粒物和挥发性有机废气，挥发性有机废气</w:t>
            </w:r>
            <w:r>
              <w:rPr>
                <w:rFonts w:hint="eastAsia" w:cs="Times New Roman"/>
                <w:color w:val="000000" w:themeColor="text1"/>
                <w:sz w:val="24"/>
                <w:szCs w:val="24"/>
                <w:lang w:val="en-US" w:eastAsia="zh-CN"/>
                <w14:textFill>
                  <w14:solidFill>
                    <w14:schemeClr w14:val="tx1"/>
                  </w14:solidFill>
                </w14:textFill>
              </w:rPr>
              <w:t>不属于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《环境空气质量标准》（GB3095</w:t>
            </w:r>
            <w:r>
              <w:rPr>
                <w:rFonts w:hint="eastAsia" w:cs="Times New Roman"/>
                <w:color w:val="000000" w:themeColor="text1"/>
                <w:sz w:val="24"/>
                <w:szCs w:val="24"/>
                <w:lang w:val="en-US" w:eastAsia="zh-CN"/>
                <w14:textFill>
                  <w14:solidFill>
                    <w14:schemeClr w14:val="tx1"/>
                  </w14:solidFill>
                </w14:textFill>
              </w:rPr>
              <w:t>-2026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），故可</w:t>
            </w:r>
            <w:r>
              <w:rPr>
                <w:rFonts w:hint="eastAsia" w:cs="Times New Roman"/>
                <w:color w:val="000000" w:themeColor="text1"/>
                <w:sz w:val="24"/>
                <w:szCs w:val="24"/>
                <w:lang w:val="en-US" w:eastAsia="zh-CN"/>
                <w14:textFill>
                  <w14:solidFill>
                    <w14:schemeClr w14:val="tx1"/>
                  </w14:solidFill>
                </w14:textFill>
              </w:rPr>
              <w:t>不纳入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现状监测</w:t>
            </w:r>
            <w:r>
              <w:rPr>
                <w:rFonts w:hint="eastAsia" w:cs="Times New Roman"/>
                <w:color w:val="000000" w:themeColor="text1"/>
                <w:sz w:val="24"/>
                <w:szCs w:val="24"/>
                <w:lang w:val="en-US" w:eastAsia="zh-CN"/>
                <w14:textFill>
                  <w14:solidFill>
                    <w14:schemeClr w14:val="tx1"/>
                  </w14:solidFill>
                </w14:textFill>
              </w:rPr>
              <w:t>范围。</w:t>
            </w:r>
          </w:p>
          <w:p w14:paraId="34CC0AF7">
            <w:pPr>
              <w:pageBreakBefore w:val="0"/>
              <w:kinsoku/>
              <w:overflowPunct/>
              <w:topLinePunct w:val="0"/>
              <w:bidi w:val="0"/>
              <w:spacing w:line="360" w:lineRule="auto"/>
              <w:ind w:left="0" w:leftChars="0" w:right="0"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lang w:eastAsia="zh-CN"/>
                <w14:textFill>
                  <w14:solidFill>
                    <w14:schemeClr w14:val="tx1"/>
                  </w14:solidFill>
                </w14:textFill>
              </w:rPr>
              <w:t>本次</w:t>
            </w:r>
            <w:r>
              <w:rPr>
                <w:rFonts w:ascii="Times New Roman" w:hAnsi="Times New Roman" w:eastAsia="宋体" w:cs="Times New Roman"/>
                <w:color w:val="000000" w:themeColor="text1"/>
                <w:kern w:val="0"/>
                <w:sz w:val="24"/>
                <w14:textFill>
                  <w14:solidFill>
                    <w14:schemeClr w14:val="tx1"/>
                  </w14:solidFill>
                </w14:textFill>
              </w:rPr>
              <w:t>为了解项目的特征因子环境质量现状，</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本次评价引用玉溪市政府信息公开网中</w:t>
            </w:r>
            <w:r>
              <w:rPr>
                <w:rFonts w:ascii="Times New Roman" w:hAnsi="Times New Roman" w:eastAsia="宋体" w:cs="Times New Roman"/>
                <w:color w:val="000000" w:themeColor="text1"/>
                <w:kern w:val="0"/>
                <w:sz w:val="24"/>
                <w14:textFill>
                  <w14:solidFill>
                    <w14:schemeClr w14:val="tx1"/>
                  </w14:solidFill>
                </w14:textFill>
              </w:rPr>
              <w:t>玉溪市生态环境局峨山分局</w:t>
            </w:r>
            <w:r>
              <w:rPr>
                <w:rFonts w:hint="eastAsia" w:ascii="Times New Roman" w:hAnsi="Times New Roman" w:eastAsia="宋体" w:cs="Times New Roman"/>
                <w:color w:val="000000" w:themeColor="text1"/>
                <w:kern w:val="0"/>
                <w:sz w:val="24"/>
                <w:lang w:eastAsia="zh-CN"/>
                <w14:textFill>
                  <w14:solidFill>
                    <w14:schemeClr w14:val="tx1"/>
                  </w14:solidFill>
                </w14:textFill>
              </w:rPr>
              <w:t>公示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《云南虹旭新能源发展有限责任公司新建年回收处理5000吨废旧塑料生产线项目环境影响报告表》（</w:t>
            </w:r>
            <w:r>
              <w:rPr>
                <w:rFonts w:hint="eastAsia" w:cs="Times New Roman"/>
                <w:color w:val="000000" w:themeColor="text1"/>
                <w:sz w:val="24"/>
                <w:szCs w:val="24"/>
                <w:lang w:val="en-US" w:eastAsia="zh-CN"/>
                <w14:textFill>
                  <w14:solidFill>
                    <w14:schemeClr w14:val="tx1"/>
                  </w14:solidFill>
                </w14:textFill>
              </w:rPr>
              <w:t>公示网址：</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https://www.yxes.gov.cn/esxzfxxgk/jsxmhjyxpjxxjysxx3672/20250722/1613538.html）</w:t>
            </w:r>
            <w:r>
              <w:rPr>
                <w:rFonts w:hint="eastAsia" w:cs="Times New Roman"/>
                <w:color w:val="000000" w:themeColor="text1"/>
                <w:sz w:val="24"/>
                <w:szCs w:val="24"/>
                <w:lang w:val="en-US" w:eastAsia="zh-CN"/>
                <w14:textFill>
                  <w14:solidFill>
                    <w14:schemeClr w14:val="tx1"/>
                  </w14:solidFill>
                </w14:textFill>
              </w:rPr>
              <w:t>中2025年5月22日~24日TSP、非甲烷总烃现状监测数据，</w:t>
            </w:r>
            <w:r>
              <w:rPr>
                <w:rFonts w:hint="eastAsia" w:cs="Times New Roman"/>
                <w:color w:val="000000" w:themeColor="text1"/>
                <w:kern w:val="0"/>
                <w:sz w:val="24"/>
                <w:lang w:val="en-US" w:eastAsia="zh-CN"/>
                <w14:textFill>
                  <w14:solidFill>
                    <w14:schemeClr w14:val="tx1"/>
                  </w14:solidFill>
                </w14:textFill>
              </w:rPr>
              <w:t>该点位以G1计，该点位位于本项目西北侧约3.2km处，</w:t>
            </w:r>
            <w:r>
              <w:rPr>
                <w:rFonts w:hint="eastAsia" w:ascii="Times New Roman" w:hAnsi="Times New Roman" w:cs="Times New Roman"/>
                <w:color w:val="000000" w:themeColor="text1"/>
                <w:sz w:val="24"/>
                <w:szCs w:val="24"/>
                <w:lang w:eastAsia="zh-CN"/>
                <w14:textFill>
                  <w14:solidFill>
                    <w14:schemeClr w14:val="tx1"/>
                  </w14:solidFill>
                </w14:textFill>
              </w:rPr>
              <w:t>该监测点</w:t>
            </w:r>
            <w:r>
              <w:rPr>
                <w:rFonts w:hint="default" w:ascii="Times New Roman" w:hAnsi="Times New Roman" w:cs="Times New Roman"/>
                <w:color w:val="000000" w:themeColor="text1"/>
                <w:sz w:val="24"/>
                <w:szCs w:val="24"/>
                <w14:textFill>
                  <w14:solidFill>
                    <w14:schemeClr w14:val="tx1"/>
                  </w14:solidFill>
                </w14:textFill>
              </w:rPr>
              <w:t>位于项目5km范围内，监测时间为近3年数据，因此监测数据为有效数据</w:t>
            </w:r>
            <w:r>
              <w:rPr>
                <w:rFonts w:hint="eastAsia" w:cs="Times New Roman"/>
                <w:color w:val="000000" w:themeColor="text1"/>
                <w:sz w:val="24"/>
                <w:szCs w:val="24"/>
                <w:lang w:eastAsia="zh-CN"/>
                <w14:textFill>
                  <w14:solidFill>
                    <w14:schemeClr w14:val="tx1"/>
                  </w14:solidFill>
                </w14:textFill>
              </w:rPr>
              <w:t>。</w:t>
            </w:r>
          </w:p>
          <w:p w14:paraId="069EF811">
            <w:pPr>
              <w:keepNext w:val="0"/>
              <w:keepLines w:val="0"/>
              <w:pageBreakBefore w:val="0"/>
              <w:widowControl w:val="0"/>
              <w:kinsoku/>
              <w:wordWrap w:val="0"/>
              <w:overflowPunct/>
              <w:topLinePunct w:val="0"/>
              <w:autoSpaceDE/>
              <w:autoSpaceDN/>
              <w:bidi w:val="0"/>
              <w:adjustRightInd/>
              <w:snapToGrid/>
              <w:spacing w:line="360" w:lineRule="auto"/>
              <w:ind w:left="0" w:leftChars="0" w:right="0"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kern w:val="0"/>
                <w:sz w:val="24"/>
                <w:lang w:eastAsia="zh-CN"/>
                <w14:textFill>
                  <w14:solidFill>
                    <w14:schemeClr w14:val="tx1"/>
                  </w14:solidFill>
                </w14:textFill>
              </w:rPr>
              <w:t>本次</w:t>
            </w:r>
            <w:r>
              <w:rPr>
                <w:rFonts w:ascii="Times New Roman" w:hAnsi="Times New Roman" w:eastAsia="宋体" w:cs="Times New Roman"/>
                <w:color w:val="000000" w:themeColor="text1"/>
                <w:kern w:val="0"/>
                <w:sz w:val="24"/>
                <w14:textFill>
                  <w14:solidFill>
                    <w14:schemeClr w14:val="tx1"/>
                  </w14:solidFill>
                </w14:textFill>
              </w:rPr>
              <w:t>为了解项目的特征因子环境质量现状，</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本次评价引用玉溪市政府信息公开网中</w:t>
            </w:r>
            <w:r>
              <w:rPr>
                <w:rFonts w:ascii="Times New Roman" w:hAnsi="Times New Roman" w:eastAsia="宋体" w:cs="Times New Roman"/>
                <w:color w:val="000000" w:themeColor="text1"/>
                <w:kern w:val="0"/>
                <w:sz w:val="24"/>
                <w14:textFill>
                  <w14:solidFill>
                    <w14:schemeClr w14:val="tx1"/>
                  </w14:solidFill>
                </w14:textFill>
              </w:rPr>
              <w:t>玉溪市生态环境局峨山分局</w:t>
            </w:r>
            <w:r>
              <w:rPr>
                <w:rFonts w:hint="eastAsia" w:ascii="Times New Roman" w:hAnsi="Times New Roman" w:eastAsia="宋体" w:cs="Times New Roman"/>
                <w:color w:val="000000" w:themeColor="text1"/>
                <w:kern w:val="0"/>
                <w:sz w:val="24"/>
                <w:lang w:eastAsia="zh-CN"/>
                <w14:textFill>
                  <w14:solidFill>
                    <w14:schemeClr w14:val="tx1"/>
                  </w14:solidFill>
                </w14:textFill>
              </w:rPr>
              <w:t>公示</w:t>
            </w:r>
            <w:r>
              <w:rPr>
                <w:rFonts w:hint="eastAsia" w:cs="Times New Roman"/>
                <w:color w:val="000000" w:themeColor="text1"/>
                <w:kern w:val="0"/>
                <w:sz w:val="24"/>
                <w:lang w:eastAsia="zh-CN"/>
                <w14:textFill>
                  <w14:solidFill>
                    <w14:schemeClr w14:val="tx1"/>
                  </w14:solidFill>
                </w14:textFill>
              </w:rPr>
              <w:t>《</w:t>
            </w:r>
            <w:r>
              <w:rPr>
                <w:rFonts w:hint="eastAsia" w:cs="Times New Roman"/>
                <w:color w:val="000000" w:themeColor="text1"/>
                <w:kern w:val="0"/>
                <w:sz w:val="24"/>
                <w:lang w:val="en-US" w:eastAsia="zh-CN"/>
                <w14:textFill>
                  <w14:solidFill>
                    <w14:schemeClr w14:val="tx1"/>
                  </w14:solidFill>
                </w14:textFill>
              </w:rPr>
              <w:t>云南宏时金属制品有限公司新建年产</w:t>
            </w:r>
            <w:r>
              <w:rPr>
                <w:rFonts w:hint="default" w:cs="Times New Roman"/>
                <w:color w:val="000000" w:themeColor="text1"/>
                <w:kern w:val="0"/>
                <w:sz w:val="24"/>
                <w:lang w:val="en-US" w:eastAsia="zh-CN"/>
                <w14:textFill>
                  <w14:solidFill>
                    <w14:schemeClr w14:val="tx1"/>
                  </w14:solidFill>
                </w14:textFill>
              </w:rPr>
              <w:t>90</w:t>
            </w:r>
            <w:r>
              <w:rPr>
                <w:rFonts w:hint="eastAsia" w:cs="Times New Roman"/>
                <w:color w:val="000000" w:themeColor="text1"/>
                <w:kern w:val="0"/>
                <w:sz w:val="24"/>
                <w:lang w:val="en-US" w:eastAsia="zh-CN"/>
                <w14:textFill>
                  <w14:solidFill>
                    <w14:schemeClr w14:val="tx1"/>
                  </w14:solidFill>
                </w14:textFill>
              </w:rPr>
              <w:t>万吨镀锌板一期项目环境影响报告书</w:t>
            </w:r>
            <w:r>
              <w:rPr>
                <w:rFonts w:hint="eastAsia" w:cs="Times New Roman"/>
                <w:color w:val="000000" w:themeColor="text1"/>
                <w:kern w:val="0"/>
                <w:sz w:val="24"/>
                <w:lang w:eastAsia="zh-CN"/>
                <w14:textFill>
                  <w14:solidFill>
                    <w14:schemeClr w14:val="tx1"/>
                  </w14:solidFill>
                </w14:textFill>
              </w:rPr>
              <w:t>》（公示网址</w:t>
            </w:r>
            <w:r>
              <w:rPr>
                <w:rFonts w:hint="eastAsia" w:ascii="Times New Roman" w:hAnsi="Times New Roman" w:eastAsia="宋体" w:cs="Times New Roman"/>
                <w:color w:val="000000" w:themeColor="text1"/>
                <w:kern w:val="0"/>
                <w:sz w:val="24"/>
                <w14:textFill>
                  <w14:solidFill>
                    <w14:schemeClr w14:val="tx1"/>
                  </w14:solidFill>
                </w14:textFill>
              </w:rPr>
              <w:t>https://www.yxes.gov.cn/esxzfxxgk/jsxmhjyxpjxxjysxx3672/20240614/1537354.html</w:t>
            </w:r>
            <w:r>
              <w:rPr>
                <w:rFonts w:hint="eastAsia" w:cs="Times New Roman"/>
                <w:color w:val="000000" w:themeColor="text1"/>
                <w:kern w:val="0"/>
                <w:sz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中2024年3月5日~12日其项目区监测点位的NOx现状监测数据，</w:t>
            </w:r>
            <w:r>
              <w:rPr>
                <w:rFonts w:hint="eastAsia" w:cs="Times New Roman"/>
                <w:color w:val="000000" w:themeColor="text1"/>
                <w:kern w:val="0"/>
                <w:sz w:val="24"/>
                <w:lang w:val="en-US" w:eastAsia="zh-CN"/>
                <w14:textFill>
                  <w14:solidFill>
                    <w14:schemeClr w14:val="tx1"/>
                  </w14:solidFill>
                </w14:textFill>
              </w:rPr>
              <w:t>该点位以G2计，该点位位于本项目东侧约2km处，</w:t>
            </w:r>
            <w:r>
              <w:rPr>
                <w:rFonts w:hint="eastAsia" w:ascii="Times New Roman" w:hAnsi="Times New Roman" w:cs="Times New Roman"/>
                <w:color w:val="000000" w:themeColor="text1"/>
                <w:sz w:val="24"/>
                <w:szCs w:val="24"/>
                <w:lang w:eastAsia="zh-CN"/>
                <w14:textFill>
                  <w14:solidFill>
                    <w14:schemeClr w14:val="tx1"/>
                  </w14:solidFill>
                </w14:textFill>
              </w:rPr>
              <w:t>该监测点</w:t>
            </w:r>
            <w:r>
              <w:rPr>
                <w:rFonts w:hint="default" w:ascii="Times New Roman" w:hAnsi="Times New Roman" w:cs="Times New Roman"/>
                <w:color w:val="000000" w:themeColor="text1"/>
                <w:sz w:val="24"/>
                <w:szCs w:val="24"/>
                <w14:textFill>
                  <w14:solidFill>
                    <w14:schemeClr w14:val="tx1"/>
                  </w14:solidFill>
                </w14:textFill>
              </w:rPr>
              <w:t>位于项目5km范围内，监测时间为近3年数据，因此监测数据为有效数据</w:t>
            </w:r>
            <w:r>
              <w:rPr>
                <w:rFonts w:hint="eastAsia" w:cs="Times New Roman"/>
                <w:color w:val="000000" w:themeColor="text1"/>
                <w:sz w:val="24"/>
                <w:szCs w:val="24"/>
                <w:lang w:eastAsia="zh-CN"/>
                <w14:textFill>
                  <w14:solidFill>
                    <w14:schemeClr w14:val="tx1"/>
                  </w14:solidFill>
                </w14:textFill>
              </w:rPr>
              <w:t>。</w:t>
            </w:r>
          </w:p>
          <w:p w14:paraId="19339596">
            <w:pPr>
              <w:pageBreakBefore w:val="0"/>
              <w:kinsoku/>
              <w:overflowPunct/>
              <w:topLinePunct w:val="0"/>
              <w:bidi w:val="0"/>
              <w:spacing w:line="360" w:lineRule="auto"/>
              <w:ind w:left="0" w:leftChars="0" w:right="0" w:firstLine="480" w:firstLineChars="200"/>
              <w:rPr>
                <w:color w:val="000000" w:themeColor="text1"/>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监测结果如下表所示。</w:t>
            </w:r>
            <w:r>
              <w:rPr>
                <w:rFonts w:hint="eastAsia" w:cs="Times New Roman"/>
                <w:color w:val="000000" w:themeColor="text1"/>
                <w:sz w:val="24"/>
                <w:szCs w:val="24"/>
                <w:lang w:eastAsia="zh-CN"/>
                <w14:textFill>
                  <w14:solidFill>
                    <w14:schemeClr w14:val="tx1"/>
                  </w14:solidFill>
                </w14:textFill>
              </w:rPr>
              <w:t>引用监测点位图见图</w:t>
            </w:r>
            <w:r>
              <w:rPr>
                <w:rFonts w:hint="eastAsia" w:cs="Times New Roman"/>
                <w:color w:val="000000" w:themeColor="text1"/>
                <w:sz w:val="24"/>
                <w:szCs w:val="24"/>
                <w:lang w:val="en-US" w:eastAsia="zh-CN"/>
                <w14:textFill>
                  <w14:solidFill>
                    <w14:schemeClr w14:val="tx1"/>
                  </w14:solidFill>
                </w14:textFill>
              </w:rPr>
              <w:t>3-1。</w:t>
            </w:r>
          </w:p>
          <w:p w14:paraId="2ADB9BEA">
            <w:pPr>
              <w:pStyle w:val="134"/>
              <w:pageBreakBefore w:val="0"/>
              <w:kinsoku/>
              <w:overflowPunct/>
              <w:topLinePunct w:val="0"/>
              <w:bidi w:val="0"/>
              <w:spacing w:before="0"/>
              <w:ind w:left="0" w:leftChars="0" w:right="0"/>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引用</w:t>
            </w:r>
            <w:r>
              <w:rPr>
                <w:color w:val="000000" w:themeColor="text1"/>
                <w14:textFill>
                  <w14:solidFill>
                    <w14:schemeClr w14:val="tx1"/>
                  </w14:solidFill>
                </w14:textFill>
              </w:rPr>
              <w:t>环境</w:t>
            </w:r>
            <w:r>
              <w:rPr>
                <w:rFonts w:hint="eastAsia"/>
                <w:color w:val="000000" w:themeColor="text1"/>
                <w14:textFill>
                  <w14:solidFill>
                    <w14:schemeClr w14:val="tx1"/>
                  </w14:solidFill>
                </w14:textFill>
              </w:rPr>
              <w:t>质量</w:t>
            </w:r>
            <w:r>
              <w:rPr>
                <w:color w:val="000000" w:themeColor="text1"/>
                <w14:textFill>
                  <w14:solidFill>
                    <w14:schemeClr w14:val="tx1"/>
                  </w14:solidFill>
                </w14:textFill>
              </w:rPr>
              <w:t>现状</w:t>
            </w:r>
            <w:r>
              <w:rPr>
                <w:rFonts w:hint="eastAsia"/>
                <w:color w:val="000000" w:themeColor="text1"/>
                <w14:textFill>
                  <w14:solidFill>
                    <w14:schemeClr w14:val="tx1"/>
                  </w14:solidFill>
                </w14:textFill>
              </w:rPr>
              <w:t>监测</w:t>
            </w:r>
            <w:r>
              <w:rPr>
                <w:color w:val="000000" w:themeColor="text1"/>
                <w14:textFill>
                  <w14:solidFill>
                    <w14:schemeClr w14:val="tx1"/>
                  </w14:solidFill>
                </w14:textFill>
              </w:rPr>
              <w:t>结果</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914"/>
              <w:gridCol w:w="2417"/>
              <w:gridCol w:w="2081"/>
              <w:gridCol w:w="1214"/>
              <w:gridCol w:w="1051"/>
            </w:tblGrid>
            <w:tr w14:paraId="5CEFB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vAlign w:val="center"/>
                </w:tcPr>
                <w:p w14:paraId="2B5861AE">
                  <w:pPr>
                    <w:pStyle w:val="129"/>
                    <w:pageBreakBefore w:val="0"/>
                    <w:kinsoku/>
                    <w:overflowPunct/>
                    <w:topLinePunct w:val="0"/>
                    <w:bidi w:val="0"/>
                    <w:ind w:left="0" w:leftChars="0" w:right="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监测点位</w:t>
                  </w:r>
                </w:p>
              </w:tc>
              <w:tc>
                <w:tcPr>
                  <w:tcW w:w="544" w:type="pct"/>
                  <w:vAlign w:val="center"/>
                </w:tcPr>
                <w:p w14:paraId="468C58C8">
                  <w:pPr>
                    <w:pStyle w:val="129"/>
                    <w:pageBreakBefore w:val="0"/>
                    <w:kinsoku/>
                    <w:overflowPunct/>
                    <w:topLinePunct w:val="0"/>
                    <w:bidi w:val="0"/>
                    <w:ind w:left="0" w:leftChars="0" w:right="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检测项目</w:t>
                  </w:r>
                </w:p>
              </w:tc>
              <w:tc>
                <w:tcPr>
                  <w:tcW w:w="1431" w:type="pct"/>
                  <w:vAlign w:val="center"/>
                </w:tcPr>
                <w:p w14:paraId="295FF56B">
                  <w:pPr>
                    <w:pStyle w:val="129"/>
                    <w:pageBreakBefore w:val="0"/>
                    <w:kinsoku/>
                    <w:overflowPunct/>
                    <w:topLinePunct w:val="0"/>
                    <w:bidi w:val="0"/>
                    <w:ind w:left="0" w:leftChars="0" w:right="0"/>
                    <w:jc w:val="center"/>
                    <w:rPr>
                      <w:rFonts w:hint="eastAsia" w:eastAsia="宋体"/>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平均时间</w:t>
                  </w:r>
                </w:p>
              </w:tc>
              <w:tc>
                <w:tcPr>
                  <w:tcW w:w="1232" w:type="pct"/>
                  <w:vAlign w:val="center"/>
                </w:tcPr>
                <w:p w14:paraId="02D93DB6">
                  <w:pPr>
                    <w:pStyle w:val="129"/>
                    <w:pageBreakBefore w:val="0"/>
                    <w:kinsoku/>
                    <w:overflowPunct/>
                    <w:topLinePunct w:val="0"/>
                    <w:bidi w:val="0"/>
                    <w:ind w:left="0" w:leftChars="0" w:right="0"/>
                    <w:jc w:val="center"/>
                    <w:rPr>
                      <w:b/>
                      <w:bCs/>
                      <w:color w:val="000000" w:themeColor="text1"/>
                      <w14:textFill>
                        <w14:solidFill>
                          <w14:schemeClr w14:val="tx1"/>
                        </w14:solidFill>
                      </w14:textFill>
                    </w:rPr>
                  </w:pPr>
                  <w:r>
                    <w:rPr>
                      <w:rFonts w:hint="eastAsia"/>
                      <w:b/>
                      <w:bCs/>
                      <w:color w:val="000000" w:themeColor="text1"/>
                      <w:lang w:eastAsia="zh-CN"/>
                      <w14:textFill>
                        <w14:solidFill>
                          <w14:schemeClr w14:val="tx1"/>
                        </w14:solidFill>
                      </w14:textFill>
                    </w:rPr>
                    <w:t>监测浓度范围</w:t>
                  </w:r>
                  <w:r>
                    <w:rPr>
                      <w:b/>
                      <w:bCs/>
                      <w:color w:val="000000" w:themeColor="text1"/>
                      <w14:textFill>
                        <w14:solidFill>
                          <w14:schemeClr w14:val="tx1"/>
                        </w14:solidFill>
                      </w14:textFill>
                    </w:rPr>
                    <w:t>（</w:t>
                  </w:r>
                  <w:r>
                    <w:rPr>
                      <w:rFonts w:hint="eastAsia"/>
                      <w:b/>
                      <w:bCs/>
                      <w:color w:val="000000" w:themeColor="text1"/>
                      <w:lang w:val="en-US" w:eastAsia="zh-CN"/>
                      <w14:textFill>
                        <w14:solidFill>
                          <w14:schemeClr w14:val="tx1"/>
                        </w14:solidFill>
                      </w14:textFill>
                    </w:rPr>
                    <w:t>m</w:t>
                  </w:r>
                  <w:r>
                    <w:rPr>
                      <w:b/>
                      <w:bCs/>
                      <w:color w:val="000000" w:themeColor="text1"/>
                      <w14:textFill>
                        <w14:solidFill>
                          <w14:schemeClr w14:val="tx1"/>
                        </w14:solidFill>
                      </w14:textFill>
                    </w:rPr>
                    <w:t>g/m³）</w:t>
                  </w:r>
                </w:p>
              </w:tc>
              <w:tc>
                <w:tcPr>
                  <w:tcW w:w="698" w:type="pct"/>
                  <w:vAlign w:val="center"/>
                </w:tcPr>
                <w:p w14:paraId="1E164146">
                  <w:pPr>
                    <w:pStyle w:val="129"/>
                    <w:pageBreakBefore w:val="0"/>
                    <w:kinsoku/>
                    <w:overflowPunct/>
                    <w:topLinePunct w:val="0"/>
                    <w:bidi w:val="0"/>
                    <w:ind w:left="0" w:leftChars="0" w:right="0"/>
                    <w:jc w:val="center"/>
                    <w:rPr>
                      <w:b/>
                      <w:bCs/>
                      <w:color w:val="000000" w:themeColor="text1"/>
                      <w14:textFill>
                        <w14:solidFill>
                          <w14:schemeClr w14:val="tx1"/>
                        </w14:solidFill>
                      </w14:textFill>
                    </w:rPr>
                  </w:pPr>
                  <w:r>
                    <w:rPr>
                      <w:b/>
                      <w:bCs/>
                      <w:color w:val="000000" w:themeColor="text1"/>
                      <w14:textFill>
                        <w14:solidFill>
                          <w14:schemeClr w14:val="tx1"/>
                        </w14:solidFill>
                      </w14:textFill>
                    </w:rPr>
                    <w:t>标准限值（</w:t>
                  </w:r>
                  <w:r>
                    <w:rPr>
                      <w:rFonts w:hint="eastAsia"/>
                      <w:b/>
                      <w:bCs/>
                      <w:color w:val="000000" w:themeColor="text1"/>
                      <w:lang w:val="en-US" w:eastAsia="zh-CN"/>
                      <w14:textFill>
                        <w14:solidFill>
                          <w14:schemeClr w14:val="tx1"/>
                        </w14:solidFill>
                      </w14:textFill>
                    </w:rPr>
                    <w:t>m</w:t>
                  </w:r>
                  <w:r>
                    <w:rPr>
                      <w:b/>
                      <w:bCs/>
                      <w:color w:val="000000" w:themeColor="text1"/>
                      <w14:textFill>
                        <w14:solidFill>
                          <w14:schemeClr w14:val="tx1"/>
                        </w14:solidFill>
                      </w14:textFill>
                    </w:rPr>
                    <w:t>g/m³）</w:t>
                  </w:r>
                </w:p>
              </w:tc>
              <w:tc>
                <w:tcPr>
                  <w:tcW w:w="624" w:type="pct"/>
                  <w:vAlign w:val="center"/>
                </w:tcPr>
                <w:p w14:paraId="757A980A">
                  <w:pPr>
                    <w:pStyle w:val="129"/>
                    <w:pageBreakBefore w:val="0"/>
                    <w:kinsoku/>
                    <w:overflowPunct/>
                    <w:topLinePunct w:val="0"/>
                    <w:bidi w:val="0"/>
                    <w:ind w:left="0" w:leftChars="0" w:right="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达标情况</w:t>
                  </w:r>
                </w:p>
              </w:tc>
            </w:tr>
            <w:tr w14:paraId="7C362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8" w:type="pct"/>
                  <w:vMerge w:val="restart"/>
                  <w:vAlign w:val="center"/>
                </w:tcPr>
                <w:p w14:paraId="2649840B">
                  <w:pPr>
                    <w:pStyle w:val="129"/>
                    <w:pageBreakBefore w:val="0"/>
                    <w:kinsoku/>
                    <w:overflowPunct/>
                    <w:topLinePunct w:val="0"/>
                    <w:bidi w:val="0"/>
                    <w:ind w:left="0" w:leftChars="0" w:right="0"/>
                    <w:jc w:val="center"/>
                    <w:rPr>
                      <w:rFonts w:hint="default" w:eastAsia="宋体"/>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G1</w:t>
                  </w:r>
                </w:p>
              </w:tc>
              <w:tc>
                <w:tcPr>
                  <w:tcW w:w="544" w:type="pct"/>
                  <w:vAlign w:val="center"/>
                </w:tcPr>
                <w:p w14:paraId="3C35849F">
                  <w:pPr>
                    <w:pStyle w:val="129"/>
                    <w:pageBreakBefore w:val="0"/>
                    <w:kinsoku/>
                    <w:overflowPunct/>
                    <w:topLinePunct w:val="0"/>
                    <w:bidi w:val="0"/>
                    <w:ind w:left="0" w:leftChars="0" w:right="0"/>
                    <w:jc w:val="center"/>
                    <w:rPr>
                      <w:rFonts w:hint="default" w:eastAsia="宋体"/>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TSP</w:t>
                  </w:r>
                </w:p>
              </w:tc>
              <w:tc>
                <w:tcPr>
                  <w:tcW w:w="1431" w:type="pct"/>
                  <w:vAlign w:val="center"/>
                </w:tcPr>
                <w:p w14:paraId="2E27E801">
                  <w:pPr>
                    <w:pStyle w:val="129"/>
                    <w:pageBreakBefore w:val="0"/>
                    <w:kinsoku/>
                    <w:overflowPunct/>
                    <w:topLinePunct w:val="0"/>
                    <w:bidi w:val="0"/>
                    <w:ind w:left="0" w:leftChars="0" w:right="0"/>
                    <w:jc w:val="center"/>
                    <w:rPr>
                      <w:rFonts w:hint="eastAsia" w:eastAsia="宋体"/>
                      <w:b w:val="0"/>
                      <w:bCs w:val="0"/>
                      <w:color w:val="000000" w:themeColor="text1"/>
                      <w:lang w:eastAsia="zh-CN"/>
                      <w14:textFill>
                        <w14:solidFill>
                          <w14:schemeClr w14:val="tx1"/>
                        </w14:solidFill>
                      </w14:textFill>
                    </w:rPr>
                  </w:pPr>
                  <w:r>
                    <w:rPr>
                      <w:rFonts w:hint="eastAsia"/>
                      <w:b w:val="0"/>
                      <w:bCs w:val="0"/>
                      <w:color w:val="000000" w:themeColor="text1"/>
                      <w:lang w:eastAsia="zh-CN"/>
                      <w14:textFill>
                        <w14:solidFill>
                          <w14:schemeClr w14:val="tx1"/>
                        </w14:solidFill>
                      </w14:textFill>
                    </w:rPr>
                    <w:t>日均值</w:t>
                  </w:r>
                </w:p>
              </w:tc>
              <w:tc>
                <w:tcPr>
                  <w:tcW w:w="1232" w:type="pct"/>
                  <w:vAlign w:val="center"/>
                </w:tcPr>
                <w:p w14:paraId="462D5E00">
                  <w:pPr>
                    <w:pStyle w:val="129"/>
                    <w:pageBreakBefore w:val="0"/>
                    <w:kinsoku/>
                    <w:overflowPunct/>
                    <w:topLinePunct w:val="0"/>
                    <w:bidi w:val="0"/>
                    <w:ind w:left="0" w:leftChars="0" w:right="0"/>
                    <w:jc w:val="center"/>
                    <w:rPr>
                      <w:rFonts w:hint="default" w:eastAsia="宋体"/>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0.132~0.141</w:t>
                  </w:r>
                </w:p>
              </w:tc>
              <w:tc>
                <w:tcPr>
                  <w:tcW w:w="698" w:type="pct"/>
                  <w:vAlign w:val="center"/>
                </w:tcPr>
                <w:p w14:paraId="65B7718B">
                  <w:pPr>
                    <w:pStyle w:val="129"/>
                    <w:pageBreakBefore w:val="0"/>
                    <w:kinsoku/>
                    <w:overflowPunct/>
                    <w:topLinePunct w:val="0"/>
                    <w:bidi w:val="0"/>
                    <w:ind w:left="0" w:leftChars="0" w:right="0"/>
                    <w:jc w:val="center"/>
                    <w:rPr>
                      <w:rFonts w:hint="default" w:eastAsia="宋体"/>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0.3</w:t>
                  </w:r>
                </w:p>
              </w:tc>
              <w:tc>
                <w:tcPr>
                  <w:tcW w:w="624" w:type="pct"/>
                  <w:vAlign w:val="center"/>
                </w:tcPr>
                <w:p w14:paraId="5D198295">
                  <w:pPr>
                    <w:pageBreakBefore w:val="0"/>
                    <w:kinsoku/>
                    <w:overflowPunct/>
                    <w:topLinePunct w:val="0"/>
                    <w:bidi w:val="0"/>
                    <w:ind w:left="0" w:leftChars="0" w:right="0"/>
                    <w:jc w:val="center"/>
                    <w:rPr>
                      <w:rFonts w:hint="eastAsia"/>
                      <w:b w:val="0"/>
                      <w:bCs w:val="0"/>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达标</w:t>
                  </w:r>
                </w:p>
              </w:tc>
            </w:tr>
            <w:tr w14:paraId="44A60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vMerge w:val="continue"/>
                  <w:vAlign w:val="center"/>
                </w:tcPr>
                <w:p w14:paraId="5C37A778">
                  <w:pPr>
                    <w:pStyle w:val="129"/>
                    <w:pageBreakBefore w:val="0"/>
                    <w:kinsoku/>
                    <w:overflowPunct/>
                    <w:topLinePunct w:val="0"/>
                    <w:bidi w:val="0"/>
                    <w:ind w:left="0" w:leftChars="0" w:right="0"/>
                    <w:jc w:val="center"/>
                    <w:rPr>
                      <w:rFonts w:hint="eastAsia"/>
                      <w:b w:val="0"/>
                      <w:bCs w:val="0"/>
                      <w:color w:val="000000" w:themeColor="text1"/>
                      <w14:textFill>
                        <w14:solidFill>
                          <w14:schemeClr w14:val="tx1"/>
                        </w14:solidFill>
                      </w14:textFill>
                    </w:rPr>
                  </w:pPr>
                </w:p>
              </w:tc>
              <w:tc>
                <w:tcPr>
                  <w:tcW w:w="544" w:type="pct"/>
                  <w:vAlign w:val="center"/>
                </w:tcPr>
                <w:p w14:paraId="76176307">
                  <w:pPr>
                    <w:pStyle w:val="129"/>
                    <w:pageBreakBefore w:val="0"/>
                    <w:kinsoku/>
                    <w:overflowPunct/>
                    <w:topLinePunct w:val="0"/>
                    <w:bidi w:val="0"/>
                    <w:ind w:left="0" w:leftChars="0" w:right="0"/>
                    <w:jc w:val="center"/>
                    <w:rPr>
                      <w:rFonts w:hint="eastAsia" w:eastAsia="宋体"/>
                      <w:b w:val="0"/>
                      <w:bCs w:val="0"/>
                      <w:color w:val="000000" w:themeColor="text1"/>
                      <w:lang w:eastAsia="zh-CN"/>
                      <w14:textFill>
                        <w14:solidFill>
                          <w14:schemeClr w14:val="tx1"/>
                        </w14:solidFill>
                      </w14:textFill>
                    </w:rPr>
                  </w:pPr>
                  <w:r>
                    <w:rPr>
                      <w:rFonts w:hint="eastAsia"/>
                      <w:b w:val="0"/>
                      <w:bCs w:val="0"/>
                      <w:color w:val="000000" w:themeColor="text1"/>
                      <w:lang w:eastAsia="zh-CN"/>
                      <w14:textFill>
                        <w14:solidFill>
                          <w14:schemeClr w14:val="tx1"/>
                        </w14:solidFill>
                      </w14:textFill>
                    </w:rPr>
                    <w:t>非甲烷总烃</w:t>
                  </w:r>
                </w:p>
              </w:tc>
              <w:tc>
                <w:tcPr>
                  <w:tcW w:w="1431" w:type="pct"/>
                  <w:vAlign w:val="center"/>
                </w:tcPr>
                <w:p w14:paraId="029A7CFE">
                  <w:pPr>
                    <w:pStyle w:val="129"/>
                    <w:pageBreakBefore w:val="0"/>
                    <w:kinsoku/>
                    <w:overflowPunct/>
                    <w:topLinePunct w:val="0"/>
                    <w:bidi w:val="0"/>
                    <w:ind w:left="0" w:leftChars="0" w:right="0"/>
                    <w:jc w:val="center"/>
                    <w:rPr>
                      <w:rFonts w:hint="eastAsia" w:eastAsia="宋体"/>
                      <w:b w:val="0"/>
                      <w:bCs w:val="0"/>
                      <w:color w:val="000000" w:themeColor="text1"/>
                      <w:lang w:eastAsia="zh-CN"/>
                      <w14:textFill>
                        <w14:solidFill>
                          <w14:schemeClr w14:val="tx1"/>
                        </w14:solidFill>
                      </w14:textFill>
                    </w:rPr>
                  </w:pPr>
                  <w:r>
                    <w:rPr>
                      <w:rFonts w:hint="eastAsia"/>
                      <w:b w:val="0"/>
                      <w:bCs w:val="0"/>
                      <w:color w:val="000000" w:themeColor="text1"/>
                      <w:lang w:eastAsia="zh-CN"/>
                      <w14:textFill>
                        <w14:solidFill>
                          <w14:schemeClr w14:val="tx1"/>
                        </w14:solidFill>
                      </w14:textFill>
                    </w:rPr>
                    <w:t>小时值</w:t>
                  </w:r>
                </w:p>
              </w:tc>
              <w:tc>
                <w:tcPr>
                  <w:tcW w:w="1232" w:type="pct"/>
                  <w:vAlign w:val="center"/>
                </w:tcPr>
                <w:p w14:paraId="0DEAFA6C">
                  <w:pPr>
                    <w:pStyle w:val="129"/>
                    <w:pageBreakBefore w:val="0"/>
                    <w:kinsoku/>
                    <w:overflowPunct/>
                    <w:topLinePunct w:val="0"/>
                    <w:bidi w:val="0"/>
                    <w:ind w:left="0" w:leftChars="0" w:right="0"/>
                    <w:jc w:val="center"/>
                    <w:rPr>
                      <w:rFonts w:hint="default" w:eastAsia="宋体"/>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0.12~0.24</w:t>
                  </w:r>
                </w:p>
              </w:tc>
              <w:tc>
                <w:tcPr>
                  <w:tcW w:w="698" w:type="pct"/>
                  <w:vAlign w:val="center"/>
                </w:tcPr>
                <w:p w14:paraId="0C3BC3ED">
                  <w:pPr>
                    <w:pStyle w:val="129"/>
                    <w:pageBreakBefore w:val="0"/>
                    <w:kinsoku/>
                    <w:overflowPunct/>
                    <w:topLinePunct w:val="0"/>
                    <w:bidi w:val="0"/>
                    <w:ind w:left="0" w:leftChars="0" w:right="0"/>
                    <w:jc w:val="center"/>
                    <w:rPr>
                      <w:rFonts w:hint="default" w:eastAsia="宋体"/>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2.0</w:t>
                  </w:r>
                </w:p>
              </w:tc>
              <w:tc>
                <w:tcPr>
                  <w:tcW w:w="624" w:type="pct"/>
                  <w:vAlign w:val="center"/>
                </w:tcPr>
                <w:p w14:paraId="1C037A28">
                  <w:pPr>
                    <w:pageBreakBefore w:val="0"/>
                    <w:kinsoku/>
                    <w:overflowPunct/>
                    <w:topLinePunct w:val="0"/>
                    <w:bidi w:val="0"/>
                    <w:ind w:left="0" w:leftChars="0" w:right="0"/>
                    <w:jc w:val="center"/>
                    <w:rPr>
                      <w:rFonts w:hint="eastAsia"/>
                      <w:b w:val="0"/>
                      <w:bCs w:val="0"/>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达标</w:t>
                  </w:r>
                </w:p>
              </w:tc>
            </w:tr>
            <w:tr w14:paraId="00551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vMerge w:val="restart"/>
                  <w:vAlign w:val="center"/>
                </w:tcPr>
                <w:p w14:paraId="05564078">
                  <w:pPr>
                    <w:pStyle w:val="129"/>
                    <w:pageBreakBefore w:val="0"/>
                    <w:kinsoku/>
                    <w:overflowPunct/>
                    <w:topLinePunct w:val="0"/>
                    <w:bidi w:val="0"/>
                    <w:ind w:left="0" w:leftChars="0" w:right="0"/>
                    <w:jc w:val="center"/>
                    <w:rPr>
                      <w:rFonts w:hint="default" w:eastAsia="宋体"/>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G2</w:t>
                  </w:r>
                </w:p>
              </w:tc>
              <w:tc>
                <w:tcPr>
                  <w:tcW w:w="544" w:type="pct"/>
                  <w:vMerge w:val="restart"/>
                  <w:vAlign w:val="center"/>
                </w:tcPr>
                <w:p w14:paraId="4082F38B">
                  <w:pPr>
                    <w:pStyle w:val="129"/>
                    <w:pageBreakBefore w:val="0"/>
                    <w:kinsoku/>
                    <w:overflowPunct/>
                    <w:topLinePunct w:val="0"/>
                    <w:bidi w:val="0"/>
                    <w:ind w:left="0" w:leftChars="0" w:right="0"/>
                    <w:jc w:val="center"/>
                    <w:rPr>
                      <w:rFonts w:hint="default"/>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NOx</w:t>
                  </w:r>
                </w:p>
              </w:tc>
              <w:tc>
                <w:tcPr>
                  <w:tcW w:w="1431" w:type="pct"/>
                  <w:vAlign w:val="center"/>
                </w:tcPr>
                <w:p w14:paraId="585D52A2">
                  <w:pPr>
                    <w:pStyle w:val="129"/>
                    <w:pageBreakBefore w:val="0"/>
                    <w:kinsoku/>
                    <w:overflowPunct/>
                    <w:topLinePunct w:val="0"/>
                    <w:bidi w:val="0"/>
                    <w:ind w:left="0" w:leftChars="0" w:right="0"/>
                    <w:jc w:val="center"/>
                    <w:rPr>
                      <w:rFonts w:hint="eastAsia"/>
                      <w:b w:val="0"/>
                      <w:bCs w:val="0"/>
                      <w:color w:val="000000" w:themeColor="text1"/>
                      <w:lang w:eastAsia="zh-CN"/>
                      <w14:textFill>
                        <w14:solidFill>
                          <w14:schemeClr w14:val="tx1"/>
                        </w14:solidFill>
                      </w14:textFill>
                    </w:rPr>
                  </w:pPr>
                  <w:r>
                    <w:rPr>
                      <w:rFonts w:hint="eastAsia"/>
                      <w:b w:val="0"/>
                      <w:bCs w:val="0"/>
                      <w:color w:val="000000" w:themeColor="text1"/>
                      <w:lang w:eastAsia="zh-CN"/>
                      <w14:textFill>
                        <w14:solidFill>
                          <w14:schemeClr w14:val="tx1"/>
                        </w14:solidFill>
                      </w14:textFill>
                    </w:rPr>
                    <w:t>小时值</w:t>
                  </w:r>
                </w:p>
              </w:tc>
              <w:tc>
                <w:tcPr>
                  <w:tcW w:w="1232" w:type="pct"/>
                  <w:vAlign w:val="center"/>
                </w:tcPr>
                <w:p w14:paraId="74813551">
                  <w:pPr>
                    <w:pStyle w:val="129"/>
                    <w:pageBreakBefore w:val="0"/>
                    <w:kinsoku/>
                    <w:overflowPunct/>
                    <w:topLinePunct w:val="0"/>
                    <w:bidi w:val="0"/>
                    <w:ind w:left="0" w:leftChars="0" w:right="0"/>
                    <w:jc w:val="center"/>
                    <w:rPr>
                      <w:rFonts w:hint="default"/>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0.02~0.042</w:t>
                  </w:r>
                </w:p>
              </w:tc>
              <w:tc>
                <w:tcPr>
                  <w:tcW w:w="698" w:type="pct"/>
                  <w:vAlign w:val="center"/>
                </w:tcPr>
                <w:p w14:paraId="0669E2BA">
                  <w:pPr>
                    <w:pStyle w:val="129"/>
                    <w:pageBreakBefore w:val="0"/>
                    <w:kinsoku/>
                    <w:overflowPunct/>
                    <w:topLinePunct w:val="0"/>
                    <w:bidi w:val="0"/>
                    <w:ind w:left="0" w:leftChars="0" w:right="0"/>
                    <w:jc w:val="center"/>
                    <w:rPr>
                      <w:rFonts w:hint="default"/>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0.25</w:t>
                  </w:r>
                </w:p>
              </w:tc>
              <w:tc>
                <w:tcPr>
                  <w:tcW w:w="624" w:type="pct"/>
                  <w:vAlign w:val="center"/>
                </w:tcPr>
                <w:p w14:paraId="79FAF865">
                  <w:pPr>
                    <w:pageBreakBefore w:val="0"/>
                    <w:kinsoku/>
                    <w:overflowPunct/>
                    <w:topLinePunct w:val="0"/>
                    <w:bidi w:val="0"/>
                    <w:ind w:left="0" w:leftChars="0" w:right="0"/>
                    <w:jc w:val="center"/>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达标</w:t>
                  </w:r>
                </w:p>
              </w:tc>
            </w:tr>
            <w:tr w14:paraId="46C2A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vMerge w:val="continue"/>
                  <w:vAlign w:val="center"/>
                </w:tcPr>
                <w:p w14:paraId="2F2F669D">
                  <w:pPr>
                    <w:pStyle w:val="129"/>
                    <w:pageBreakBefore w:val="0"/>
                    <w:kinsoku/>
                    <w:overflowPunct/>
                    <w:topLinePunct w:val="0"/>
                    <w:bidi w:val="0"/>
                    <w:ind w:left="0" w:leftChars="0" w:right="0"/>
                    <w:jc w:val="center"/>
                    <w:rPr>
                      <w:rFonts w:hint="eastAsia"/>
                      <w:b w:val="0"/>
                      <w:bCs w:val="0"/>
                      <w:color w:val="000000" w:themeColor="text1"/>
                      <w14:textFill>
                        <w14:solidFill>
                          <w14:schemeClr w14:val="tx1"/>
                        </w14:solidFill>
                      </w14:textFill>
                    </w:rPr>
                  </w:pPr>
                </w:p>
              </w:tc>
              <w:tc>
                <w:tcPr>
                  <w:tcW w:w="544" w:type="pct"/>
                  <w:vMerge w:val="continue"/>
                  <w:vAlign w:val="center"/>
                </w:tcPr>
                <w:p w14:paraId="0F418DE5">
                  <w:pPr>
                    <w:pStyle w:val="129"/>
                    <w:pageBreakBefore w:val="0"/>
                    <w:kinsoku/>
                    <w:overflowPunct/>
                    <w:topLinePunct w:val="0"/>
                    <w:bidi w:val="0"/>
                    <w:ind w:left="0" w:leftChars="0" w:right="0"/>
                    <w:jc w:val="center"/>
                    <w:rPr>
                      <w:rFonts w:hint="eastAsia"/>
                      <w:b w:val="0"/>
                      <w:bCs w:val="0"/>
                      <w:color w:val="000000" w:themeColor="text1"/>
                      <w:lang w:eastAsia="zh-CN"/>
                      <w14:textFill>
                        <w14:solidFill>
                          <w14:schemeClr w14:val="tx1"/>
                        </w14:solidFill>
                      </w14:textFill>
                    </w:rPr>
                  </w:pPr>
                </w:p>
              </w:tc>
              <w:tc>
                <w:tcPr>
                  <w:tcW w:w="1431" w:type="pct"/>
                  <w:vAlign w:val="center"/>
                </w:tcPr>
                <w:p w14:paraId="0301A8CD">
                  <w:pPr>
                    <w:pStyle w:val="129"/>
                    <w:pageBreakBefore w:val="0"/>
                    <w:kinsoku/>
                    <w:overflowPunct/>
                    <w:topLinePunct w:val="0"/>
                    <w:bidi w:val="0"/>
                    <w:ind w:left="0" w:leftChars="0" w:right="0"/>
                    <w:jc w:val="center"/>
                    <w:rPr>
                      <w:rFonts w:hint="eastAsia"/>
                      <w:b w:val="0"/>
                      <w:bCs w:val="0"/>
                      <w:color w:val="000000" w:themeColor="text1"/>
                      <w:lang w:eastAsia="zh-CN"/>
                      <w14:textFill>
                        <w14:solidFill>
                          <w14:schemeClr w14:val="tx1"/>
                        </w14:solidFill>
                      </w14:textFill>
                    </w:rPr>
                  </w:pPr>
                  <w:r>
                    <w:rPr>
                      <w:rFonts w:hint="eastAsia"/>
                      <w:b w:val="0"/>
                      <w:bCs w:val="0"/>
                      <w:color w:val="000000" w:themeColor="text1"/>
                      <w:lang w:eastAsia="zh-CN"/>
                      <w14:textFill>
                        <w14:solidFill>
                          <w14:schemeClr w14:val="tx1"/>
                        </w14:solidFill>
                      </w14:textFill>
                    </w:rPr>
                    <w:t>日均值</w:t>
                  </w:r>
                </w:p>
              </w:tc>
              <w:tc>
                <w:tcPr>
                  <w:tcW w:w="1232" w:type="pct"/>
                  <w:vAlign w:val="center"/>
                </w:tcPr>
                <w:p w14:paraId="5318D13F">
                  <w:pPr>
                    <w:pStyle w:val="129"/>
                    <w:pageBreakBefore w:val="0"/>
                    <w:kinsoku/>
                    <w:overflowPunct/>
                    <w:topLinePunct w:val="0"/>
                    <w:bidi w:val="0"/>
                    <w:ind w:left="0" w:leftChars="0" w:right="0"/>
                    <w:jc w:val="center"/>
                    <w:rPr>
                      <w:rFonts w:hint="default"/>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0.015~0.025</w:t>
                  </w:r>
                </w:p>
              </w:tc>
              <w:tc>
                <w:tcPr>
                  <w:tcW w:w="698" w:type="pct"/>
                  <w:vAlign w:val="center"/>
                </w:tcPr>
                <w:p w14:paraId="4219B5FE">
                  <w:pPr>
                    <w:pStyle w:val="129"/>
                    <w:pageBreakBefore w:val="0"/>
                    <w:kinsoku/>
                    <w:overflowPunct/>
                    <w:topLinePunct w:val="0"/>
                    <w:bidi w:val="0"/>
                    <w:ind w:left="0" w:leftChars="0" w:right="0"/>
                    <w:jc w:val="center"/>
                    <w:rPr>
                      <w:rFonts w:hint="default"/>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0.1</w:t>
                  </w:r>
                </w:p>
              </w:tc>
              <w:tc>
                <w:tcPr>
                  <w:tcW w:w="624" w:type="pct"/>
                  <w:vAlign w:val="center"/>
                </w:tcPr>
                <w:p w14:paraId="6DF5B54A">
                  <w:pPr>
                    <w:pageBreakBefore w:val="0"/>
                    <w:kinsoku/>
                    <w:overflowPunct/>
                    <w:topLinePunct w:val="0"/>
                    <w:bidi w:val="0"/>
                    <w:ind w:left="0" w:leftChars="0" w:right="0"/>
                    <w:jc w:val="center"/>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达标</w:t>
                  </w:r>
                </w:p>
              </w:tc>
            </w:tr>
          </w:tbl>
          <w:p w14:paraId="2B40D777">
            <w:pPr>
              <w:pageBreakBefore w:val="0"/>
              <w:kinsoku/>
              <w:overflowPunct/>
              <w:topLinePunct w:val="0"/>
              <w:bidi w:val="0"/>
              <w:adjustRightInd w:val="0"/>
              <w:snapToGrid w:val="0"/>
              <w:spacing w:line="348" w:lineRule="auto"/>
              <w:ind w:left="0" w:leftChars="0" w:right="0"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由表3-2可知</w:t>
            </w:r>
            <w:r>
              <w:rPr>
                <w:rFonts w:hint="eastAsia"/>
                <w:color w:val="000000" w:themeColor="text1"/>
                <w:kern w:val="0"/>
                <w:sz w:val="24"/>
                <w:lang w:eastAsia="zh-CN"/>
                <w14:textFill>
                  <w14:solidFill>
                    <w14:schemeClr w14:val="tx1"/>
                  </w14:solidFill>
                </w14:textFill>
              </w:rPr>
              <w:t>，本项目引用</w:t>
            </w:r>
            <w:r>
              <w:rPr>
                <w:color w:val="000000" w:themeColor="text1"/>
                <w:kern w:val="0"/>
                <w:sz w:val="24"/>
                <w14:textFill>
                  <w14:solidFill>
                    <w14:schemeClr w14:val="tx1"/>
                  </w14:solidFill>
                </w14:textFill>
              </w:rPr>
              <w:t>TSP</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NOx</w:t>
            </w:r>
            <w:r>
              <w:rPr>
                <w:color w:val="000000" w:themeColor="text1"/>
                <w:kern w:val="0"/>
                <w:sz w:val="24"/>
                <w14:textFill>
                  <w14:solidFill>
                    <w14:schemeClr w14:val="tx1"/>
                  </w14:solidFill>
                </w14:textFill>
              </w:rPr>
              <w:t>浓度能够达到《环境空气质量标准》（GB3095-20</w:t>
            </w:r>
            <w:r>
              <w:rPr>
                <w:rFonts w:hint="eastAsia"/>
                <w:color w:val="000000" w:themeColor="text1"/>
                <w:kern w:val="0"/>
                <w:sz w:val="24"/>
                <w:lang w:val="en-US" w:eastAsia="zh-CN"/>
                <w14:textFill>
                  <w14:solidFill>
                    <w14:schemeClr w14:val="tx1"/>
                  </w14:solidFill>
                </w14:textFill>
              </w:rPr>
              <w:t>12</w:t>
            </w:r>
            <w:r>
              <w:rPr>
                <w:color w:val="000000" w:themeColor="text1"/>
                <w:kern w:val="0"/>
                <w:sz w:val="24"/>
                <w14:textFill>
                  <w14:solidFill>
                    <w14:schemeClr w14:val="tx1"/>
                  </w14:solidFill>
                </w14:textFill>
              </w:rPr>
              <w:t>）</w:t>
            </w:r>
            <w:r>
              <w:rPr>
                <w:rFonts w:hint="eastAsia"/>
                <w:color w:val="000000" w:themeColor="text1"/>
                <w:kern w:val="0"/>
                <w:sz w:val="24"/>
                <w:lang w:eastAsia="zh-CN"/>
                <w14:textFill>
                  <w14:solidFill>
                    <w14:schemeClr w14:val="tx1"/>
                  </w14:solidFill>
                </w14:textFill>
              </w:rPr>
              <w:t>中表</w:t>
            </w:r>
            <w:r>
              <w:rPr>
                <w:rFonts w:hint="eastAsia"/>
                <w:color w:val="000000" w:themeColor="text1"/>
                <w:kern w:val="0"/>
                <w:sz w:val="24"/>
                <w:lang w:val="en-US" w:eastAsia="zh-CN"/>
                <w14:textFill>
                  <w14:solidFill>
                    <w14:schemeClr w14:val="tx1"/>
                  </w14:solidFill>
                </w14:textFill>
              </w:rPr>
              <w:t>2</w:t>
            </w:r>
            <w:r>
              <w:rPr>
                <w:rFonts w:hint="eastAsia"/>
                <w:color w:val="000000" w:themeColor="text1"/>
                <w:kern w:val="0"/>
                <w:sz w:val="24"/>
                <w:lang w:eastAsia="zh-CN"/>
                <w14:textFill>
                  <w14:solidFill>
                    <w14:schemeClr w14:val="tx1"/>
                  </w14:solidFill>
                </w14:textFill>
              </w:rPr>
              <w:t>二级标准浓度限值</w:t>
            </w:r>
            <w:r>
              <w:rPr>
                <w:color w:val="000000" w:themeColor="text1"/>
                <w:kern w:val="0"/>
                <w:sz w:val="24"/>
                <w14:textFill>
                  <w14:solidFill>
                    <w14:schemeClr w14:val="tx1"/>
                  </w14:solidFill>
                </w14:textFill>
              </w:rPr>
              <w:t>要求；</w:t>
            </w:r>
            <w:r>
              <w:rPr>
                <w:rFonts w:hint="eastAsia"/>
                <w:color w:val="000000" w:themeColor="text1"/>
                <w:kern w:val="0"/>
                <w:sz w:val="24"/>
                <w:lang w:eastAsia="zh-CN"/>
                <w14:textFill>
                  <w14:solidFill>
                    <w14:schemeClr w14:val="tx1"/>
                  </w14:solidFill>
                </w14:textFill>
              </w:rPr>
              <w:t>非甲烷总烃</w:t>
            </w:r>
            <w:r>
              <w:rPr>
                <w:color w:val="000000" w:themeColor="text1"/>
                <w:kern w:val="0"/>
                <w:sz w:val="24"/>
                <w14:textFill>
                  <w14:solidFill>
                    <w14:schemeClr w14:val="tx1"/>
                  </w14:solidFill>
                </w14:textFill>
              </w:rPr>
              <w:t>能满足</w:t>
            </w:r>
            <w:r>
              <w:rPr>
                <w:rFonts w:hint="default"/>
                <w:color w:val="000000" w:themeColor="text1"/>
                <w:kern w:val="0"/>
                <w:sz w:val="24"/>
                <w:lang w:val="en-US" w:eastAsia="zh-CN"/>
                <w14:textFill>
                  <w14:solidFill>
                    <w14:schemeClr w14:val="tx1"/>
                  </w14:solidFill>
                </w14:textFill>
              </w:rPr>
              <w:t>《大气污染物综合排放标准详解》</w:t>
            </w:r>
            <w:r>
              <w:rPr>
                <w:color w:val="000000" w:themeColor="text1"/>
                <w:kern w:val="0"/>
                <w:sz w:val="24"/>
                <w14:textFill>
                  <w14:solidFill>
                    <w14:schemeClr w14:val="tx1"/>
                  </w14:solidFill>
                </w14:textFill>
              </w:rPr>
              <w:t>中浓度限值。</w:t>
            </w:r>
          </w:p>
          <w:p w14:paraId="60584967">
            <w:pPr>
              <w:pageBreakBefore w:val="0"/>
              <w:kinsoku/>
              <w:overflowPunct/>
              <w:topLinePunct w:val="0"/>
              <w:bidi w:val="0"/>
              <w:adjustRightInd w:val="0"/>
              <w:snapToGrid w:val="0"/>
              <w:spacing w:line="348" w:lineRule="auto"/>
              <w:ind w:left="0" w:leftChars="0" w:right="0" w:firstLine="480" w:firstLineChars="200"/>
              <w:rPr>
                <w:rFonts w:hint="eastAsia"/>
                <w:color w:val="000000" w:themeColor="text1"/>
                <w:kern w:val="0"/>
                <w:sz w:val="24"/>
                <w:lang w:eastAsia="zh-CN"/>
                <w14:textFill>
                  <w14:solidFill>
                    <w14:schemeClr w14:val="tx1"/>
                  </w14:solidFill>
                </w14:textFill>
              </w:rPr>
            </w:pPr>
            <w:r>
              <w:rPr>
                <w:color w:val="000000" w:themeColor="text1"/>
                <w:kern w:val="0"/>
                <w:sz w:val="24"/>
                <w14:textFill>
                  <w14:solidFill>
                    <w14:schemeClr w14:val="tx1"/>
                  </w14:solidFill>
                </w14:textFill>
              </w:rPr>
              <w:t>项目区环境空气质量满足功能区要求。项目区环境空气质量满足功能区要求</w:t>
            </w:r>
            <w:r>
              <w:rPr>
                <w:rFonts w:hint="eastAsia"/>
                <w:color w:val="000000" w:themeColor="text1"/>
                <w:kern w:val="0"/>
                <w:sz w:val="24"/>
                <w:lang w:eastAsia="zh-CN"/>
                <w14:textFill>
                  <w14:solidFill>
                    <w14:schemeClr w14:val="tx1"/>
                  </w14:solidFill>
                </w14:textFill>
              </w:rPr>
              <w:t>。</w:t>
            </w:r>
          </w:p>
          <w:p w14:paraId="740F3223">
            <w:pPr>
              <w:pageBreakBefore w:val="0"/>
              <w:kinsoku/>
              <w:overflowPunct/>
              <w:topLinePunct w:val="0"/>
              <w:bidi w:val="0"/>
              <w:adjustRightInd w:val="0"/>
              <w:snapToGrid w:val="0"/>
              <w:spacing w:line="348" w:lineRule="auto"/>
              <w:ind w:left="0" w:leftChars="0" w:right="0" w:firstLine="480" w:firstLineChars="200"/>
              <w:rPr>
                <w:rFonts w:hint="eastAsia"/>
                <w:color w:val="000000" w:themeColor="text1"/>
                <w:kern w:val="0"/>
                <w:sz w:val="24"/>
                <w:lang w:eastAsia="zh-CN"/>
                <w14:textFill>
                  <w14:solidFill>
                    <w14:schemeClr w14:val="tx1"/>
                  </w14:solidFill>
                </w14:textFill>
              </w:rPr>
            </w:pPr>
          </w:p>
          <w:p w14:paraId="75C14116">
            <w:pPr>
              <w:pageBreakBefore w:val="0"/>
              <w:kinsoku/>
              <w:overflowPunct/>
              <w:topLinePunct w:val="0"/>
              <w:bidi w:val="0"/>
              <w:adjustRightInd w:val="0"/>
              <w:snapToGrid w:val="0"/>
              <w:spacing w:line="348" w:lineRule="auto"/>
              <w:ind w:left="0" w:leftChars="0" w:right="0" w:firstLine="480" w:firstLineChars="200"/>
              <w:rPr>
                <w:rFonts w:hint="eastAsia"/>
                <w:color w:val="000000" w:themeColor="text1"/>
                <w:kern w:val="0"/>
                <w:sz w:val="24"/>
                <w:lang w:eastAsia="zh-CN"/>
                <w14:textFill>
                  <w14:solidFill>
                    <w14:schemeClr w14:val="tx1"/>
                  </w14:solidFill>
                </w14:textFill>
              </w:rPr>
            </w:pPr>
          </w:p>
          <w:p w14:paraId="1A821961">
            <w:pPr>
              <w:pageBreakBefore w:val="0"/>
              <w:kinsoku/>
              <w:overflowPunct/>
              <w:topLinePunct w:val="0"/>
              <w:bidi w:val="0"/>
              <w:adjustRightInd w:val="0"/>
              <w:snapToGrid w:val="0"/>
              <w:spacing w:line="348" w:lineRule="auto"/>
              <w:ind w:left="0" w:leftChars="0" w:right="0" w:firstLine="480" w:firstLineChars="200"/>
              <w:rPr>
                <w:rFonts w:hint="eastAsia"/>
                <w:color w:val="000000" w:themeColor="text1"/>
                <w:kern w:val="0"/>
                <w:sz w:val="24"/>
                <w:lang w:eastAsia="zh-CN"/>
                <w14:textFill>
                  <w14:solidFill>
                    <w14:schemeClr w14:val="tx1"/>
                  </w14:solidFill>
                </w14:textFill>
              </w:rPr>
            </w:pPr>
          </w:p>
          <w:p w14:paraId="1150A55F">
            <w:pPr>
              <w:pageBreakBefore w:val="0"/>
              <w:kinsoku/>
              <w:overflowPunct/>
              <w:topLinePunct w:val="0"/>
              <w:bidi w:val="0"/>
              <w:adjustRightInd w:val="0"/>
              <w:snapToGrid w:val="0"/>
              <w:spacing w:line="348" w:lineRule="auto"/>
              <w:ind w:left="0" w:leftChars="0" w:right="0" w:firstLine="480" w:firstLineChars="200"/>
              <w:rPr>
                <w:rFonts w:hint="eastAsia"/>
                <w:color w:val="000000" w:themeColor="text1"/>
                <w:kern w:val="0"/>
                <w:sz w:val="24"/>
                <w:lang w:eastAsia="zh-CN"/>
                <w14:textFill>
                  <w14:solidFill>
                    <w14:schemeClr w14:val="tx1"/>
                  </w14:solidFill>
                </w14:textFill>
              </w:rPr>
            </w:pPr>
          </w:p>
          <w:p w14:paraId="14F7585B">
            <w:pPr>
              <w:pageBreakBefore w:val="0"/>
              <w:kinsoku/>
              <w:overflowPunct/>
              <w:topLinePunct w:val="0"/>
              <w:bidi w:val="0"/>
              <w:adjustRightInd w:val="0"/>
              <w:snapToGrid w:val="0"/>
              <w:spacing w:line="348" w:lineRule="auto"/>
              <w:ind w:left="0" w:leftChars="0" w:right="0" w:firstLine="480" w:firstLineChars="200"/>
              <w:rPr>
                <w:rFonts w:hint="eastAsia"/>
                <w:color w:val="000000" w:themeColor="text1"/>
                <w:kern w:val="0"/>
                <w:sz w:val="24"/>
                <w:lang w:eastAsia="zh-CN"/>
                <w14:textFill>
                  <w14:solidFill>
                    <w14:schemeClr w14:val="tx1"/>
                  </w14:solidFill>
                </w14:textFill>
              </w:rPr>
            </w:pPr>
          </w:p>
          <w:p w14:paraId="79E50E81">
            <w:pPr>
              <w:pageBreakBefore w:val="0"/>
              <w:kinsoku/>
              <w:overflowPunct/>
              <w:topLinePunct w:val="0"/>
              <w:bidi w:val="0"/>
              <w:adjustRightInd w:val="0"/>
              <w:snapToGrid w:val="0"/>
              <w:spacing w:line="348" w:lineRule="auto"/>
              <w:ind w:left="0" w:leftChars="0" w:right="0" w:firstLine="480" w:firstLineChars="200"/>
              <w:rPr>
                <w:rFonts w:hint="eastAsia"/>
                <w:color w:val="000000" w:themeColor="text1"/>
                <w:kern w:val="0"/>
                <w:sz w:val="24"/>
                <w:lang w:eastAsia="zh-CN"/>
                <w14:textFill>
                  <w14:solidFill>
                    <w14:schemeClr w14:val="tx1"/>
                  </w14:solidFill>
                </w14:textFill>
              </w:rPr>
            </w:pPr>
          </w:p>
          <w:p w14:paraId="6067B0FF">
            <w:pPr>
              <w:pStyle w:val="17"/>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Times New Roman" w:hAnsi="Times New Roman"/>
                <w:b/>
                <w:bCs/>
                <w:color w:val="000000" w:themeColor="text1"/>
                <w:sz w:val="21"/>
                <w:szCs w:val="21"/>
                <w:lang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410845</wp:posOffset>
                      </wp:positionH>
                      <wp:positionV relativeFrom="paragraph">
                        <wp:posOffset>325120</wp:posOffset>
                      </wp:positionV>
                      <wp:extent cx="2276475" cy="1829435"/>
                      <wp:effectExtent l="0" t="0" r="9525" b="18415"/>
                      <wp:wrapNone/>
                      <wp:docPr id="18" name="直接箭头连接符 18"/>
                      <wp:cNvGraphicFramePr/>
                      <a:graphic xmlns:a="http://schemas.openxmlformats.org/drawingml/2006/main">
                        <a:graphicData uri="http://schemas.microsoft.com/office/word/2010/wordprocessingShape">
                          <wps:wsp>
                            <wps:cNvCnPr/>
                            <wps:spPr>
                              <a:xfrm>
                                <a:off x="1842770" y="4471035"/>
                                <a:ext cx="2276475" cy="1829435"/>
                              </a:xfrm>
                              <a:prstGeom prst="straightConnector1">
                                <a:avLst/>
                              </a:prstGeom>
                              <a:ln>
                                <a:solidFill>
                                  <a:srgbClr val="FF0000"/>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2.35pt;margin-top:25.6pt;height:144.05pt;width:179.25pt;z-index:251660288;mso-width-relative:page;mso-height-relative:page;" filled="f" stroked="t" coordsize="21600,21600" o:gfxdata="UEsDBAoAAAAAAIdO4kAAAAAAAAAAAAAAAAAEAAAAZHJzL1BLAwQUAAAACACHTuJA0iGQF9oAAAAJ&#10;AQAADwAAAGRycy9kb3ducmV2LnhtbE2PzU7DMBCE70i8g7VI3KjzUwINcSpaqZzooS2Iq5Ns44h4&#10;HWK3DW/PcoLbrGY0822xnGwvzjj6zpGCeBaBQKpd01Gr4O2wuXsE4YOmRveOUME3eliW11eFzht3&#10;oR2e96EVXEI+1wpMCEMupa8NWu1nbkBi7+hGqwOfYyubUV+43PYyiaJMWt0RLxg94Npg/bk/WQUL&#10;+Xw8rLbTR3h9X692m+SrejGZUrc3cfQEIuAU/sLwi8/oUDJT5U7UeNEryOYPnFRwHycg2J8nKYtK&#10;QZouUpBlIf9/UP4AUEsDBBQAAAAIAIdO4kBVQ9jaFQIAAPUDAAAOAAAAZHJzL2Uyb0RvYy54bWyt&#10;U81y0zAQvjPDO2h0J3aM05RMnB4SwoWBzEAfQJFlWzP6m5UaJy/BCzDDCThRTr3zNNA+Bis5tFA4&#10;9IAP8kq7++1+n1bzs71WZCfAS2sqOh7llAjDbS1NW9Hzt+snp5T4wEzNlDWiogfh6dni8aN572ai&#10;sJ1VtQCCIMbPelfRLgQ3yzLPO6GZH1knDDobC5oF3EKb1cB6RNcqK/L8JOst1A4sF97j6Wpw0iMi&#10;PATQNo3kYmX5hRYmDKggFAtIyXfSebpI3TaN4OF103gRiKooMg1pxSJob+OaLeZs1gJzneTHFthD&#10;WrjHSTNpsOgt1IoFRi5A/gWlJQfrbRNG3OpsIJIUQRbj/J42bzrmROKCUnt3K7r/f7D81W4DRNY4&#10;CXjvhmm88ev3Vz/efbr+evn949XNtw/R/vKZoB/F6p2fYc7SbOC4824Dkfm+AR3/yInsI1xZTKco&#10;86GiZTkd508ng9hiHwjHgKKYnpTTCSUcI8anxbNyiMjuoBz48EJYTaJRUR+AybYLS2sMXqyFcZKc&#10;7V76gM1g4q+E2Iexa6lUul9lSI8FJ2WO/XCGQ9vgsKCpHRL3pqWEqRZfAw+QIL1Vso7pEchDu10q&#10;IDuGM7Re5/hFJljuj7BYe8V8N8Ql10C4E6x+bmoSDg7FZQC2HxyBSfUPBwIrg/hR6kHcaG1tfUia&#10;p3OchtTBcXLjuP2+T9l3r3X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IhkBfaAAAACQEAAA8A&#10;AAAAAAAAAQAgAAAAIgAAAGRycy9kb3ducmV2LnhtbFBLAQIUABQAAAAIAIdO4kBVQ9jaFQIAAPUD&#10;AAAOAAAAAAAAAAEAIAAAACkBAABkcnMvZTJvRG9jLnhtbFBLBQYAAAAABgAGAFkBAACwBQAAAAA=&#10;">
                      <v:fill on="f" focussize="0,0"/>
                      <v:stroke weight="2pt" color="#FF0000 [3204]" joinstyle="round" startarrow="open"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3335020</wp:posOffset>
                      </wp:positionH>
                      <wp:positionV relativeFrom="paragraph">
                        <wp:posOffset>1951355</wp:posOffset>
                      </wp:positionV>
                      <wp:extent cx="695325" cy="36195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695325"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CEB5F9">
                                  <w:pPr>
                                    <w:rPr>
                                      <w:rFonts w:hint="default" w:eastAsia="宋体"/>
                                      <w:b/>
                                      <w:bCs/>
                                      <w:color w:val="FF0000"/>
                                      <w:lang w:val="en-US" w:eastAsia="zh-CN"/>
                                    </w:rPr>
                                  </w:pPr>
                                  <w:r>
                                    <w:rPr>
                                      <w:rFonts w:hint="eastAsia"/>
                                      <w:b/>
                                      <w:bCs/>
                                      <w:color w:val="FF0000"/>
                                      <w:lang w:val="en-US" w:eastAsia="zh-CN"/>
                                    </w:rPr>
                                    <w:t>2km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6pt;margin-top:153.65pt;height:28.5pt;width:54.75pt;z-index:251664384;mso-width-relative:page;mso-height-relative:page;" filled="f" stroked="f" coordsize="21600,21600" o:gfxdata="UEsDBAoAAAAAAIdO4kAAAAAAAAAAAAAAAAAEAAAAZHJzL1BLAwQUAAAACACHTuJA6FIckNwAAAAL&#10;AQAADwAAAGRycy9kb3ducmV2LnhtbE2Py07DMBBF90j8gzVI7KjdpEmrEKdCkSokBIuWbtg5sZtE&#10;2OMQuw/4eoZVWc7M0Z1zy/XFWXYyUxg8SpjPBDCDrdcDdhL275uHFbAQFWplPRoJ3ybAurq9KVWh&#10;/Rm35rSLHaMQDIWS0Mc4FpyHtjdOhZkfDdLt4CenIo1Tx/WkzhTuLE+EyLlTA9KHXo2m7k37uTs6&#10;CS/15k1tm8Stfmz9/Hp4Gr/2H5mU93dz8Qgsmku8wvCnT+pQkVPjj6gDsxKyJEsIlZCKZQqMiDxd&#10;LIE1tMkXKfCq5P87VL9QSwMEFAAAAAgAh07iQA8yyW47AgAAZwQAAA4AAABkcnMvZTJvRG9jLnht&#10;bK1UzW7UMBC+I/EOlu80+9MtdNVstbQqQqpopQVx9jpOE8n2GNvbpDwAvEFPXLjzXH0OPju7bSkc&#10;euDijGfG3/j7Zpyj495odq18aMmWfLw34kxZSVVrr0r+6ePZqzechShsJTRZVfIbFfjx4uWLo87N&#10;1YQa0pXyDCA2zDtX8iZGNy+KIBtlRNgjpyyCNXkjIrb+qqi86IBudDEZjQ6KjnzlPEkVArynQ5Bv&#10;Ef1zAKmuW6lOSW6MsnFA9UqLCEqhaV3gi3zbulYyXtR1UJHpkoNpzCuKwF6ntVgcifmVF65p5fYK&#10;4jlXeMLJiNai6D3UqYiCbXz7F5RppadAddyTZIqBSFYELMajJ9qsGuFU5gKpg7sXPfw/WPnh+tKz&#10;tir5FJJYYdDxu9vvdz9+3f38xuCDQJ0Lc+StHDJj/5Z6jM3OH+BMvPvam/QFI4Y4sG7u5VV9ZBLO&#10;g8PZdDLjTCI0PRgfzjJ68XDY+RDfKTIsGSX36F4WVVyfh4iLIHWXkmpZOmu1zh3UlnUoMAXkHxGc&#10;0BYHE4XhqsmK/brf8lpTdQNanobJCE6etSh+LkK8FB6jACZ4LPECS60JRWhrcdaQ//ovf8pHhxDl&#10;rMNolTx82QivONPvLXp3ON7fB2zMm/3Z6wk2/nFk/ThiN+aEML1jPEsns5nyo96ZtSfzGW9qmaoi&#10;JKxE7ZLHnXkSh4HHm5RqucxJmD4n4rldOZmgB9GWm0h1m5VOMg3abNXD/OUGbN9KGvDH+5z18H9Y&#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oUhyQ3AAAAAsBAAAPAAAAAAAAAAEAIAAAACIAAABk&#10;cnMvZG93bnJldi54bWxQSwECFAAUAAAACACHTuJADzLJbjsCAABnBAAADgAAAAAAAAABACAAAAAr&#10;AQAAZHJzL2Uyb0RvYy54bWxQSwUGAAAAAAYABgBZAQAA2AUAAAAA&#10;">
                      <v:fill on="f" focussize="0,0"/>
                      <v:stroke on="f" weight="0.5pt"/>
                      <v:imagedata o:title=""/>
                      <o:lock v:ext="edit" aspectratio="f"/>
                      <v:textbox>
                        <w:txbxContent>
                          <w:p w14:paraId="25CEB5F9">
                            <w:pPr>
                              <w:rPr>
                                <w:rFonts w:hint="default" w:eastAsia="宋体"/>
                                <w:b/>
                                <w:bCs/>
                                <w:color w:val="FF0000"/>
                                <w:lang w:val="en-US" w:eastAsia="zh-CN"/>
                              </w:rPr>
                            </w:pPr>
                            <w:r>
                              <w:rPr>
                                <w:rFonts w:hint="eastAsia"/>
                                <w:b/>
                                <w:bCs/>
                                <w:color w:val="FF0000"/>
                                <w:lang w:val="en-US" w:eastAsia="zh-CN"/>
                              </w:rPr>
                              <w:t>2km</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2161540</wp:posOffset>
                      </wp:positionV>
                      <wp:extent cx="1752600" cy="10160"/>
                      <wp:effectExtent l="0" t="56515" r="0" b="66675"/>
                      <wp:wrapNone/>
                      <wp:docPr id="26" name="直接箭头连接符 26"/>
                      <wp:cNvGraphicFramePr/>
                      <a:graphic xmlns:a="http://schemas.openxmlformats.org/drawingml/2006/main">
                        <a:graphicData uri="http://schemas.microsoft.com/office/word/2010/wordprocessingShape">
                          <wps:wsp>
                            <wps:cNvCnPr/>
                            <wps:spPr>
                              <a:xfrm>
                                <a:off x="0" y="0"/>
                                <a:ext cx="1752600" cy="10160"/>
                              </a:xfrm>
                              <a:prstGeom prst="straightConnector1">
                                <a:avLst/>
                              </a:prstGeom>
                              <a:ln>
                                <a:solidFill>
                                  <a:srgbClr val="FF0000"/>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22.1pt;margin-top:170.2pt;height:0.8pt;width:138pt;z-index:251663360;mso-width-relative:page;mso-height-relative:page;" filled="f" stroked="t" coordsize="21600,21600" o:gfxdata="UEsDBAoAAAAAAIdO4kAAAAAAAAAAAAAAAAAEAAAAZHJzL1BLAwQUAAAACACHTuJArSrmKdkAAAAL&#10;AQAADwAAAGRycy9kb3ducmV2LnhtbE2PwU7DMAyG70i8Q2QkbixZiQaUphObNE5w2Ma0a9p4TUWT&#10;lCbbytvjncbRvz/9/lzMR9exEw6xDV7BdCKAoa+DaX2j4Gu7engGFpP2RnfBo4JfjDAvb28KnZtw&#10;9ms8bVLDqMTHXCuwKfU557G26HSchB497Q5hcDrRODTcDPpM5a7jmRAz7nTr6YLVPS4t1t+bo1Pw&#10;wt8O28XnuE8fu+Vivcp+qnc7U+r+bipegSUc0xWGiz6pQ0lOVTh6E1mnQEqZEargUQoJjIinTFBS&#10;XZJMAC8L/v+H8g9QSwMEFAAAAAgAh07iQIKKvWkEAgAA5wMAAA4AAABkcnMvZTJvRG9jLnhtbK1T&#10;zY7TMBC+I/EOlu80ScUWVDXdQ0u5IFgJeICp4ySW/Kext2lfghdA4gScgNPeeRpYHoOxU7qwcNgD&#10;OSS2x/N9830zWZzvjWY7iUE5W/NqUnImrXCNsl3NX7/aPHjMWYhgG9DOypofZODny/v3FoOfy6nr&#10;nW4kMgKxYT74mvcx+nlRBNFLA2HivLQUbB0aiLTFrmgQBkI3upiW5awYHDYenZAh0Ol6DPIjIt4F&#10;0LWtEnLtxKWRNo6oKDVEkhR65QNf5mrbVor4om2DjEzXnJTG/CYSWm/Tu1guYN4h+F6JYwlwlxJu&#10;aTKgLJGeoNYQgV2i+gvKKIEuuDZOhDPFKCQ7Qiqq8pY3L3vwMmshq4M/mR7+H6x4vrtAppqaT2ec&#10;WTDU8eu3V9/ffLj+8vnb+6sfX9+l9aePjOJk1uDDnHJW9gKPu+AvMCnft2jSlzSxfTb4cDJY7iMT&#10;dFg9OpvOSvJeUKwqq1luQHGT7DHEp9IZlhY1DxFBdX1cOWuplQ6rbDLsnoVI9JT4KyExW7dRWueO&#10;assGknT2MJMBjWlL40G8xpPUYDvOQHc0/yJihgxOqyalJ6CA3Xalke2ApmazKelJ2onuj2uJew2h&#10;H+/l0DhPvYTmiW1YPHiyExDdMAYiKP2PAAFrS/jJ3NHOtNq65pBdzufU/1zBcVbTgP2+z9k3/+fy&#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0q5inZAAAACwEAAA8AAAAAAAAAAQAgAAAAIgAAAGRy&#10;cy9kb3ducmV2LnhtbFBLAQIUABQAAAAIAIdO4kCCir1pBAIAAOcDAAAOAAAAAAAAAAEAIAAAACgB&#10;AABkcnMvZTJvRG9jLnhtbFBLBQYAAAAABgAGAFkBAACeBQAAAAA=&#10;">
                      <v:fill on="f" focussize="0,0"/>
                      <v:stroke weight="2pt" color="#FF0000 [3204]" joinstyle="round" startarrow="open"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1249045</wp:posOffset>
                      </wp:positionH>
                      <wp:positionV relativeFrom="paragraph">
                        <wp:posOffset>855980</wp:posOffset>
                      </wp:positionV>
                      <wp:extent cx="695325" cy="485775"/>
                      <wp:effectExtent l="0" t="0" r="0" b="0"/>
                      <wp:wrapNone/>
                      <wp:docPr id="24" name="文本框 24"/>
                      <wp:cNvGraphicFramePr/>
                      <a:graphic xmlns:a="http://schemas.openxmlformats.org/drawingml/2006/main">
                        <a:graphicData uri="http://schemas.microsoft.com/office/word/2010/wordprocessingShape">
                          <wps:wsp>
                            <wps:cNvSpPr txBox="1"/>
                            <wps:spPr>
                              <a:xfrm>
                                <a:off x="2633345" y="4718685"/>
                                <a:ext cx="695325" cy="485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1C83E4">
                                  <w:pPr>
                                    <w:rPr>
                                      <w:rFonts w:hint="default" w:eastAsia="宋体"/>
                                      <w:b/>
                                      <w:bCs/>
                                      <w:color w:val="FF0000"/>
                                      <w:lang w:val="en-US" w:eastAsia="zh-CN"/>
                                    </w:rPr>
                                  </w:pPr>
                                  <w:r>
                                    <w:rPr>
                                      <w:rFonts w:hint="eastAsia"/>
                                      <w:b/>
                                      <w:bCs/>
                                      <w:color w:val="FF0000"/>
                                      <w:lang w:val="en-US" w:eastAsia="zh-CN"/>
                                    </w:rPr>
                                    <w:t>3.2km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35pt;margin-top:67.4pt;height:38.25pt;width:54.75pt;z-index:251661312;mso-width-relative:page;mso-height-relative:page;" filled="f" stroked="f" coordsize="21600,21600" o:gfxdata="UEsDBAoAAAAAAIdO4kAAAAAAAAAAAAAAAAAEAAAAZHJzL1BLAwQUAAAACACHTuJA9RRrKNsAAAAL&#10;AQAADwAAAGRycy9kb3ducmV2LnhtbE2Py07DMBBF90j8gzVI7KidBEIb4lQoUoWE6KKlm+6c2E0i&#10;7HGI3Qd8PcMKdnM1R/dRLi/OspOZwuBRQjITwAy2Xg/YSdi9r+7mwEJUqJX1aCR8mQDL6vqqVIX2&#10;Z9yY0zZ2jEwwFEpCH+NYcB7a3jgVZn40SL+Dn5yKJKeO60mdydxZngqRc6cGpIRejabuTfuxPToJ&#10;r/VqrTZN6ubftn55OzyPn7v9g5S3N4l4AhbNJf7B8FufqkNFnRp/RB2YJb3IHwmlI7unDURkIk+B&#10;NRLSJMmAVyX/v6H6AVBLAwQUAAAACACHTuJAj2o2a0gCAABzBAAADgAAAGRycy9lMm9Eb2MueG1s&#10;rVTNjtMwEL4j8Q6W7zT9b7dquipbFSGt2JUK4uw6ThPJ9hjbbVIeAN6AExfuPFefg7GTdquFwx64&#10;OGPPeMbfN99kflsrSQ7CuhJ0SnudLiVCc8hKvUvpp4/rN1NKnGc6YxK0SOlROHq7eP1qXpmZ6EMB&#10;MhOWYBLtZpVJaeG9mSWJ44VQzHXACI3OHKxiHrd2l2SWVZhdyaTf7Y6TCmxmLHDhHJ6uGidtM9qX&#10;JIQ8L7lYAd8roX2T1QrJPEJyRWkcXcTX5rng/iHPnfBEphSR+rhiEbS3YU0WczbbWWaKkrdPYC95&#10;wjNMipUai15SrZhnZG/Lv1KpkltwkPsOB5U0QCIjiKLXfcbNpmBGRCxItTMX0t3/S8s/HB4tKbOU&#10;9oeUaKaw46cf308/f59+fSN4hgRVxs0wbmMw0tdvoUbZnM8dHgbcdW5V+CIigv7+eDAYDEeUHFM6&#10;nPSm4+mooVrUnnAMGN+MBn308xAwHU0m0Z88JTLW+XcCFAlGSi12MhLMDvfO46Mw9BwS6mpYl1LG&#10;bkpNKiwwGHXjhYsHb0iNFwOc5tnB8vW2bjFuITsiRAuNSpzh6xKL3zPnH5lFWaBocHD8Ay65BCwC&#10;rUVJAfbrv85DPHYLvZRUKLOUui97ZgUl8r3GPt70hsOgy7gZjiZ93Nhrz/bao/fqDlDJPRxRw6MZ&#10;4r08m7kF9RnnaxmqootpjrVT6s/mnW/Ej/PJxXIZg1CJhvl7vTE8pG7oXO495GVkOtDUcNOyh1qM&#10;DWjnJoj9eh+jnv4Vi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1FGso2wAAAAsBAAAPAAAAAAAA&#10;AAEAIAAAACIAAABkcnMvZG93bnJldi54bWxQSwECFAAUAAAACACHTuJAj2o2a0gCAABzBAAADgAA&#10;AAAAAAABACAAAAAqAQAAZHJzL2Uyb0RvYy54bWxQSwUGAAAAAAYABgBZAQAA5AUAAAAA&#10;">
                      <v:fill on="f" focussize="0,0"/>
                      <v:stroke on="f" weight="0.5pt"/>
                      <v:imagedata o:title=""/>
                      <o:lock v:ext="edit" aspectratio="f"/>
                      <v:textbox>
                        <w:txbxContent>
                          <w:p w14:paraId="6D1C83E4">
                            <w:pPr>
                              <w:rPr>
                                <w:rFonts w:hint="default" w:eastAsia="宋体"/>
                                <w:b/>
                                <w:bCs/>
                                <w:color w:val="FF0000"/>
                                <w:lang w:val="en-US" w:eastAsia="zh-CN"/>
                              </w:rPr>
                            </w:pPr>
                            <w:r>
                              <w:rPr>
                                <w:rFonts w:hint="eastAsia"/>
                                <w:b/>
                                <w:bCs/>
                                <w:color w:val="FF0000"/>
                                <w:lang w:val="en-US" w:eastAsia="zh-CN"/>
                              </w:rPr>
                              <w:t>3.2km</w:t>
                            </w:r>
                          </w:p>
                        </w:txbxContent>
                      </v:textbox>
                    </v:shape>
                  </w:pict>
                </mc:Fallback>
              </mc:AlternateContent>
            </w:r>
            <w:r>
              <w:rPr>
                <w:color w:val="000000" w:themeColor="text1"/>
                <w14:textFill>
                  <w14:solidFill>
                    <w14:schemeClr w14:val="tx1"/>
                  </w14:solidFill>
                </w14:textFill>
              </w:rPr>
              <w:drawing>
                <wp:anchor distT="0" distB="0" distL="114300" distR="114300" simplePos="0" relativeHeight="251662336" behindDoc="0" locked="0" layoutInCell="1" allowOverlap="1">
                  <wp:simplePos x="0" y="0"/>
                  <wp:positionH relativeFrom="column">
                    <wp:posOffset>4330700</wp:posOffset>
                  </wp:positionH>
                  <wp:positionV relativeFrom="paragraph">
                    <wp:posOffset>205105</wp:posOffset>
                  </wp:positionV>
                  <wp:extent cx="847090" cy="808990"/>
                  <wp:effectExtent l="0" t="0" r="10160" b="10160"/>
                  <wp:wrapNone/>
                  <wp:docPr id="25" name="图片 25" descr="峨山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峨山风玫瑰"/>
                          <pic:cNvPicPr>
                            <a:picLocks noChangeAspect="1"/>
                          </pic:cNvPicPr>
                        </pic:nvPicPr>
                        <pic:blipFill>
                          <a:blip r:embed="rId32"/>
                          <a:stretch>
                            <a:fillRect/>
                          </a:stretch>
                        </pic:blipFill>
                        <pic:spPr>
                          <a:xfrm>
                            <a:off x="0" y="0"/>
                            <a:ext cx="847090" cy="808990"/>
                          </a:xfrm>
                          <a:prstGeom prst="rect">
                            <a:avLst/>
                          </a:prstGeom>
                        </pic:spPr>
                      </pic:pic>
                    </a:graphicData>
                  </a:graphic>
                </wp:anchor>
              </w:drawing>
            </w:r>
            <w:r>
              <w:rPr>
                <w:rFonts w:hint="eastAsia"/>
                <w:color w:val="000000" w:themeColor="text1"/>
                <w:sz w:val="24"/>
                <w:lang w:val="en-US" w:eastAsia="zh-CN"/>
                <w14:textFill>
                  <w14:solidFill>
                    <w14:schemeClr w14:val="tx1"/>
                  </w14:solidFill>
                </w14:textFill>
              </w:rPr>
              <w:drawing>
                <wp:inline distT="0" distB="0" distL="114300" distR="114300">
                  <wp:extent cx="5264150" cy="2600325"/>
                  <wp:effectExtent l="12700" t="12700" r="19050" b="15875"/>
                  <wp:docPr id="33" name="图片 33" descr="1772439878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772439878638"/>
                          <pic:cNvPicPr>
                            <a:picLocks noChangeAspect="1"/>
                          </pic:cNvPicPr>
                        </pic:nvPicPr>
                        <pic:blipFill>
                          <a:blip r:embed="rId33"/>
                          <a:stretch>
                            <a:fillRect/>
                          </a:stretch>
                        </pic:blipFill>
                        <pic:spPr>
                          <a:xfrm>
                            <a:off x="0" y="0"/>
                            <a:ext cx="5264150" cy="2600325"/>
                          </a:xfrm>
                          <a:prstGeom prst="rect">
                            <a:avLst/>
                          </a:prstGeom>
                          <a:ln w="12700">
                            <a:solidFill>
                              <a:schemeClr val="tx1"/>
                            </a:solidFill>
                          </a:ln>
                        </pic:spPr>
                      </pic:pic>
                    </a:graphicData>
                  </a:graphic>
                </wp:inline>
              </w:drawing>
            </w:r>
          </w:p>
          <w:p w14:paraId="73AF2AE9">
            <w:pPr>
              <w:pStyle w:val="17"/>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eastAsia="zh-CN"/>
                <w14:textFill>
                  <w14:solidFill>
                    <w14:schemeClr w14:val="tx1"/>
                  </w14:solidFill>
                </w14:textFill>
              </w:rPr>
              <w:t>图</w:t>
            </w:r>
            <w:r>
              <w:rPr>
                <w:rFonts w:hint="eastAsia" w:ascii="Times New Roman" w:hAnsi="Times New Roman"/>
                <w:b/>
                <w:bCs/>
                <w:color w:val="000000" w:themeColor="text1"/>
                <w:sz w:val="21"/>
                <w:szCs w:val="21"/>
                <w:lang w:val="en-US" w:eastAsia="zh-CN"/>
                <w14:textFill>
                  <w14:solidFill>
                    <w14:schemeClr w14:val="tx1"/>
                  </w14:solidFill>
                </w14:textFill>
              </w:rPr>
              <w:t>3-1 引用监测点位图</w:t>
            </w:r>
          </w:p>
          <w:p w14:paraId="7CA50189">
            <w:pPr>
              <w:pStyle w:val="17"/>
              <w:pageBreakBefore w:val="0"/>
              <w:kinsoku/>
              <w:overflowPunct/>
              <w:topLinePunct w:val="0"/>
              <w:bidi w:val="0"/>
              <w:adjustRightInd w:val="0"/>
              <w:snapToGrid w:val="0"/>
              <w:spacing w:line="348" w:lineRule="auto"/>
              <w:ind w:left="0" w:leftChars="0" w:right="0" w:firstLine="482" w:firstLineChars="200"/>
              <w:rPr>
                <w:rFonts w:ascii="Times New Roman" w:hAnsi="Times New Roman"/>
                <w:b/>
                <w:bCs/>
                <w:color w:val="000000" w:themeColor="text1"/>
                <w:sz w:val="24"/>
                <w14:textFill>
                  <w14:solidFill>
                    <w14:schemeClr w14:val="tx1"/>
                  </w14:solidFill>
                </w14:textFill>
              </w:rPr>
            </w:pPr>
            <w:r>
              <w:rPr>
                <w:rFonts w:ascii="Times New Roman" w:hAnsi="Times New Roman"/>
                <w:b/>
                <w:bCs/>
                <w:color w:val="000000" w:themeColor="text1"/>
                <w:sz w:val="24"/>
                <w14:textFill>
                  <w14:solidFill>
                    <w14:schemeClr w14:val="tx1"/>
                  </w14:solidFill>
                </w14:textFill>
              </w:rPr>
              <w:t>2、地表水环境质量现状</w:t>
            </w:r>
          </w:p>
          <w:p w14:paraId="46D8F2CD">
            <w:pPr>
              <w:pageBreakBefore w:val="0"/>
              <w:kinsoku/>
              <w:overflowPunct/>
              <w:topLinePunct w:val="0"/>
              <w:bidi w:val="0"/>
              <w:spacing w:line="360" w:lineRule="auto"/>
              <w:ind w:left="0" w:leftChars="0" w:right="0"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根据项目区域水系图可知，</w:t>
            </w:r>
            <w:r>
              <w:rPr>
                <w:rFonts w:hint="eastAsia"/>
                <w:color w:val="000000" w:themeColor="text1"/>
                <w:sz w:val="24"/>
                <w:lang w:val="zh-CN" w:eastAsia="zh-CN"/>
                <w14:textFill>
                  <w14:solidFill>
                    <w14:schemeClr w14:val="tx1"/>
                  </w14:solidFill>
                </w14:textFill>
              </w:rPr>
              <w:t>本项目距离最近的地表水体</w:t>
            </w:r>
            <w:r>
              <w:rPr>
                <w:rFonts w:hint="eastAsia"/>
                <w:color w:val="000000" w:themeColor="text1"/>
                <w:sz w:val="24"/>
                <w:lang w:val="en-US" w:eastAsia="zh-CN"/>
                <w14:textFill>
                  <w14:solidFill>
                    <w14:schemeClr w14:val="tx1"/>
                  </w14:solidFill>
                </w14:textFill>
              </w:rPr>
              <w:t>为项目区东南侧约400m处的石邑小河，石邑小河最终进入峨山大河，即曲江。</w:t>
            </w:r>
          </w:p>
          <w:p w14:paraId="2F0FF344">
            <w:pPr>
              <w:pageBreakBefore w:val="0"/>
              <w:kinsoku/>
              <w:overflowPunct/>
              <w:topLinePunct w:val="0"/>
              <w:bidi w:val="0"/>
              <w:spacing w:line="360" w:lineRule="auto"/>
              <w:ind w:left="0" w:leftChars="0" w:right="0"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根据《云南省水功能区划》（2014年修订），</w:t>
            </w:r>
            <w:r>
              <w:rPr>
                <w:rFonts w:hint="default"/>
                <w:color w:val="000000" w:themeColor="text1"/>
                <w:sz w:val="24"/>
                <w:lang w:val="en-US" w:eastAsia="zh-CN"/>
                <w14:textFill>
                  <w14:solidFill>
                    <w14:schemeClr w14:val="tx1"/>
                  </w14:solidFill>
                </w14:textFill>
              </w:rPr>
              <w:t>2030</w:t>
            </w:r>
            <w:r>
              <w:rPr>
                <w:rFonts w:hint="eastAsia"/>
                <w:color w:val="000000" w:themeColor="text1"/>
                <w:sz w:val="24"/>
                <w:lang w:val="en-US" w:eastAsia="zh-CN"/>
                <w14:textFill>
                  <w14:solidFill>
                    <w14:schemeClr w14:val="tx1"/>
                  </w14:solidFill>
                </w14:textFill>
              </w:rPr>
              <w:t>年曲江（峨山小街～入南盘江口）的主要功能是农业用水、工业用水，</w:t>
            </w:r>
            <w:r>
              <w:rPr>
                <w:rFonts w:hint="default"/>
                <w:color w:val="000000" w:themeColor="text1"/>
                <w:sz w:val="24"/>
                <w:lang w:val="en-US" w:eastAsia="zh-CN"/>
                <w14:textFill>
                  <w14:solidFill>
                    <w14:schemeClr w14:val="tx1"/>
                  </w14:solidFill>
                </w14:textFill>
              </w:rPr>
              <w:t>2030</w:t>
            </w:r>
            <w:r>
              <w:rPr>
                <w:rFonts w:hint="eastAsia"/>
                <w:color w:val="000000" w:themeColor="text1"/>
                <w:sz w:val="24"/>
                <w:lang w:val="en-US" w:eastAsia="zh-CN"/>
                <w14:textFill>
                  <w14:solidFill>
                    <w14:schemeClr w14:val="tx1"/>
                  </w14:solidFill>
                </w14:textFill>
              </w:rPr>
              <w:t>年水质目标为《地表水环境质量标准》（</w:t>
            </w:r>
            <w:r>
              <w:rPr>
                <w:rFonts w:hint="default"/>
                <w:color w:val="000000" w:themeColor="text1"/>
                <w:sz w:val="24"/>
                <w:lang w:val="en-US" w:eastAsia="zh-CN"/>
                <w14:textFill>
                  <w14:solidFill>
                    <w14:schemeClr w14:val="tx1"/>
                  </w14:solidFill>
                </w14:textFill>
              </w:rPr>
              <w:t>GB3838-2002</w:t>
            </w:r>
            <w:r>
              <w:rPr>
                <w:rFonts w:hint="eastAsia"/>
                <w:color w:val="000000" w:themeColor="text1"/>
                <w:sz w:val="24"/>
                <w:lang w:val="en-US" w:eastAsia="zh-CN"/>
                <w14:textFill>
                  <w14:solidFill>
                    <w14:schemeClr w14:val="tx1"/>
                  </w14:solidFill>
                </w14:textFill>
              </w:rPr>
              <w:t>）Ⅲ类标准。峨山大河执行《地表水环境质量标准》（</w:t>
            </w:r>
            <w:r>
              <w:rPr>
                <w:rFonts w:hint="default"/>
                <w:color w:val="000000" w:themeColor="text1"/>
                <w:sz w:val="24"/>
                <w:lang w:val="en-US" w:eastAsia="zh-CN"/>
                <w14:textFill>
                  <w14:solidFill>
                    <w14:schemeClr w14:val="tx1"/>
                  </w14:solidFill>
                </w14:textFill>
              </w:rPr>
              <w:t>GB3838-2002</w:t>
            </w:r>
            <w:r>
              <w:rPr>
                <w:rFonts w:hint="eastAsia"/>
                <w:color w:val="000000" w:themeColor="text1"/>
                <w:sz w:val="24"/>
                <w:lang w:val="en-US" w:eastAsia="zh-CN"/>
                <w14:textFill>
                  <w14:solidFill>
                    <w14:schemeClr w14:val="tx1"/>
                  </w14:solidFill>
                </w14:textFill>
              </w:rPr>
              <w:t>）Ⅲ类水质标准。</w:t>
            </w:r>
          </w:p>
          <w:p w14:paraId="59DC4FEE">
            <w:pPr>
              <w:pageBreakBefore w:val="0"/>
              <w:kinsoku/>
              <w:overflowPunct/>
              <w:topLinePunct w:val="0"/>
              <w:bidi w:val="0"/>
              <w:spacing w:line="360" w:lineRule="auto"/>
              <w:ind w:left="0" w:leftChars="0" w:right="0"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根据玉溪市生态环境局发布的《2024年度玉溪市生态环境状况公报》，永昌桥断面</w:t>
            </w:r>
            <w:r>
              <w:rPr>
                <w:rFonts w:hint="default"/>
                <w:color w:val="000000" w:themeColor="text1"/>
                <w:sz w:val="24"/>
                <w:lang w:val="en-US" w:eastAsia="zh-CN"/>
                <w14:textFill>
                  <w14:solidFill>
                    <w14:schemeClr w14:val="tx1"/>
                  </w14:solidFill>
                </w14:textFill>
              </w:rPr>
              <w:t>202</w:t>
            </w:r>
            <w:r>
              <w:rPr>
                <w:rFonts w:hint="eastAsia"/>
                <w:color w:val="000000" w:themeColor="text1"/>
                <w:sz w:val="24"/>
                <w:lang w:val="en-US" w:eastAsia="zh-CN"/>
                <w14:textFill>
                  <w14:solidFill>
                    <w14:schemeClr w14:val="tx1"/>
                  </w14:solidFill>
                </w14:textFill>
              </w:rPr>
              <w:t>4年水质类别为Ⅲ类，满足《地表水环境质量标准》</w:t>
            </w:r>
            <w:r>
              <w:rPr>
                <w:rFonts w:hint="default"/>
                <w:color w:val="000000" w:themeColor="text1"/>
                <w:sz w:val="24"/>
                <w:lang w:val="en-US" w:eastAsia="zh-CN"/>
                <w14:textFill>
                  <w14:solidFill>
                    <w14:schemeClr w14:val="tx1"/>
                  </w14:solidFill>
                </w14:textFill>
              </w:rPr>
              <w:t>(GB3838-2002)</w:t>
            </w:r>
            <w:r>
              <w:rPr>
                <w:rFonts w:hint="eastAsia"/>
                <w:color w:val="000000" w:themeColor="text1"/>
                <w:sz w:val="24"/>
                <w:lang w:val="en-US" w:eastAsia="zh-CN"/>
                <w14:textFill>
                  <w14:solidFill>
                    <w14:schemeClr w14:val="tx1"/>
                  </w14:solidFill>
                </w14:textFill>
              </w:rPr>
              <w:t>中Ⅲ类标准限值，水质能达到功能区划要求。</w:t>
            </w:r>
          </w:p>
          <w:p w14:paraId="034E5C50">
            <w:pPr>
              <w:pStyle w:val="17"/>
              <w:pageBreakBefore w:val="0"/>
              <w:kinsoku/>
              <w:overflowPunct/>
              <w:topLinePunct w:val="0"/>
              <w:bidi w:val="0"/>
              <w:adjustRightInd w:val="0"/>
              <w:snapToGrid w:val="0"/>
              <w:spacing w:line="346" w:lineRule="auto"/>
              <w:ind w:left="0" w:leftChars="0" w:right="0" w:firstLine="482" w:firstLineChars="200"/>
              <w:rPr>
                <w:rFonts w:ascii="Times New Roman" w:hAnsi="Times New Roman"/>
                <w:b/>
                <w:bCs/>
                <w:color w:val="000000" w:themeColor="text1"/>
                <w:sz w:val="24"/>
                <w14:textFill>
                  <w14:solidFill>
                    <w14:schemeClr w14:val="tx1"/>
                  </w14:solidFill>
                </w14:textFill>
              </w:rPr>
            </w:pPr>
            <w:r>
              <w:rPr>
                <w:rFonts w:ascii="Times New Roman" w:hAnsi="Times New Roman"/>
                <w:b/>
                <w:bCs/>
                <w:color w:val="000000" w:themeColor="text1"/>
                <w:sz w:val="24"/>
                <w14:textFill>
                  <w14:solidFill>
                    <w14:schemeClr w14:val="tx1"/>
                  </w14:solidFill>
                </w14:textFill>
              </w:rPr>
              <w:t>3、声环境质量现状</w:t>
            </w:r>
          </w:p>
          <w:p w14:paraId="1C562F95">
            <w:pPr>
              <w:pStyle w:val="88"/>
              <w:pageBreakBefore w:val="0"/>
              <w:kinsoku/>
              <w:overflowPunct/>
              <w:topLinePunct w:val="0"/>
              <w:bidi w:val="0"/>
              <w:snapToGrid w:val="0"/>
              <w:spacing w:line="346" w:lineRule="auto"/>
              <w:ind w:left="0" w:leftChars="0" w:right="0"/>
              <w:rPr>
                <w:rFonts w:hint="eastAsia"/>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本项目位于峨山县双江街道办事处峨山县文邦包装制品有限公司内，属于</w:t>
            </w:r>
            <w:r>
              <w:rPr>
                <w:rFonts w:hint="eastAsia" w:cs="Times New Roman"/>
                <w:color w:val="000000" w:themeColor="text1"/>
                <w:sz w:val="24"/>
                <w:szCs w:val="24"/>
                <w:lang w:val="en-US" w:eastAsia="zh-CN"/>
                <w14:textFill>
                  <w14:solidFill>
                    <w14:schemeClr w14:val="tx1"/>
                  </w14:solidFill>
                </w14:textFill>
              </w:rPr>
              <w:t>云南红塔产业园区研和片区双小地块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，根据《云南红塔产业园区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总体规划修编（2021-2035年）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环境影响报告书》，</w:t>
            </w:r>
            <w:r>
              <w:rPr>
                <w:color w:val="000000" w:themeColor="text1"/>
                <w14:textFill>
                  <w14:solidFill>
                    <w14:schemeClr w14:val="tx1"/>
                  </w14:solidFill>
                </w14:textFill>
              </w:rPr>
              <w:t>项目所在区域属于</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类声环境功能区</w:t>
            </w:r>
            <w:r>
              <w:rPr>
                <w:rFonts w:hint="eastAsia"/>
                <w:color w:val="000000" w:themeColor="text1"/>
                <w14:textFill>
                  <w14:solidFill>
                    <w14:schemeClr w14:val="tx1"/>
                  </w14:solidFill>
                </w14:textFill>
              </w:rPr>
              <w:t>，执行《声环境质量标准》（GB3096-2008）</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类标准</w:t>
            </w:r>
            <w:r>
              <w:rPr>
                <w:rFonts w:hint="eastAsia"/>
                <w:color w:val="000000" w:themeColor="text1"/>
                <w:lang w:eastAsia="zh-CN"/>
                <w14:textFill>
                  <w14:solidFill>
                    <w14:schemeClr w14:val="tx1"/>
                  </w14:solidFill>
                </w14:textFill>
              </w:rPr>
              <w:t>，东侧执行</w:t>
            </w:r>
            <w:r>
              <w:rPr>
                <w:rFonts w:hint="eastAsia"/>
                <w:color w:val="000000" w:themeColor="text1"/>
                <w:lang w:val="en-US" w:eastAsia="zh-CN"/>
                <w14:textFill>
                  <w14:solidFill>
                    <w14:schemeClr w14:val="tx1"/>
                  </w14:solidFill>
                </w14:textFill>
              </w:rPr>
              <w:t>4a类标准。</w:t>
            </w:r>
          </w:p>
          <w:p w14:paraId="1D6DCCEF">
            <w:pPr>
              <w:pStyle w:val="88"/>
              <w:pageBreakBefore w:val="0"/>
              <w:kinsoku/>
              <w:overflowPunct/>
              <w:topLinePunct w:val="0"/>
              <w:bidi w:val="0"/>
              <w:snapToGrid w:val="0"/>
              <w:spacing w:line="346" w:lineRule="auto"/>
              <w:ind w:left="0" w:leftChars="0" w:right="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项目东侧</w:t>
            </w:r>
            <w:r>
              <w:rPr>
                <w:rFonts w:hint="eastAsia" w:ascii="Times New Roman" w:hAnsi="Times New Roman" w:eastAsia="宋体" w:cs="Times New Roman"/>
                <w:color w:val="000000" w:themeColor="text1"/>
                <w:lang w:val="en-US" w:eastAsia="zh-CN"/>
                <w14:textFill>
                  <w14:solidFill>
                    <w14:schemeClr w14:val="tx1"/>
                  </w14:solidFill>
                </w14:textFill>
              </w:rPr>
              <w:t>15m处为</w:t>
            </w:r>
            <w:r>
              <w:rPr>
                <w:rFonts w:hint="eastAsia" w:ascii="Times New Roman" w:hAnsi="Times New Roman" w:eastAsia="宋体" w:cs="Times New Roman"/>
                <w:color w:val="000000" w:themeColor="text1"/>
                <w:lang w:eastAsia="zh-CN"/>
                <w14:textFill>
                  <w14:solidFill>
                    <w14:schemeClr w14:val="tx1"/>
                  </w14:solidFill>
                </w14:textFill>
              </w:rPr>
              <w:t>石花路，该道路为连接双江街道石花村—小街街道石邑村，经对照《声环境质量标准》（GB3096-2008）中附录</w:t>
            </w:r>
            <w:r>
              <w:rPr>
                <w:rFonts w:hint="eastAsia" w:ascii="Times New Roman" w:hAnsi="Times New Roman" w:eastAsia="宋体" w:cs="Times New Roman"/>
                <w:color w:val="000000" w:themeColor="text1"/>
                <w:lang w:val="en-US" w:eastAsia="zh-CN"/>
                <w14:textFill>
                  <w14:solidFill>
                    <w14:schemeClr w14:val="tx1"/>
                  </w14:solidFill>
                </w14:textFill>
              </w:rPr>
              <w:t>A“</w:t>
            </w:r>
            <w:r>
              <w:rPr>
                <w:rFonts w:hint="eastAsia"/>
                <w:b/>
                <w:bCs/>
                <w:color w:val="000000" w:themeColor="text1"/>
                <w:lang w:val="en-US" w:eastAsia="zh-CN"/>
                <w14:textFill>
                  <w14:solidFill>
                    <w14:schemeClr w14:val="tx1"/>
                  </w14:solidFill>
                </w14:textFill>
              </w:rPr>
              <w:t>城市次干路：</w:t>
            </w:r>
            <w:r>
              <w:rPr>
                <w:rFonts w:hint="eastAsia" w:ascii="Times New Roman" w:hAnsi="Times New Roman" w:eastAsia="宋体" w:cs="Times New Roman"/>
                <w:color w:val="000000" w:themeColor="text1"/>
                <w:lang w:val="en-US" w:eastAsia="zh-CN"/>
                <w14:textFill>
                  <w14:solidFill>
                    <w14:schemeClr w14:val="tx1"/>
                  </w14:solidFill>
                </w14:textFill>
              </w:rPr>
              <w:t>城市各区域内部的主要道路，与城市主干路结合成道路网，起集散交通的作用兼有服务功能”，故判定石花路属于城市次干路</w:t>
            </w:r>
            <w:r>
              <w:rPr>
                <w:rFonts w:hint="eastAsia"/>
                <w:color w:val="000000" w:themeColor="text1"/>
                <w:lang w:eastAsia="zh-CN"/>
                <w14:textFill>
                  <w14:solidFill>
                    <w14:schemeClr w14:val="tx1"/>
                  </w14:solidFill>
                </w14:textFill>
              </w:rPr>
              <w:t>。同时，</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声环境功能区划分技术规范》（GB/T15190-2014）中“8.3.1.1将交通干线边界外一定距离内的区域划分为4a类声环境功能区。相邻区域为3类声环境功能区距离为20±5m。”，故本项目东侧执行《声环境质量标准》（GB3096-2008）4a类标准。</w:t>
            </w:r>
          </w:p>
          <w:p w14:paraId="6DF117E4">
            <w:pPr>
              <w:pageBreakBefore w:val="0"/>
              <w:kinsoku/>
              <w:overflowPunct/>
              <w:topLinePunct w:val="0"/>
              <w:bidi w:val="0"/>
              <w:ind w:left="0" w:leftChars="0" w:right="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3-</w:t>
            </w:r>
            <w:r>
              <w:rPr>
                <w:rFonts w:hint="eastAsia"/>
                <w:b/>
                <w:color w:val="000000" w:themeColor="text1"/>
                <w:szCs w:val="21"/>
                <w:lang w:val="en-US" w:eastAsia="zh-CN"/>
                <w14:textFill>
                  <w14:solidFill>
                    <w14:schemeClr w14:val="tx1"/>
                  </w14:solidFill>
                </w14:textFill>
              </w:rPr>
              <w:t>3</w:t>
            </w:r>
            <w:r>
              <w:rPr>
                <w:b/>
                <w:color w:val="000000" w:themeColor="text1"/>
                <w:szCs w:val="21"/>
                <w14:textFill>
                  <w14:solidFill>
                    <w14:schemeClr w14:val="tx1"/>
                  </w14:solidFill>
                </w14:textFill>
              </w:rPr>
              <w:t xml:space="preserve"> 声环境质量标准  单位：dB(A)</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27"/>
              <w:gridCol w:w="2418"/>
              <w:gridCol w:w="2419"/>
            </w:tblGrid>
            <w:tr w14:paraId="06AA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42" w:type="pct"/>
                  <w:vAlign w:val="center"/>
                </w:tcPr>
                <w:p w14:paraId="54A558C7">
                  <w:pPr>
                    <w:pageBreakBefore w:val="0"/>
                    <w:kinsoku/>
                    <w:overflowPunct/>
                    <w:topLinePunct w:val="0"/>
                    <w:bidi w:val="0"/>
                    <w:ind w:left="0" w:leftChars="0" w:right="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声环功能区</w:t>
                  </w:r>
                  <w:r>
                    <w:rPr>
                      <w:color w:val="000000" w:themeColor="text1"/>
                      <w:szCs w:val="21"/>
                      <w14:textFill>
                        <w14:solidFill>
                          <w14:schemeClr w14:val="tx1"/>
                        </w14:solidFill>
                      </w14:textFill>
                    </w:rPr>
                    <w:t>类别</w:t>
                  </w:r>
                </w:p>
              </w:tc>
              <w:tc>
                <w:tcPr>
                  <w:tcW w:w="1428" w:type="pct"/>
                  <w:vAlign w:val="center"/>
                </w:tcPr>
                <w:p w14:paraId="6D5CFC96">
                  <w:pPr>
                    <w:pageBreakBefore w:val="0"/>
                    <w:kinsoku/>
                    <w:overflowPunct/>
                    <w:topLinePunct w:val="0"/>
                    <w:bidi w:val="0"/>
                    <w:ind w:left="0" w:leftChars="0" w:right="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1428" w:type="pct"/>
                  <w:vAlign w:val="center"/>
                </w:tcPr>
                <w:p w14:paraId="767E956E">
                  <w:pPr>
                    <w:pageBreakBefore w:val="0"/>
                    <w:kinsoku/>
                    <w:overflowPunct/>
                    <w:topLinePunct w:val="0"/>
                    <w:bidi w:val="0"/>
                    <w:ind w:left="0" w:leftChars="0" w:right="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夜间</w:t>
                  </w:r>
                </w:p>
              </w:tc>
            </w:tr>
            <w:tr w14:paraId="06550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42" w:type="pct"/>
                  <w:vAlign w:val="center"/>
                </w:tcPr>
                <w:p w14:paraId="2E0418A0">
                  <w:pPr>
                    <w:pageBreakBefore w:val="0"/>
                    <w:kinsoku/>
                    <w:overflowPunct/>
                    <w:topLinePunct w:val="0"/>
                    <w:bidi w:val="0"/>
                    <w:ind w:left="0" w:leftChars="0" w:right="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3类</w:t>
                  </w:r>
                </w:p>
              </w:tc>
              <w:tc>
                <w:tcPr>
                  <w:tcW w:w="1428" w:type="pct"/>
                  <w:vAlign w:val="center"/>
                </w:tcPr>
                <w:p w14:paraId="64813304">
                  <w:pPr>
                    <w:pageBreakBefore w:val="0"/>
                    <w:kinsoku/>
                    <w:overflowPunct/>
                    <w:topLinePunct w:val="0"/>
                    <w:bidi w:val="0"/>
                    <w:ind w:left="0" w:leftChars="0" w:right="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65</w:t>
                  </w:r>
                </w:p>
              </w:tc>
              <w:tc>
                <w:tcPr>
                  <w:tcW w:w="1428" w:type="pct"/>
                  <w:vAlign w:val="center"/>
                </w:tcPr>
                <w:p w14:paraId="41A8B7E7">
                  <w:pPr>
                    <w:pageBreakBefore w:val="0"/>
                    <w:kinsoku/>
                    <w:overflowPunct/>
                    <w:topLinePunct w:val="0"/>
                    <w:bidi w:val="0"/>
                    <w:ind w:left="0" w:leftChars="0" w:right="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55</w:t>
                  </w:r>
                </w:p>
              </w:tc>
            </w:tr>
            <w:tr w14:paraId="09871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42" w:type="pct"/>
                  <w:vAlign w:val="center"/>
                </w:tcPr>
                <w:p w14:paraId="07C0F6D3">
                  <w:pPr>
                    <w:pageBreakBefore w:val="0"/>
                    <w:kinsoku/>
                    <w:overflowPunct/>
                    <w:topLinePunct w:val="0"/>
                    <w:bidi w:val="0"/>
                    <w:ind w:left="0" w:leftChars="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4a类</w:t>
                  </w:r>
                </w:p>
              </w:tc>
              <w:tc>
                <w:tcPr>
                  <w:tcW w:w="1428" w:type="pct"/>
                  <w:vAlign w:val="center"/>
                </w:tcPr>
                <w:p w14:paraId="112A6495">
                  <w:pPr>
                    <w:pageBreakBefore w:val="0"/>
                    <w:kinsoku/>
                    <w:overflowPunct/>
                    <w:topLinePunct w:val="0"/>
                    <w:bidi w:val="0"/>
                    <w:ind w:left="0" w:leftChars="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70</w:t>
                  </w:r>
                </w:p>
              </w:tc>
              <w:tc>
                <w:tcPr>
                  <w:tcW w:w="1428" w:type="pct"/>
                  <w:vAlign w:val="center"/>
                </w:tcPr>
                <w:p w14:paraId="6E9B1909">
                  <w:pPr>
                    <w:pageBreakBefore w:val="0"/>
                    <w:kinsoku/>
                    <w:overflowPunct/>
                    <w:topLinePunct w:val="0"/>
                    <w:bidi w:val="0"/>
                    <w:ind w:left="0" w:leftChars="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55</w:t>
                  </w:r>
                </w:p>
              </w:tc>
            </w:tr>
          </w:tbl>
          <w:p w14:paraId="1B7AE157">
            <w:pPr>
              <w:pStyle w:val="88"/>
              <w:pageBreakBefore w:val="0"/>
              <w:kinsoku/>
              <w:overflowPunct/>
              <w:topLinePunct w:val="0"/>
              <w:bidi w:val="0"/>
              <w:snapToGrid w:val="0"/>
              <w:spacing w:line="346" w:lineRule="auto"/>
              <w:ind w:left="0" w:leftChars="0" w:right="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据现场踏勘，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峨山县文邦包装制品有限公司</w:t>
            </w:r>
            <w:r>
              <w:rPr>
                <w:rFonts w:hint="eastAsia" w:cs="Times New Roman"/>
                <w:color w:val="000000" w:themeColor="text1"/>
                <w:sz w:val="24"/>
                <w:szCs w:val="24"/>
                <w:lang w:val="en-US" w:eastAsia="zh-CN"/>
                <w14:textFill>
                  <w14:solidFill>
                    <w14:schemeClr w14:val="tx1"/>
                  </w14:solidFill>
                </w14:textFill>
              </w:rPr>
              <w:t>西侧、北侧、南侧为现有企业，东侧为道路</w:t>
            </w:r>
            <w:r>
              <w:rPr>
                <w:rFonts w:hint="eastAsia"/>
                <w:color w:val="000000" w:themeColor="text1"/>
                <w14:textFill>
                  <w14:solidFill>
                    <w14:schemeClr w14:val="tx1"/>
                  </w14:solidFill>
                </w14:textFill>
              </w:rPr>
              <w:t>区域声环境</w:t>
            </w:r>
            <w:r>
              <w:rPr>
                <w:rFonts w:hint="eastAsia"/>
                <w:color w:val="000000" w:themeColor="text1"/>
                <w:lang w:eastAsia="zh-CN"/>
                <w14:textFill>
                  <w14:solidFill>
                    <w14:schemeClr w14:val="tx1"/>
                  </w14:solidFill>
                </w14:textFill>
              </w:rPr>
              <w:t>质量一般。</w:t>
            </w:r>
          </w:p>
          <w:p w14:paraId="44306A32">
            <w:pPr>
              <w:pStyle w:val="148"/>
              <w:pageBreakBefore w:val="0"/>
              <w:tabs>
                <w:tab w:val="left" w:pos="4830"/>
              </w:tabs>
              <w:kinsoku/>
              <w:overflowPunct/>
              <w:topLinePunct w:val="0"/>
              <w:bidi w:val="0"/>
              <w:spacing w:line="360" w:lineRule="auto"/>
              <w:ind w:left="0" w:leftChars="0" w:right="0"/>
              <w:rPr>
                <w:color w:val="000000" w:themeColor="text1"/>
                <w:kern w:val="0"/>
                <w14:textFill>
                  <w14:solidFill>
                    <w14:schemeClr w14:val="tx1"/>
                  </w14:solidFill>
                </w14:textFill>
              </w:rPr>
            </w:pPr>
            <w:r>
              <w:rPr>
                <w:color w:val="000000" w:themeColor="text1"/>
                <w14:textFill>
                  <w14:solidFill>
                    <w14:schemeClr w14:val="tx1"/>
                  </w14:solidFill>
                </w14:textFill>
              </w:rPr>
              <w:t>根据《建设项目环境影响评价报告表编制技术指南（污染影响类）（试行）》中区域环境质量现状声环境：厂界周边50m范围内存在声环境保护目标的建设项目，应监测保护目标声环境质量现状并评价达标情况。</w:t>
            </w:r>
          </w:p>
          <w:p w14:paraId="063BA5C4">
            <w:pPr>
              <w:pStyle w:val="148"/>
              <w:pageBreakBefore w:val="0"/>
              <w:tabs>
                <w:tab w:val="left" w:pos="4830"/>
              </w:tabs>
              <w:kinsoku/>
              <w:overflowPunct/>
              <w:topLinePunct w:val="0"/>
              <w:bidi w:val="0"/>
              <w:spacing w:line="360" w:lineRule="auto"/>
              <w:ind w:left="0" w:leftChars="0" w:right="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项目区东北侧约</w:t>
            </w:r>
            <w:r>
              <w:rPr>
                <w:rFonts w:hint="eastAsia"/>
                <w:color w:val="000000" w:themeColor="text1"/>
                <w:lang w:val="en-US" w:eastAsia="zh-CN"/>
                <w14:textFill>
                  <w14:solidFill>
                    <w14:schemeClr w14:val="tx1"/>
                  </w14:solidFill>
                </w14:textFill>
              </w:rPr>
              <w:t>45m处为石花村居民点N1，</w:t>
            </w:r>
            <w:r>
              <w:rPr>
                <w:rFonts w:hint="eastAsia"/>
                <w:color w:val="000000" w:themeColor="text1"/>
                <w:lang w:eastAsia="zh-CN"/>
                <w14:textFill>
                  <w14:solidFill>
                    <w14:schemeClr w14:val="tx1"/>
                  </w14:solidFill>
                </w14:textFill>
              </w:rPr>
              <w:t>东北侧</w:t>
            </w:r>
            <w:r>
              <w:rPr>
                <w:rFonts w:hint="eastAsia"/>
                <w:color w:val="000000" w:themeColor="text1"/>
                <w:lang w:val="en-US" w:eastAsia="zh-CN"/>
                <w14:textFill>
                  <w14:solidFill>
                    <w14:schemeClr w14:val="tx1"/>
                  </w14:solidFill>
                </w14:textFill>
              </w:rPr>
              <w:t>约52m、53m处为石花村居民点N2、N3。为此本项目于2025年12月13日进行了现状监测。本项目为8小时工作制，夜间不生成，故本次仅对关心点昼间现状进行监测。</w:t>
            </w:r>
          </w:p>
          <w:p w14:paraId="220264E6">
            <w:pPr>
              <w:pStyle w:val="148"/>
              <w:pageBreakBefore w:val="0"/>
              <w:tabs>
                <w:tab w:val="left" w:pos="4830"/>
              </w:tabs>
              <w:kinsoku/>
              <w:overflowPunct/>
              <w:topLinePunct w:val="0"/>
              <w:bidi w:val="0"/>
              <w:spacing w:line="360" w:lineRule="auto"/>
              <w:ind w:left="0" w:leftChars="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由于居民点临街道路，且居民点建筑为三层、四层建筑，根据《声环境功能区划分技术规范》（GB/T15190-2014）中“8.3.1.1将交通干线边界外一定距离内的区域划分为4a类声环境功能区。”以及“8.3.1.2 当临街建筑高于三层楼房以上(含三层)时，将临街建筑面向交通干线一侧至交通干线边界线的区域定为4a类声环境功能区。”故石花村居民点N1、N2、N3</w:t>
            </w:r>
            <w:r>
              <w:rPr>
                <w:rFonts w:hint="eastAsia"/>
                <w:color w:val="000000" w:themeColor="text1"/>
                <w:lang w:eastAsia="zh-CN"/>
                <w14:textFill>
                  <w14:solidFill>
                    <w14:schemeClr w14:val="tx1"/>
                  </w14:solidFill>
                </w14:textFill>
              </w:rPr>
              <w:t>声环境执行</w:t>
            </w:r>
            <w:r>
              <w:rPr>
                <w:rFonts w:hint="eastAsia"/>
                <w:color w:val="000000" w:themeColor="text1"/>
                <w14:textFill>
                  <w14:solidFill>
                    <w14:schemeClr w14:val="tx1"/>
                  </w14:solidFill>
                </w14:textFill>
              </w:rPr>
              <w:t>《声环境质量标准》（GB3096-2008）</w:t>
            </w:r>
            <w:r>
              <w:rPr>
                <w:rFonts w:hint="eastAsia"/>
                <w:color w:val="000000" w:themeColor="text1"/>
                <w:lang w:val="en-US" w:eastAsia="zh-CN"/>
                <w14:textFill>
                  <w14:solidFill>
                    <w14:schemeClr w14:val="tx1"/>
                  </w14:solidFill>
                </w14:textFill>
              </w:rPr>
              <w:t>4a</w:t>
            </w:r>
            <w:r>
              <w:rPr>
                <w:rFonts w:hint="eastAsia"/>
                <w:color w:val="000000" w:themeColor="text1"/>
                <w14:textFill>
                  <w14:solidFill>
                    <w14:schemeClr w14:val="tx1"/>
                  </w14:solidFill>
                </w14:textFill>
              </w:rPr>
              <w:t>类标准</w:t>
            </w:r>
            <w:r>
              <w:rPr>
                <w:rFonts w:hint="eastAsia"/>
                <w:color w:val="000000" w:themeColor="text1"/>
                <w:lang w:eastAsia="zh-CN"/>
                <w14:textFill>
                  <w14:solidFill>
                    <w14:schemeClr w14:val="tx1"/>
                  </w14:solidFill>
                </w14:textFill>
              </w:rPr>
              <w:t>要求。</w:t>
            </w:r>
          </w:p>
          <w:p w14:paraId="3A464FAE">
            <w:pPr>
              <w:pageBreakBefore w:val="0"/>
              <w:kinsoku/>
              <w:overflowPunct/>
              <w:topLinePunct w:val="0"/>
              <w:bidi w:val="0"/>
              <w:ind w:left="0" w:leftChars="0" w:right="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3-</w:t>
            </w:r>
            <w:r>
              <w:rPr>
                <w:rFonts w:hint="eastAsia"/>
                <w:b/>
                <w:color w:val="000000" w:themeColor="text1"/>
                <w:szCs w:val="21"/>
                <w:lang w:val="en-US" w:eastAsia="zh-CN"/>
                <w14:textFill>
                  <w14:solidFill>
                    <w14:schemeClr w14:val="tx1"/>
                  </w14:solidFill>
                </w14:textFill>
              </w:rPr>
              <w:t>4</w:t>
            </w:r>
            <w:r>
              <w:rPr>
                <w:b/>
                <w:color w:val="000000" w:themeColor="text1"/>
                <w:szCs w:val="21"/>
                <w14:textFill>
                  <w14:solidFill>
                    <w14:schemeClr w14:val="tx1"/>
                  </w14:solidFill>
                </w14:textFill>
              </w:rPr>
              <w:t xml:space="preserve"> </w:t>
            </w:r>
            <w:r>
              <w:rPr>
                <w:rFonts w:hint="eastAsia"/>
                <w:b/>
                <w:color w:val="000000" w:themeColor="text1"/>
                <w:szCs w:val="21"/>
                <w:lang w:eastAsia="zh-CN"/>
                <w14:textFill>
                  <w14:solidFill>
                    <w14:schemeClr w14:val="tx1"/>
                  </w14:solidFill>
                </w14:textFill>
              </w:rPr>
              <w:t>环境噪声监测结果</w:t>
            </w:r>
            <w:r>
              <w:rPr>
                <w:b/>
                <w:color w:val="000000" w:themeColor="text1"/>
                <w:szCs w:val="21"/>
                <w14:textFill>
                  <w14:solidFill>
                    <w14:schemeClr w14:val="tx1"/>
                  </w14:solidFill>
                </w14:textFill>
              </w:rPr>
              <w:t xml:space="preserve">  单位：dB(A)</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1"/>
              <w:gridCol w:w="1879"/>
              <w:gridCol w:w="1881"/>
              <w:gridCol w:w="1882"/>
            </w:tblGrid>
            <w:tr w14:paraId="609C9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66" w:type="pct"/>
                  <w:vAlign w:val="center"/>
                </w:tcPr>
                <w:p w14:paraId="673233E2">
                  <w:pPr>
                    <w:pageBreakBefore w:val="0"/>
                    <w:kinsoku/>
                    <w:overflowPunct/>
                    <w:topLinePunct w:val="0"/>
                    <w:bidi w:val="0"/>
                    <w:ind w:left="0" w:leftChars="0" w:right="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监测点位</w:t>
                  </w:r>
                </w:p>
              </w:tc>
              <w:tc>
                <w:tcPr>
                  <w:tcW w:w="1110" w:type="pct"/>
                  <w:vAlign w:val="center"/>
                </w:tcPr>
                <w:p w14:paraId="416D435E">
                  <w:pPr>
                    <w:pageBreakBefore w:val="0"/>
                    <w:kinsoku/>
                    <w:overflowPunct/>
                    <w:topLinePunct w:val="0"/>
                    <w:bidi w:val="0"/>
                    <w:ind w:left="0" w:leftChars="0" w:right="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检测日期</w:t>
                  </w:r>
                </w:p>
              </w:tc>
              <w:tc>
                <w:tcPr>
                  <w:tcW w:w="1111" w:type="pct"/>
                  <w:vAlign w:val="center"/>
                </w:tcPr>
                <w:p w14:paraId="4DB04F1F">
                  <w:pPr>
                    <w:pageBreakBefore w:val="0"/>
                    <w:kinsoku/>
                    <w:overflowPunct/>
                    <w:topLinePunct w:val="0"/>
                    <w:bidi w:val="0"/>
                    <w:ind w:left="0" w:leftChars="0" w:right="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检测时间</w:t>
                  </w:r>
                </w:p>
              </w:tc>
              <w:tc>
                <w:tcPr>
                  <w:tcW w:w="1111" w:type="pct"/>
                  <w:vAlign w:val="center"/>
                </w:tcPr>
                <w:p w14:paraId="26F2EB86">
                  <w:pPr>
                    <w:pageBreakBefore w:val="0"/>
                    <w:kinsoku/>
                    <w:overflowPunct/>
                    <w:topLinePunct w:val="0"/>
                    <w:bidi w:val="0"/>
                    <w:ind w:left="0" w:leftChars="0" w:right="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检测结果Leq</w:t>
                  </w:r>
                </w:p>
              </w:tc>
            </w:tr>
            <w:tr w14:paraId="1014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6" w:type="pct"/>
                  <w:vAlign w:val="center"/>
                </w:tcPr>
                <w:p w14:paraId="794E60FA">
                  <w:pPr>
                    <w:pageBreakBefore w:val="0"/>
                    <w:kinsoku/>
                    <w:overflowPunct/>
                    <w:topLinePunct w:val="0"/>
                    <w:bidi w:val="0"/>
                    <w:ind w:left="0" w:leftChars="0" w:right="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石花村居民点N1</w:t>
                  </w:r>
                </w:p>
              </w:tc>
              <w:tc>
                <w:tcPr>
                  <w:tcW w:w="1110" w:type="pct"/>
                  <w:vMerge w:val="restart"/>
                  <w:vAlign w:val="center"/>
                </w:tcPr>
                <w:p w14:paraId="34C0CD2C">
                  <w:pPr>
                    <w:pageBreakBefore w:val="0"/>
                    <w:kinsoku/>
                    <w:overflowPunct/>
                    <w:topLinePunct w:val="0"/>
                    <w:bidi w:val="0"/>
                    <w:ind w:left="0" w:leftChars="0" w:right="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2025.12.13</w:t>
                  </w:r>
                </w:p>
              </w:tc>
              <w:tc>
                <w:tcPr>
                  <w:tcW w:w="1111" w:type="pct"/>
                  <w:vAlign w:val="center"/>
                </w:tcPr>
                <w:p w14:paraId="49F830E4">
                  <w:pPr>
                    <w:pageBreakBefore w:val="0"/>
                    <w:kinsoku/>
                    <w:overflowPunct/>
                    <w:topLinePunct w:val="0"/>
                    <w:bidi w:val="0"/>
                    <w:ind w:left="0" w:leftChars="0" w:right="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昼间15:29</w:t>
                  </w:r>
                </w:p>
              </w:tc>
              <w:tc>
                <w:tcPr>
                  <w:tcW w:w="1111" w:type="pct"/>
                  <w:vAlign w:val="center"/>
                </w:tcPr>
                <w:p w14:paraId="639D4F0B">
                  <w:pPr>
                    <w:pageBreakBefore w:val="0"/>
                    <w:kinsoku/>
                    <w:overflowPunct/>
                    <w:topLinePunct w:val="0"/>
                    <w:bidi w:val="0"/>
                    <w:ind w:left="0" w:leftChars="0" w:right="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56.6</w:t>
                  </w:r>
                </w:p>
              </w:tc>
            </w:tr>
            <w:tr w14:paraId="791BE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6" w:type="pct"/>
                  <w:vAlign w:val="center"/>
                </w:tcPr>
                <w:p w14:paraId="454B7B4C">
                  <w:pPr>
                    <w:pageBreakBefore w:val="0"/>
                    <w:kinsoku/>
                    <w:overflowPunct/>
                    <w:topLinePunct w:val="0"/>
                    <w:bidi w:val="0"/>
                    <w:ind w:left="0" w:leftChars="0" w:right="0"/>
                    <w:jc w:val="center"/>
                    <w:rPr>
                      <w:rFonts w:hint="eastAsia"/>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石花村居民点N2</w:t>
                  </w:r>
                </w:p>
              </w:tc>
              <w:tc>
                <w:tcPr>
                  <w:tcW w:w="1110" w:type="pct"/>
                  <w:vMerge w:val="continue"/>
                  <w:vAlign w:val="center"/>
                </w:tcPr>
                <w:p w14:paraId="06A9455B">
                  <w:pPr>
                    <w:pageBreakBefore w:val="0"/>
                    <w:kinsoku/>
                    <w:overflowPunct/>
                    <w:topLinePunct w:val="0"/>
                    <w:bidi w:val="0"/>
                    <w:ind w:left="0" w:leftChars="0" w:right="0"/>
                    <w:jc w:val="center"/>
                    <w:rPr>
                      <w:rFonts w:hint="default" w:eastAsia="宋体"/>
                      <w:color w:val="000000" w:themeColor="text1"/>
                      <w:szCs w:val="21"/>
                      <w:lang w:val="en-US" w:eastAsia="zh-CN"/>
                      <w14:textFill>
                        <w14:solidFill>
                          <w14:schemeClr w14:val="tx1"/>
                        </w14:solidFill>
                      </w14:textFill>
                    </w:rPr>
                  </w:pPr>
                </w:p>
              </w:tc>
              <w:tc>
                <w:tcPr>
                  <w:tcW w:w="1111" w:type="pct"/>
                  <w:vAlign w:val="center"/>
                </w:tcPr>
                <w:p w14:paraId="0A64131C">
                  <w:pPr>
                    <w:pageBreakBefore w:val="0"/>
                    <w:kinsoku/>
                    <w:overflowPunct/>
                    <w:topLinePunct w:val="0"/>
                    <w:bidi w:val="0"/>
                    <w:ind w:left="0" w:leftChars="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昼间15:43</w:t>
                  </w:r>
                </w:p>
              </w:tc>
              <w:tc>
                <w:tcPr>
                  <w:tcW w:w="1111" w:type="pct"/>
                  <w:vAlign w:val="center"/>
                </w:tcPr>
                <w:p w14:paraId="348B8E76">
                  <w:pPr>
                    <w:pageBreakBefore w:val="0"/>
                    <w:kinsoku/>
                    <w:overflowPunct/>
                    <w:topLinePunct w:val="0"/>
                    <w:bidi w:val="0"/>
                    <w:ind w:left="0" w:leftChars="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55.7</w:t>
                  </w:r>
                </w:p>
              </w:tc>
            </w:tr>
            <w:tr w14:paraId="52F97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6" w:type="pct"/>
                  <w:vAlign w:val="center"/>
                </w:tcPr>
                <w:p w14:paraId="109607F1">
                  <w:pPr>
                    <w:pageBreakBefore w:val="0"/>
                    <w:kinsoku/>
                    <w:overflowPunct/>
                    <w:topLinePunct w:val="0"/>
                    <w:bidi w:val="0"/>
                    <w:ind w:left="0" w:leftChars="0" w:right="0"/>
                    <w:jc w:val="center"/>
                    <w:rPr>
                      <w:rFonts w:hint="eastAsia"/>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石花村居民点N3</w:t>
                  </w:r>
                </w:p>
              </w:tc>
              <w:tc>
                <w:tcPr>
                  <w:tcW w:w="1110" w:type="pct"/>
                  <w:vMerge w:val="continue"/>
                  <w:vAlign w:val="center"/>
                </w:tcPr>
                <w:p w14:paraId="3D1237B5">
                  <w:pPr>
                    <w:pageBreakBefore w:val="0"/>
                    <w:kinsoku/>
                    <w:overflowPunct/>
                    <w:topLinePunct w:val="0"/>
                    <w:bidi w:val="0"/>
                    <w:ind w:left="0" w:leftChars="0" w:right="0"/>
                    <w:jc w:val="center"/>
                    <w:rPr>
                      <w:rFonts w:hint="default" w:eastAsia="宋体"/>
                      <w:color w:val="000000" w:themeColor="text1"/>
                      <w:szCs w:val="21"/>
                      <w:lang w:val="en-US" w:eastAsia="zh-CN"/>
                      <w14:textFill>
                        <w14:solidFill>
                          <w14:schemeClr w14:val="tx1"/>
                        </w14:solidFill>
                      </w14:textFill>
                    </w:rPr>
                  </w:pPr>
                </w:p>
              </w:tc>
              <w:tc>
                <w:tcPr>
                  <w:tcW w:w="1111" w:type="pct"/>
                  <w:vAlign w:val="center"/>
                </w:tcPr>
                <w:p w14:paraId="6BBE6693">
                  <w:pPr>
                    <w:pageBreakBefore w:val="0"/>
                    <w:kinsoku/>
                    <w:overflowPunct/>
                    <w:topLinePunct w:val="0"/>
                    <w:bidi w:val="0"/>
                    <w:ind w:left="0" w:leftChars="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昼间15:57</w:t>
                  </w:r>
                </w:p>
              </w:tc>
              <w:tc>
                <w:tcPr>
                  <w:tcW w:w="1111" w:type="pct"/>
                  <w:vAlign w:val="center"/>
                </w:tcPr>
                <w:p w14:paraId="328D8DBA">
                  <w:pPr>
                    <w:pageBreakBefore w:val="0"/>
                    <w:kinsoku/>
                    <w:overflowPunct/>
                    <w:topLinePunct w:val="0"/>
                    <w:bidi w:val="0"/>
                    <w:ind w:left="0" w:leftChars="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57.0</w:t>
                  </w:r>
                </w:p>
              </w:tc>
            </w:tr>
          </w:tbl>
          <w:p w14:paraId="2DA98E2B">
            <w:pPr>
              <w:pStyle w:val="148"/>
              <w:pageBreakBefore w:val="0"/>
              <w:tabs>
                <w:tab w:val="left" w:pos="4830"/>
              </w:tabs>
              <w:kinsoku/>
              <w:overflowPunct/>
              <w:topLinePunct w:val="0"/>
              <w:bidi w:val="0"/>
              <w:spacing w:line="360" w:lineRule="auto"/>
              <w:ind w:left="0" w:leftChars="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根据监测结果，该点位声环境满足</w:t>
            </w:r>
            <w:r>
              <w:rPr>
                <w:rFonts w:hint="eastAsia"/>
                <w:color w:val="000000" w:themeColor="text1"/>
                <w14:textFill>
                  <w14:solidFill>
                    <w14:schemeClr w14:val="tx1"/>
                  </w14:solidFill>
                </w14:textFill>
              </w:rPr>
              <w:t>《声环境质量标准》（GB3096-2008）</w:t>
            </w:r>
            <w:r>
              <w:rPr>
                <w:rFonts w:hint="eastAsia"/>
                <w:color w:val="000000" w:themeColor="text1"/>
                <w:lang w:val="en-US" w:eastAsia="zh-CN"/>
                <w14:textFill>
                  <w14:solidFill>
                    <w14:schemeClr w14:val="tx1"/>
                  </w14:solidFill>
                </w14:textFill>
              </w:rPr>
              <w:t>4a</w:t>
            </w:r>
            <w:r>
              <w:rPr>
                <w:rFonts w:hint="eastAsia"/>
                <w:color w:val="000000" w:themeColor="text1"/>
                <w14:textFill>
                  <w14:solidFill>
                    <w14:schemeClr w14:val="tx1"/>
                  </w14:solidFill>
                </w14:textFill>
              </w:rPr>
              <w:t>类标准</w:t>
            </w:r>
            <w:r>
              <w:rPr>
                <w:rFonts w:hint="eastAsia"/>
                <w:color w:val="000000" w:themeColor="text1"/>
                <w:lang w:eastAsia="zh-CN"/>
                <w14:textFill>
                  <w14:solidFill>
                    <w14:schemeClr w14:val="tx1"/>
                  </w14:solidFill>
                </w14:textFill>
              </w:rPr>
              <w:t>要求。</w:t>
            </w:r>
          </w:p>
          <w:p w14:paraId="02A6791B">
            <w:pPr>
              <w:pStyle w:val="17"/>
              <w:pageBreakBefore w:val="0"/>
              <w:kinsoku/>
              <w:overflowPunct/>
              <w:topLinePunct w:val="0"/>
              <w:bidi w:val="0"/>
              <w:adjustRightInd w:val="0"/>
              <w:snapToGrid w:val="0"/>
              <w:spacing w:line="346" w:lineRule="auto"/>
              <w:ind w:left="0" w:leftChars="0" w:right="0" w:firstLine="482" w:firstLineChars="200"/>
              <w:rPr>
                <w:rFonts w:ascii="Times New Roman" w:hAnsi="Times New Roman"/>
                <w:b/>
                <w:bCs/>
                <w:color w:val="000000" w:themeColor="text1"/>
                <w:sz w:val="24"/>
                <w14:textFill>
                  <w14:solidFill>
                    <w14:schemeClr w14:val="tx1"/>
                  </w14:solidFill>
                </w14:textFill>
              </w:rPr>
            </w:pPr>
            <w:r>
              <w:rPr>
                <w:rFonts w:hint="eastAsia" w:ascii="Times New Roman" w:hAnsi="Times New Roman"/>
                <w:b/>
                <w:bCs/>
                <w:color w:val="000000" w:themeColor="text1"/>
                <w:sz w:val="24"/>
                <w14:textFill>
                  <w14:solidFill>
                    <w14:schemeClr w14:val="tx1"/>
                  </w14:solidFill>
                </w14:textFill>
              </w:rPr>
              <w:t>4</w:t>
            </w:r>
            <w:r>
              <w:rPr>
                <w:rFonts w:ascii="Times New Roman" w:hAnsi="Times New Roman"/>
                <w:b/>
                <w:bCs/>
                <w:color w:val="000000" w:themeColor="text1"/>
                <w:sz w:val="24"/>
                <w14:textFill>
                  <w14:solidFill>
                    <w14:schemeClr w14:val="tx1"/>
                  </w14:solidFill>
                </w14:textFill>
              </w:rPr>
              <w:t>、生态环境质量现状</w:t>
            </w:r>
          </w:p>
          <w:p w14:paraId="14ECA8F0">
            <w:pPr>
              <w:pageBreakBefore w:val="0"/>
              <w:kinsoku/>
              <w:overflowPunct/>
              <w:topLinePunct w:val="0"/>
              <w:bidi w:val="0"/>
              <w:snapToGrid w:val="0"/>
              <w:spacing w:line="346" w:lineRule="auto"/>
              <w:ind w:left="0" w:leftChars="0" w:right="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zh-CN"/>
                <w14:textFill>
                  <w14:solidFill>
                    <w14:schemeClr w14:val="tx1"/>
                  </w14:solidFill>
                </w14:textFill>
              </w:rPr>
              <w:t>根据《</w:t>
            </w:r>
            <w:r>
              <w:rPr>
                <w:rFonts w:ascii="Times New Roman" w:hAnsi="Times New Roman" w:eastAsia="宋体" w:cs="Times New Roman"/>
                <w:color w:val="000000" w:themeColor="text1"/>
                <w:sz w:val="24"/>
                <w:lang w:val="en-US" w:eastAsia="zh-CN"/>
                <w14:textFill>
                  <w14:solidFill>
                    <w14:schemeClr w14:val="tx1"/>
                  </w14:solidFill>
                </w14:textFill>
              </w:rPr>
              <w:t>建设项目环境影响报告表编制技术指南</w:t>
            </w:r>
            <w:r>
              <w:rPr>
                <w:rFonts w:hint="eastAsia" w:ascii="Times New Roman" w:hAnsi="Times New Roman" w:eastAsia="宋体" w:cs="Times New Roman"/>
                <w:color w:val="000000" w:themeColor="text1"/>
                <w:sz w:val="24"/>
                <w:lang w:val="en-US" w:eastAsia="zh-CN"/>
                <w14:textFill>
                  <w14:solidFill>
                    <w14:schemeClr w14:val="tx1"/>
                  </w14:solidFill>
                </w14:textFill>
              </w:rPr>
              <w:t>（污染影响类）</w:t>
            </w:r>
            <w:r>
              <w:rPr>
                <w:rFonts w:hint="eastAsia" w:ascii="Times New Roman" w:hAnsi="Times New Roman" w:eastAsia="宋体" w:cs="Times New Roman"/>
                <w:color w:val="000000" w:themeColor="text1"/>
                <w:sz w:val="24"/>
                <w:lang w:val="zh-CN"/>
                <w14:textFill>
                  <w14:solidFill>
                    <w14:schemeClr w14:val="tx1"/>
                  </w14:solidFill>
                </w14:textFill>
              </w:rPr>
              <w:t>》“区域环境质量现状、生态环境：</w:t>
            </w:r>
            <w:r>
              <w:rPr>
                <w:rFonts w:ascii="Times New Roman" w:hAnsi="Times New Roman" w:eastAsia="宋体" w:cs="Times New Roman"/>
                <w:color w:val="000000" w:themeColor="text1"/>
                <w:sz w:val="24"/>
                <w:lang w:val="en-US" w:eastAsia="zh-CN"/>
                <w14:textFill>
                  <w14:solidFill>
                    <w14:schemeClr w14:val="tx1"/>
                  </w14:solidFill>
                </w14:textFill>
              </w:rPr>
              <w:t>产业园区外建设项目新增用地且用地范围内含有</w:t>
            </w:r>
            <w:r>
              <w:rPr>
                <w:rFonts w:hint="eastAsia" w:ascii="Times New Roman" w:hAnsi="Times New Roman" w:eastAsia="宋体" w:cs="Times New Roman"/>
                <w:color w:val="000000" w:themeColor="text1"/>
                <w:sz w:val="24"/>
                <w:lang w:val="en-US" w:eastAsia="zh-CN"/>
                <w14:textFill>
                  <w14:solidFill>
                    <w14:schemeClr w14:val="tx1"/>
                  </w14:solidFill>
                </w14:textFill>
              </w:rPr>
              <w:t>生态环境保护目标时，应进行生态现状调查</w:t>
            </w:r>
            <w:r>
              <w:rPr>
                <w:rFonts w:hint="eastAsia" w:ascii="Times New Roman" w:hAnsi="Times New Roman" w:eastAsia="宋体" w:cs="Times New Roman"/>
                <w:color w:val="000000" w:themeColor="text1"/>
                <w:sz w:val="24"/>
                <w:lang w:val="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02A91E6C">
            <w:pPr>
              <w:pageBreakBefore w:val="0"/>
              <w:kinsoku/>
              <w:overflowPunct/>
              <w:topLinePunct w:val="0"/>
              <w:bidi w:val="0"/>
              <w:snapToGrid w:val="0"/>
              <w:spacing w:line="346" w:lineRule="auto"/>
              <w:ind w:left="0" w:leftChars="0" w:right="0" w:firstLine="480" w:firstLineChars="200"/>
              <w:rPr>
                <w:rFonts w:hint="eastAsia"/>
                <w:b w:val="0"/>
                <w:bCs w:val="0"/>
                <w:color w:val="000000" w:themeColor="text1"/>
                <w:sz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本项目位于峨山县双江街道办事处峨山县文邦包装制品有限公司内，属于</w:t>
            </w:r>
            <w:r>
              <w:rPr>
                <w:rFonts w:hint="eastAsia" w:cs="Times New Roman"/>
                <w:color w:val="000000" w:themeColor="text1"/>
                <w:sz w:val="24"/>
                <w:szCs w:val="24"/>
                <w:lang w:val="en-US" w:eastAsia="zh-CN"/>
                <w14:textFill>
                  <w14:solidFill>
                    <w14:schemeClr w14:val="tx1"/>
                  </w14:solidFill>
                </w14:textFill>
              </w:rPr>
              <w:t>云南红塔产业园区研和片区双小地块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，不在</w:t>
            </w:r>
            <w:r>
              <w:rPr>
                <w:rFonts w:ascii="Times New Roman" w:hAnsi="Times New Roman" w:eastAsia="宋体" w:cs="Times New Roman"/>
                <w:color w:val="000000" w:themeColor="text1"/>
                <w:sz w:val="24"/>
                <w:lang w:val="en-US" w:eastAsia="zh-CN"/>
                <w14:textFill>
                  <w14:solidFill>
                    <w14:schemeClr w14:val="tx1"/>
                  </w14:solidFill>
                </w14:textFill>
              </w:rPr>
              <w:t>产业园区外建设项目新增用地</w:t>
            </w:r>
            <w:r>
              <w:rPr>
                <w:rFonts w:hint="eastAsia" w:ascii="Times New Roman" w:hAnsi="Times New Roman" w:eastAsia="宋体" w:cs="Times New Roman"/>
                <w:color w:val="000000" w:themeColor="text1"/>
                <w:sz w:val="24"/>
                <w:lang w:val="en-US" w:eastAsia="zh-CN"/>
                <w14:textFill>
                  <w14:solidFill>
                    <w14:schemeClr w14:val="tx1"/>
                  </w14:solidFill>
                </w14:textFill>
              </w:rPr>
              <w:t>。故可不进行生态环境现状调查。</w:t>
            </w:r>
          </w:p>
          <w:p w14:paraId="371351CE">
            <w:pPr>
              <w:pageBreakBefore w:val="0"/>
              <w:kinsoku/>
              <w:overflowPunct/>
              <w:topLinePunct w:val="0"/>
              <w:bidi w:val="0"/>
              <w:snapToGrid w:val="0"/>
              <w:spacing w:line="346" w:lineRule="auto"/>
              <w:ind w:left="0" w:leftChars="0" w:right="0" w:firstLine="480" w:firstLineChars="200"/>
              <w:rPr>
                <w:rFonts w:hint="eastAsia"/>
                <w:b w:val="0"/>
                <w:bCs w:val="0"/>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根据现场踏勘情况，</w:t>
            </w:r>
            <w:r>
              <w:rPr>
                <w:color w:val="000000" w:themeColor="text1"/>
                <w:sz w:val="24"/>
                <w:lang w:val="zh-CN"/>
                <w14:textFill>
                  <w14:solidFill>
                    <w14:schemeClr w14:val="tx1"/>
                  </w14:solidFill>
                </w14:textFill>
              </w:rPr>
              <w:t>项</w:t>
            </w:r>
            <w:r>
              <w:rPr>
                <w:b w:val="0"/>
                <w:bCs w:val="0"/>
                <w:color w:val="000000" w:themeColor="text1"/>
                <w:sz w:val="24"/>
                <w:lang w:val="zh-CN"/>
                <w14:textFill>
                  <w14:solidFill>
                    <w14:schemeClr w14:val="tx1"/>
                  </w14:solidFill>
                </w14:textFill>
              </w:rPr>
              <w:t>目</w:t>
            </w:r>
            <w:r>
              <w:rPr>
                <w:rFonts w:hint="eastAsia"/>
                <w:b w:val="0"/>
                <w:bCs w:val="0"/>
                <w:color w:val="000000" w:themeColor="text1"/>
                <w:sz w:val="24"/>
                <w14:textFill>
                  <w14:solidFill>
                    <w14:schemeClr w14:val="tx1"/>
                  </w14:solidFill>
                </w14:textFill>
              </w:rPr>
              <w:t>厂址</w:t>
            </w:r>
            <w:r>
              <w:rPr>
                <w:rFonts w:hint="eastAsia"/>
                <w:b w:val="0"/>
                <w:bCs w:val="0"/>
                <w:color w:val="000000" w:themeColor="text1"/>
                <w:sz w:val="24"/>
                <w:lang w:eastAsia="zh-CN"/>
                <w14:textFill>
                  <w14:solidFill>
                    <w14:schemeClr w14:val="tx1"/>
                  </w14:solidFill>
                </w14:textFill>
              </w:rPr>
              <w:t>范围内</w:t>
            </w:r>
            <w:r>
              <w:rPr>
                <w:color w:val="000000" w:themeColor="text1"/>
                <w:sz w:val="24"/>
                <w:lang w:val="zh-CN"/>
                <w14:textFill>
                  <w14:solidFill>
                    <w14:schemeClr w14:val="tx1"/>
                  </w14:solidFill>
                </w14:textFill>
              </w:rPr>
              <w:t>无原生植被，主要为人工种植的绿化植物，植物种类较少，生物结构单一，生态环境自我调节能力低。</w:t>
            </w:r>
          </w:p>
          <w:p w14:paraId="6CA69716">
            <w:pPr>
              <w:pageBreakBefore w:val="0"/>
              <w:kinsoku/>
              <w:overflowPunct/>
              <w:topLinePunct w:val="0"/>
              <w:bidi w:val="0"/>
              <w:spacing w:line="360" w:lineRule="auto"/>
              <w:ind w:left="0" w:leftChars="0" w:right="0"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5、地下水、土壤环境</w:t>
            </w:r>
          </w:p>
          <w:p w14:paraId="6BED798C">
            <w:pPr>
              <w:tabs>
                <w:tab w:val="left" w:pos="4830"/>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bookmarkStart w:id="9" w:name="_Toc14125"/>
            <w:r>
              <w:rPr>
                <w:rFonts w:hint="default" w:ascii="Times New Roman" w:hAnsi="Times New Roman" w:cs="Times New Roman"/>
                <w:color w:val="000000" w:themeColor="text1"/>
                <w:sz w:val="24"/>
                <w14:textFill>
                  <w14:solidFill>
                    <w14:schemeClr w14:val="tx1"/>
                  </w14:solidFill>
                </w14:textFill>
              </w:rPr>
              <w:t>根据《建设项目环境影响报告表编制技术指南》（污染影响类）</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原则上不开展环境质量现状调查。建设项目存在土壤、地下水环境污染途径的，应结合污染源、保护目标分布情况开展现状调查以留作背景值</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w:t>
            </w:r>
          </w:p>
          <w:p w14:paraId="17CA9AEA">
            <w:pPr>
              <w:pageBreakBefore w:val="0"/>
              <w:kinsoku/>
              <w:overflowPunct/>
              <w:topLinePunct w:val="0"/>
              <w:bidi w:val="0"/>
              <w:snapToGrid w:val="0"/>
              <w:spacing w:line="346" w:lineRule="auto"/>
              <w:ind w:left="0" w:leftChars="0" w:right="0" w:firstLine="480" w:firstLineChars="200"/>
              <w:rPr>
                <w:rFonts w:hint="eastAsia" w:eastAsia="宋体"/>
                <w:color w:val="000000" w:themeColor="text1"/>
                <w:lang w:eastAsia="zh-CN"/>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lang w:eastAsia="zh-CN"/>
                <w14:textFill>
                  <w14:solidFill>
                    <w14:schemeClr w14:val="tx1"/>
                  </w14:solidFill>
                </w14:textFill>
              </w:rPr>
              <w:t>于公司现有厂区内进行建设，不涉及新增占地。根据调查，生产车间内地面、锅炉房地面、仓库地面等均已混凝土硬化平整。项目在采取防渗措施后，对周边环境的影响不大</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可</w:t>
            </w:r>
            <w:r>
              <w:rPr>
                <w:color w:val="000000" w:themeColor="text1"/>
                <w:sz w:val="24"/>
                <w14:textFill>
                  <w14:solidFill>
                    <w14:schemeClr w14:val="tx1"/>
                  </w14:solidFill>
                </w14:textFill>
              </w:rPr>
              <w:t>不开展环境质量现状调查</w:t>
            </w:r>
            <w:bookmarkEnd w:id="9"/>
            <w:r>
              <w:rPr>
                <w:rFonts w:hint="eastAsia"/>
                <w:color w:val="000000" w:themeColor="text1"/>
                <w:sz w:val="24"/>
                <w:lang w:eastAsia="zh-CN"/>
                <w14:textFill>
                  <w14:solidFill>
                    <w14:schemeClr w14:val="tx1"/>
                  </w14:solidFill>
                </w14:textFill>
              </w:rPr>
              <w:t>。</w:t>
            </w:r>
          </w:p>
        </w:tc>
      </w:tr>
      <w:tr w14:paraId="0B8528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740" w:type="dxa"/>
            <w:vAlign w:val="center"/>
          </w:tcPr>
          <w:p w14:paraId="05601864">
            <w:pPr>
              <w:pageBreakBefore w:val="0"/>
              <w:kinsoku/>
              <w:overflowPunct/>
              <w:topLinePunct w:val="0"/>
              <w:bidi w:val="0"/>
              <w:ind w:left="0" w:leftChars="0" w:right="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w:t>
            </w:r>
          </w:p>
          <w:p w14:paraId="09BFD5F5">
            <w:pPr>
              <w:pageBreakBefore w:val="0"/>
              <w:kinsoku/>
              <w:overflowPunct/>
              <w:topLinePunct w:val="0"/>
              <w:bidi w:val="0"/>
              <w:ind w:left="0" w:leftChars="0" w:right="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保护</w:t>
            </w:r>
          </w:p>
          <w:p w14:paraId="413345BF">
            <w:pPr>
              <w:pageBreakBefore w:val="0"/>
              <w:kinsoku/>
              <w:overflowPunct/>
              <w:topLinePunct w:val="0"/>
              <w:bidi w:val="0"/>
              <w:ind w:left="0" w:leftChars="0" w:right="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目标</w:t>
            </w:r>
          </w:p>
        </w:tc>
        <w:tc>
          <w:tcPr>
            <w:tcW w:w="8321" w:type="dxa"/>
            <w:vAlign w:val="center"/>
          </w:tcPr>
          <w:p w14:paraId="25542B7E">
            <w:pPr>
              <w:pageBreakBefore w:val="0"/>
              <w:kinsoku/>
              <w:overflowPunct/>
              <w:topLinePunct w:val="0"/>
              <w:bidi w:val="0"/>
              <w:snapToGrid w:val="0"/>
              <w:spacing w:line="346" w:lineRule="auto"/>
              <w:ind w:left="0" w:leftChars="0" w:right="0" w:firstLine="480" w:firstLineChars="2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根据环办环评〔2020〕33号附件2《建设项目环境影响报告表编制技术指南</w:t>
            </w:r>
          </w:p>
          <w:p w14:paraId="6BD3932F">
            <w:pPr>
              <w:pageBreakBefore w:val="0"/>
              <w:kinsoku/>
              <w:overflowPunct/>
              <w:topLinePunct w:val="0"/>
              <w:bidi w:val="0"/>
              <w:snapToGrid w:val="0"/>
              <w:spacing w:line="346" w:lineRule="auto"/>
              <w:ind w:right="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（污染影响类）（试行）》，环境影响报告表环境保护目标设置如下：</w:t>
            </w:r>
          </w:p>
          <w:p w14:paraId="4D1EBB3E">
            <w:pPr>
              <w:pageBreakBefore w:val="0"/>
              <w:kinsoku/>
              <w:overflowPunct/>
              <w:topLinePunct w:val="0"/>
              <w:bidi w:val="0"/>
              <w:spacing w:line="360" w:lineRule="auto"/>
              <w:ind w:left="0" w:leftChars="0" w:right="0"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1、大气环境保护目标</w:t>
            </w:r>
          </w:p>
          <w:p w14:paraId="0F4CACDC">
            <w:pPr>
              <w:pStyle w:val="94"/>
              <w:pageBreakBefore w:val="0"/>
              <w:kinsoku/>
              <w:overflowPunct/>
              <w:topLinePunct w:val="0"/>
              <w:bidi w:val="0"/>
              <w:spacing w:line="360" w:lineRule="auto"/>
              <w:ind w:left="0" w:leftChars="0" w:right="0" w:firstLine="480" w:firstLineChars="200"/>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项目周边500m范围内无自然保护区、风景名胜区分布，居民点为东北侧</w:t>
            </w:r>
            <w:r>
              <w:rPr>
                <w:rFonts w:hint="eastAsia"/>
                <w:color w:val="000000" w:themeColor="text1"/>
                <w:sz w:val="24"/>
                <w:lang w:val="en-US" w:eastAsia="zh-CN"/>
                <w14:textFill>
                  <w14:solidFill>
                    <w14:schemeClr w14:val="tx1"/>
                  </w14:solidFill>
                </w14:textFill>
              </w:rPr>
              <w:t>45m处</w:t>
            </w:r>
            <w:r>
              <w:rPr>
                <w:rFonts w:hint="eastAsia"/>
                <w:color w:val="000000" w:themeColor="text1"/>
                <w:sz w:val="24"/>
                <w:lang w:val="zh-CN"/>
                <w14:textFill>
                  <w14:solidFill>
                    <w14:schemeClr w14:val="tx1"/>
                  </w14:solidFill>
                </w14:textFill>
              </w:rPr>
              <w:t>石花村。</w:t>
            </w:r>
            <w:r>
              <w:rPr>
                <w:color w:val="000000" w:themeColor="text1"/>
                <w:sz w:val="24"/>
                <w:lang w:val="zh-CN"/>
                <w14:textFill>
                  <w14:solidFill>
                    <w14:schemeClr w14:val="tx1"/>
                  </w14:solidFill>
                </w14:textFill>
              </w:rPr>
              <w:t>项目厂界外500m范围内主要环境保护目标见下表</w:t>
            </w:r>
            <w:r>
              <w:rPr>
                <w:rFonts w:hint="eastAsia"/>
                <w:color w:val="000000" w:themeColor="text1"/>
                <w:sz w:val="24"/>
                <w:lang w:val="zh-CN"/>
                <w14:textFill>
                  <w14:solidFill>
                    <w14:schemeClr w14:val="tx1"/>
                  </w14:solidFill>
                </w14:textFill>
              </w:rPr>
              <w:t>。</w:t>
            </w:r>
          </w:p>
          <w:p w14:paraId="5A31C9A7">
            <w:pPr>
              <w:pStyle w:val="31"/>
              <w:pageBreakBefore w:val="0"/>
              <w:kinsoku/>
              <w:overflowPunct/>
              <w:topLinePunct w:val="0"/>
              <w:bidi w:val="0"/>
              <w:snapToGrid/>
              <w:spacing w:after="0" w:line="240" w:lineRule="auto"/>
              <w:ind w:left="0" w:leftChars="0" w:right="0" w:firstLine="0" w:firstLineChars="0"/>
              <w:jc w:val="center"/>
              <w:rPr>
                <w:b/>
                <w:bCs/>
                <w:color w:val="000000" w:themeColor="text1"/>
                <w:sz w:val="21"/>
                <w:szCs w:val="18"/>
                <w14:textFill>
                  <w14:solidFill>
                    <w14:schemeClr w14:val="tx1"/>
                  </w14:solidFill>
                </w14:textFill>
              </w:rPr>
            </w:pPr>
            <w:r>
              <w:rPr>
                <w:b/>
                <w:bCs/>
                <w:color w:val="000000" w:themeColor="text1"/>
                <w:sz w:val="21"/>
                <w:szCs w:val="18"/>
                <w14:textFill>
                  <w14:solidFill>
                    <w14:schemeClr w14:val="tx1"/>
                  </w14:solidFill>
                </w14:textFill>
              </w:rPr>
              <w:t>表3-</w:t>
            </w:r>
            <w:r>
              <w:rPr>
                <w:rFonts w:hint="eastAsia"/>
                <w:b/>
                <w:bCs/>
                <w:color w:val="000000" w:themeColor="text1"/>
                <w:sz w:val="21"/>
                <w:szCs w:val="18"/>
                <w:lang w:val="en-US" w:eastAsia="zh-CN"/>
                <w14:textFill>
                  <w14:solidFill>
                    <w14:schemeClr w14:val="tx1"/>
                  </w14:solidFill>
                </w14:textFill>
              </w:rPr>
              <w:t>5</w:t>
            </w:r>
            <w:r>
              <w:rPr>
                <w:b/>
                <w:bCs/>
                <w:color w:val="000000" w:themeColor="text1"/>
                <w:sz w:val="21"/>
                <w:szCs w:val="18"/>
                <w14:textFill>
                  <w14:solidFill>
                    <w14:schemeClr w14:val="tx1"/>
                  </w14:solidFill>
                </w14:textFill>
              </w:rPr>
              <w:t xml:space="preserve">  大气环境保护目标一览表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1284"/>
              <w:gridCol w:w="1959"/>
              <w:gridCol w:w="656"/>
              <w:gridCol w:w="578"/>
              <w:gridCol w:w="1838"/>
              <w:gridCol w:w="688"/>
              <w:gridCol w:w="888"/>
            </w:tblGrid>
            <w:tr w14:paraId="439D4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6" w:type="pct"/>
                  <w:vAlign w:val="center"/>
                </w:tcPr>
                <w:p w14:paraId="1CF68603">
                  <w:pPr>
                    <w:pStyle w:val="9"/>
                    <w:pageBreakBefore w:val="0"/>
                    <w:kinsoku/>
                    <w:overflowPunct/>
                    <w:topLinePunct w:val="0"/>
                    <w:bidi w:val="0"/>
                    <w:spacing w:line="240" w:lineRule="auto"/>
                    <w:ind w:left="0" w:leftChars="0" w:right="0"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环境</w:t>
                  </w:r>
                </w:p>
                <w:p w14:paraId="70C849D9">
                  <w:pPr>
                    <w:pStyle w:val="9"/>
                    <w:pageBreakBefore w:val="0"/>
                    <w:kinsoku/>
                    <w:overflowPunct/>
                    <w:topLinePunct w:val="0"/>
                    <w:bidi w:val="0"/>
                    <w:spacing w:line="240" w:lineRule="auto"/>
                    <w:ind w:left="0" w:leftChars="0" w:right="0"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要素</w:t>
                  </w:r>
                </w:p>
              </w:tc>
              <w:tc>
                <w:tcPr>
                  <w:tcW w:w="806" w:type="pct"/>
                  <w:vAlign w:val="center"/>
                </w:tcPr>
                <w:p w14:paraId="684A1C4A">
                  <w:pPr>
                    <w:pStyle w:val="9"/>
                    <w:pageBreakBefore w:val="0"/>
                    <w:kinsoku/>
                    <w:overflowPunct/>
                    <w:topLinePunct w:val="0"/>
                    <w:bidi w:val="0"/>
                    <w:spacing w:line="240" w:lineRule="auto"/>
                    <w:ind w:left="0" w:leftChars="0" w:right="0"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名称</w:t>
                  </w:r>
                </w:p>
              </w:tc>
              <w:tc>
                <w:tcPr>
                  <w:tcW w:w="1204" w:type="pct"/>
                  <w:vAlign w:val="center"/>
                </w:tcPr>
                <w:p w14:paraId="31A02353">
                  <w:pPr>
                    <w:pStyle w:val="9"/>
                    <w:pageBreakBefore w:val="0"/>
                    <w:kinsoku/>
                    <w:overflowPunct/>
                    <w:topLinePunct w:val="0"/>
                    <w:bidi w:val="0"/>
                    <w:spacing w:line="240" w:lineRule="auto"/>
                    <w:ind w:left="0" w:leftChars="0" w:right="0"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中心地理坐标</w:t>
                  </w:r>
                </w:p>
              </w:tc>
              <w:tc>
                <w:tcPr>
                  <w:tcW w:w="435" w:type="pct"/>
                  <w:vAlign w:val="center"/>
                </w:tcPr>
                <w:p w14:paraId="48AD7E8A">
                  <w:pPr>
                    <w:pStyle w:val="9"/>
                    <w:pageBreakBefore w:val="0"/>
                    <w:kinsoku/>
                    <w:overflowPunct/>
                    <w:topLinePunct w:val="0"/>
                    <w:bidi w:val="0"/>
                    <w:spacing w:line="240" w:lineRule="auto"/>
                    <w:ind w:left="0" w:leftChars="0" w:right="0" w:firstLine="0" w:firstLineChars="0"/>
                    <w:jc w:val="center"/>
                    <w:rPr>
                      <w:rFonts w:hint="eastAsia" w:eastAsia="宋体"/>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保护对象</w:t>
                  </w:r>
                </w:p>
              </w:tc>
              <w:tc>
                <w:tcPr>
                  <w:tcW w:w="389" w:type="pct"/>
                  <w:vAlign w:val="center"/>
                </w:tcPr>
                <w:p w14:paraId="30987E85">
                  <w:pPr>
                    <w:pStyle w:val="9"/>
                    <w:pageBreakBefore w:val="0"/>
                    <w:kinsoku/>
                    <w:overflowPunct/>
                    <w:topLinePunct w:val="0"/>
                    <w:bidi w:val="0"/>
                    <w:spacing w:line="240" w:lineRule="auto"/>
                    <w:ind w:left="0" w:leftChars="0" w:right="0" w:firstLine="0" w:firstLineChars="0"/>
                    <w:jc w:val="center"/>
                    <w:rPr>
                      <w:rFonts w:hint="eastAsia"/>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保护内容</w:t>
                  </w:r>
                </w:p>
              </w:tc>
              <w:tc>
                <w:tcPr>
                  <w:tcW w:w="750" w:type="pct"/>
                  <w:vAlign w:val="center"/>
                </w:tcPr>
                <w:p w14:paraId="3D22CC1F">
                  <w:pPr>
                    <w:pStyle w:val="9"/>
                    <w:pageBreakBefore w:val="0"/>
                    <w:kinsoku/>
                    <w:overflowPunct/>
                    <w:topLinePunct w:val="0"/>
                    <w:bidi w:val="0"/>
                    <w:spacing w:line="240" w:lineRule="auto"/>
                    <w:ind w:left="0" w:leftChars="0" w:right="0" w:firstLine="0" w:firstLineChars="0"/>
                    <w:jc w:val="center"/>
                    <w:rPr>
                      <w:rFonts w:hint="eastAsia"/>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环境功能区</w:t>
                  </w:r>
                </w:p>
              </w:tc>
              <w:tc>
                <w:tcPr>
                  <w:tcW w:w="454" w:type="pct"/>
                  <w:vAlign w:val="center"/>
                </w:tcPr>
                <w:p w14:paraId="0F8F51ED">
                  <w:pPr>
                    <w:pStyle w:val="9"/>
                    <w:pageBreakBefore w:val="0"/>
                    <w:kinsoku/>
                    <w:overflowPunct/>
                    <w:topLinePunct w:val="0"/>
                    <w:bidi w:val="0"/>
                    <w:spacing w:line="240" w:lineRule="auto"/>
                    <w:ind w:left="0" w:leftChars="0" w:right="0"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相对厂址</w:t>
                  </w:r>
                  <w:r>
                    <w:rPr>
                      <w:b/>
                      <w:bCs/>
                      <w:color w:val="000000" w:themeColor="text1"/>
                      <w:sz w:val="21"/>
                      <w:szCs w:val="21"/>
                      <w14:textFill>
                        <w14:solidFill>
                          <w14:schemeClr w14:val="tx1"/>
                        </w14:solidFill>
                      </w14:textFill>
                    </w:rPr>
                    <w:t>方位</w:t>
                  </w:r>
                </w:p>
              </w:tc>
              <w:tc>
                <w:tcPr>
                  <w:tcW w:w="572" w:type="pct"/>
                  <w:vAlign w:val="center"/>
                </w:tcPr>
                <w:p w14:paraId="6468E1CF">
                  <w:pPr>
                    <w:pStyle w:val="9"/>
                    <w:pageBreakBefore w:val="0"/>
                    <w:kinsoku/>
                    <w:overflowPunct/>
                    <w:topLinePunct w:val="0"/>
                    <w:bidi w:val="0"/>
                    <w:spacing w:line="240" w:lineRule="auto"/>
                    <w:ind w:left="0" w:leftChars="0" w:right="0"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相对厂界</w:t>
                  </w:r>
                  <w:r>
                    <w:rPr>
                      <w:b/>
                      <w:bCs/>
                      <w:color w:val="000000" w:themeColor="text1"/>
                      <w:sz w:val="21"/>
                      <w:szCs w:val="21"/>
                      <w14:textFill>
                        <w14:solidFill>
                          <w14:schemeClr w14:val="tx1"/>
                        </w14:solidFill>
                      </w14:textFill>
                    </w:rPr>
                    <w:t>距离（m）</w:t>
                  </w:r>
                </w:p>
              </w:tc>
            </w:tr>
            <w:tr w14:paraId="52217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6" w:type="pct"/>
                  <w:vMerge w:val="restart"/>
                  <w:vAlign w:val="center"/>
                </w:tcPr>
                <w:p w14:paraId="0B27DF27">
                  <w:pPr>
                    <w:pStyle w:val="9"/>
                    <w:pageBreakBefore w:val="0"/>
                    <w:kinsoku/>
                    <w:overflowPunct/>
                    <w:topLinePunct w:val="0"/>
                    <w:bidi w:val="0"/>
                    <w:spacing w:line="240" w:lineRule="auto"/>
                    <w:ind w:left="0" w:leftChars="0" w:righ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大气环境</w:t>
                  </w:r>
                </w:p>
              </w:tc>
              <w:tc>
                <w:tcPr>
                  <w:tcW w:w="806" w:type="pct"/>
                  <w:vAlign w:val="center"/>
                </w:tcPr>
                <w:p w14:paraId="639EA41F">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石花村</w:t>
                  </w:r>
                </w:p>
              </w:tc>
              <w:tc>
                <w:tcPr>
                  <w:tcW w:w="1204" w:type="pct"/>
                  <w:vAlign w:val="center"/>
                </w:tcPr>
                <w:p w14:paraId="34C20575">
                  <w:pPr>
                    <w:pStyle w:val="9"/>
                    <w:pageBreakBefore w:val="0"/>
                    <w:kinsoku/>
                    <w:overflowPunct/>
                    <w:topLinePunct w:val="0"/>
                    <w:bidi w:val="0"/>
                    <w:spacing w:line="240" w:lineRule="auto"/>
                    <w:ind w:left="0" w:leftChars="0" w:right="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E：</w:t>
                  </w:r>
                  <w:r>
                    <w:rPr>
                      <w:rFonts w:hint="eastAsia"/>
                      <w:color w:val="000000" w:themeColor="text1"/>
                      <w:sz w:val="21"/>
                      <w:szCs w:val="21"/>
                      <w:lang w:val="en-US" w:eastAsia="zh-CN"/>
                      <w14:textFill>
                        <w14:solidFill>
                          <w14:schemeClr w14:val="tx1"/>
                        </w14:solidFill>
                      </w14:textFill>
                    </w:rPr>
                    <w:t>102</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26</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23.947</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w:t>
                  </w:r>
                </w:p>
                <w:p w14:paraId="45E7A6BE">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N：</w:t>
                  </w:r>
                  <w:r>
                    <w:rPr>
                      <w:rFonts w:hint="eastAsia"/>
                      <w:color w:val="000000" w:themeColor="text1"/>
                      <w:sz w:val="21"/>
                      <w:szCs w:val="21"/>
                      <w:lang w:val="en-US" w:eastAsia="zh-CN"/>
                      <w14:textFill>
                        <w14:solidFill>
                          <w14:schemeClr w14:val="tx1"/>
                        </w14:solidFill>
                      </w14:textFill>
                    </w:rPr>
                    <w:t>24</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11</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10.717</w:t>
                  </w:r>
                  <w:r>
                    <w:rPr>
                      <w:color w:val="000000" w:themeColor="text1"/>
                      <w:sz w:val="21"/>
                      <w:szCs w:val="21"/>
                      <w14:textFill>
                        <w14:solidFill>
                          <w14:schemeClr w14:val="tx1"/>
                        </w14:solidFill>
                      </w14:textFill>
                    </w:rPr>
                    <w:t>″</w:t>
                  </w:r>
                </w:p>
              </w:tc>
              <w:tc>
                <w:tcPr>
                  <w:tcW w:w="435" w:type="pct"/>
                  <w:vAlign w:val="center"/>
                </w:tcPr>
                <w:p w14:paraId="41BB5CBE">
                  <w:pPr>
                    <w:pStyle w:val="9"/>
                    <w:pageBreakBefore w:val="0"/>
                    <w:kinsoku/>
                    <w:overflowPunct/>
                    <w:topLinePunct w:val="0"/>
                    <w:bidi w:val="0"/>
                    <w:spacing w:line="240" w:lineRule="auto"/>
                    <w:ind w:left="0" w:leftChars="0" w:right="0" w:firstLine="0" w:firstLine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人群</w:t>
                  </w:r>
                </w:p>
              </w:tc>
              <w:tc>
                <w:tcPr>
                  <w:tcW w:w="389" w:type="pct"/>
                  <w:vAlign w:val="center"/>
                </w:tcPr>
                <w:p w14:paraId="2CA3D44D">
                  <w:pPr>
                    <w:pStyle w:val="9"/>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305人</w:t>
                  </w:r>
                </w:p>
              </w:tc>
              <w:tc>
                <w:tcPr>
                  <w:tcW w:w="750" w:type="pct"/>
                  <w:vMerge w:val="restart"/>
                  <w:vAlign w:val="center"/>
                </w:tcPr>
                <w:p w14:paraId="1D98350F">
                  <w:pPr>
                    <w:pStyle w:val="9"/>
                    <w:pageBreakBefore w:val="0"/>
                    <w:kinsoku/>
                    <w:overflowPunct/>
                    <w:topLinePunct w:val="0"/>
                    <w:bidi w:val="0"/>
                    <w:spacing w:line="240" w:lineRule="auto"/>
                    <w:ind w:left="0" w:leftChars="0" w:right="0" w:firstLine="0" w:firstLineChars="0"/>
                    <w:jc w:val="center"/>
                    <w:rPr>
                      <w:rFonts w:hint="eastAsia"/>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《环境空气质量标准》（GB3095</w:t>
                  </w:r>
                  <w:r>
                    <w:rPr>
                      <w:rFonts w:hint="eastAsia"/>
                      <w:bCs/>
                      <w:color w:val="000000" w:themeColor="text1"/>
                      <w:sz w:val="21"/>
                      <w:szCs w:val="21"/>
                      <w:lang w:eastAsia="zh-CN"/>
                      <w14:textFill>
                        <w14:solidFill>
                          <w14:schemeClr w14:val="tx1"/>
                        </w14:solidFill>
                      </w14:textFill>
                    </w:rPr>
                    <w:t>-2026</w:t>
                  </w:r>
                  <w:r>
                    <w:rPr>
                      <w:bCs/>
                      <w:color w:val="000000" w:themeColor="text1"/>
                      <w:sz w:val="21"/>
                      <w:szCs w:val="21"/>
                      <w14:textFill>
                        <w14:solidFill>
                          <w14:schemeClr w14:val="tx1"/>
                        </w14:solidFill>
                      </w14:textFill>
                    </w:rPr>
                    <w:t>）二类区</w:t>
                  </w:r>
                </w:p>
              </w:tc>
              <w:tc>
                <w:tcPr>
                  <w:tcW w:w="454" w:type="pct"/>
                  <w:vAlign w:val="center"/>
                </w:tcPr>
                <w:p w14:paraId="0FBE85B5">
                  <w:pPr>
                    <w:pageBreakBefore w:val="0"/>
                    <w:kinsoku/>
                    <w:overflowPunct/>
                    <w:topLinePunct w:val="0"/>
                    <w:bidi w:val="0"/>
                    <w:ind w:left="0" w:leftChars="0" w:right="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东北</w:t>
                  </w:r>
                </w:p>
              </w:tc>
              <w:tc>
                <w:tcPr>
                  <w:tcW w:w="572" w:type="pct"/>
                  <w:vAlign w:val="center"/>
                </w:tcPr>
                <w:p w14:paraId="234D6A16">
                  <w:pPr>
                    <w:pStyle w:val="9"/>
                    <w:pageBreakBefore w:val="0"/>
                    <w:kinsoku/>
                    <w:overflowPunct/>
                    <w:topLinePunct w:val="0"/>
                    <w:bidi w:val="0"/>
                    <w:spacing w:line="240" w:lineRule="auto"/>
                    <w:ind w:left="0" w:leftChars="0" w:right="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w:t>
                  </w:r>
                </w:p>
              </w:tc>
            </w:tr>
            <w:tr w14:paraId="3BE3E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6" w:type="pct"/>
                  <w:vMerge w:val="continue"/>
                  <w:vAlign w:val="center"/>
                </w:tcPr>
                <w:p w14:paraId="299E4217">
                  <w:pPr>
                    <w:pStyle w:val="9"/>
                    <w:pageBreakBefore w:val="0"/>
                    <w:kinsoku/>
                    <w:overflowPunct/>
                    <w:topLinePunct w:val="0"/>
                    <w:bidi w:val="0"/>
                    <w:spacing w:line="240" w:lineRule="auto"/>
                    <w:ind w:left="0" w:leftChars="0" w:right="0" w:firstLine="0" w:firstLineChars="0"/>
                    <w:jc w:val="center"/>
                    <w:rPr>
                      <w:color w:val="000000" w:themeColor="text1"/>
                      <w:sz w:val="21"/>
                      <w:szCs w:val="21"/>
                      <w14:textFill>
                        <w14:solidFill>
                          <w14:schemeClr w14:val="tx1"/>
                        </w14:solidFill>
                      </w14:textFill>
                    </w:rPr>
                  </w:pPr>
                </w:p>
              </w:tc>
              <w:tc>
                <w:tcPr>
                  <w:tcW w:w="806" w:type="pct"/>
                  <w:vAlign w:val="center"/>
                </w:tcPr>
                <w:p w14:paraId="4F8377C1">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峨山县粮食购销公司石花粮库</w:t>
                  </w:r>
                </w:p>
              </w:tc>
              <w:tc>
                <w:tcPr>
                  <w:tcW w:w="1204" w:type="pct"/>
                  <w:vAlign w:val="center"/>
                </w:tcPr>
                <w:p w14:paraId="31790117">
                  <w:pPr>
                    <w:pStyle w:val="9"/>
                    <w:pageBreakBefore w:val="0"/>
                    <w:kinsoku/>
                    <w:overflowPunct/>
                    <w:topLinePunct w:val="0"/>
                    <w:bidi w:val="0"/>
                    <w:spacing w:line="240" w:lineRule="auto"/>
                    <w:ind w:left="0" w:leftChars="0" w:right="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E：</w:t>
                  </w:r>
                  <w:r>
                    <w:rPr>
                      <w:rFonts w:hint="eastAsia"/>
                      <w:color w:val="000000" w:themeColor="text1"/>
                      <w:sz w:val="21"/>
                      <w:szCs w:val="21"/>
                      <w:lang w:val="en-US" w:eastAsia="zh-CN"/>
                      <w14:textFill>
                        <w14:solidFill>
                          <w14:schemeClr w14:val="tx1"/>
                        </w14:solidFill>
                      </w14:textFill>
                    </w:rPr>
                    <w:t>102</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26</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11.515</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w:t>
                  </w:r>
                </w:p>
                <w:p w14:paraId="5E20CE1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N：</w:t>
                  </w:r>
                  <w:r>
                    <w:rPr>
                      <w:rFonts w:hint="eastAsia"/>
                      <w:color w:val="000000" w:themeColor="text1"/>
                      <w:sz w:val="21"/>
                      <w:szCs w:val="21"/>
                      <w:lang w:val="en-US" w:eastAsia="zh-CN"/>
                      <w14:textFill>
                        <w14:solidFill>
                          <w14:schemeClr w14:val="tx1"/>
                        </w14:solidFill>
                      </w14:textFill>
                    </w:rPr>
                    <w:t>24</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11</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9.598</w:t>
                  </w:r>
                  <w:r>
                    <w:rPr>
                      <w:color w:val="000000" w:themeColor="text1"/>
                      <w:sz w:val="21"/>
                      <w:szCs w:val="21"/>
                      <w14:textFill>
                        <w14:solidFill>
                          <w14:schemeClr w14:val="tx1"/>
                        </w14:solidFill>
                      </w14:textFill>
                    </w:rPr>
                    <w:t>″</w:t>
                  </w:r>
                </w:p>
              </w:tc>
              <w:tc>
                <w:tcPr>
                  <w:tcW w:w="435" w:type="pct"/>
                  <w:vAlign w:val="center"/>
                </w:tcPr>
                <w:p w14:paraId="1ABFCC60">
                  <w:pPr>
                    <w:pStyle w:val="9"/>
                    <w:pageBreakBefore w:val="0"/>
                    <w:kinsoku/>
                    <w:overflowPunct/>
                    <w:topLinePunct w:val="0"/>
                    <w:bidi w:val="0"/>
                    <w:spacing w:line="240" w:lineRule="auto"/>
                    <w:ind w:left="0" w:leftChars="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389" w:type="pct"/>
                  <w:vAlign w:val="center"/>
                </w:tcPr>
                <w:p w14:paraId="5E980132">
                  <w:pPr>
                    <w:pStyle w:val="9"/>
                    <w:pageBreakBefore w:val="0"/>
                    <w:kinsoku/>
                    <w:overflowPunct/>
                    <w:topLinePunct w:val="0"/>
                    <w:bidi w:val="0"/>
                    <w:spacing w:line="240" w:lineRule="auto"/>
                    <w:ind w:left="0" w:leftChars="0" w:right="0" w:firstLine="0" w:firstLineChars="0"/>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w:t>
                  </w:r>
                </w:p>
              </w:tc>
              <w:tc>
                <w:tcPr>
                  <w:tcW w:w="750" w:type="pct"/>
                  <w:vMerge w:val="continue"/>
                  <w:vAlign w:val="center"/>
                </w:tcPr>
                <w:p w14:paraId="14367E7E">
                  <w:pPr>
                    <w:pStyle w:val="9"/>
                    <w:pageBreakBefore w:val="0"/>
                    <w:kinsoku/>
                    <w:overflowPunct/>
                    <w:topLinePunct w:val="0"/>
                    <w:bidi w:val="0"/>
                    <w:spacing w:line="240" w:lineRule="auto"/>
                    <w:ind w:left="0" w:leftChars="0" w:right="0" w:firstLine="0" w:firstLineChars="0"/>
                    <w:jc w:val="center"/>
                    <w:rPr>
                      <w:bCs/>
                      <w:color w:val="000000" w:themeColor="text1"/>
                      <w:sz w:val="21"/>
                      <w:szCs w:val="21"/>
                      <w14:textFill>
                        <w14:solidFill>
                          <w14:schemeClr w14:val="tx1"/>
                        </w14:solidFill>
                      </w14:textFill>
                    </w:rPr>
                  </w:pPr>
                </w:p>
              </w:tc>
              <w:tc>
                <w:tcPr>
                  <w:tcW w:w="454" w:type="pct"/>
                  <w:vAlign w:val="center"/>
                </w:tcPr>
                <w:p w14:paraId="24BA4F25">
                  <w:pPr>
                    <w:pageBreakBefore w:val="0"/>
                    <w:kinsoku/>
                    <w:overflowPunct/>
                    <w:topLinePunct w:val="0"/>
                    <w:bidi w:val="0"/>
                    <w:ind w:left="0" w:leftChars="0" w:right="0"/>
                    <w:jc w:val="center"/>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西北</w:t>
                  </w:r>
                </w:p>
              </w:tc>
              <w:tc>
                <w:tcPr>
                  <w:tcW w:w="572" w:type="pct"/>
                  <w:vAlign w:val="center"/>
                </w:tcPr>
                <w:p w14:paraId="249EE7C0">
                  <w:pPr>
                    <w:pStyle w:val="9"/>
                    <w:pageBreakBefore w:val="0"/>
                    <w:kinsoku/>
                    <w:overflowPunct/>
                    <w:topLinePunct w:val="0"/>
                    <w:bidi w:val="0"/>
                    <w:spacing w:line="240" w:lineRule="auto"/>
                    <w:ind w:left="0" w:leftChars="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150</w:t>
                  </w:r>
                </w:p>
              </w:tc>
            </w:tr>
            <w:tr w14:paraId="0E2B5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6" w:type="pct"/>
                  <w:vMerge w:val="continue"/>
                  <w:vAlign w:val="center"/>
                </w:tcPr>
                <w:p w14:paraId="2066B105">
                  <w:pPr>
                    <w:pStyle w:val="9"/>
                    <w:pageBreakBefore w:val="0"/>
                    <w:kinsoku/>
                    <w:overflowPunct/>
                    <w:topLinePunct w:val="0"/>
                    <w:bidi w:val="0"/>
                    <w:spacing w:line="240" w:lineRule="auto"/>
                    <w:ind w:left="0" w:leftChars="0" w:right="0" w:firstLine="0" w:firstLineChars="0"/>
                    <w:jc w:val="center"/>
                    <w:rPr>
                      <w:color w:val="000000" w:themeColor="text1"/>
                      <w:sz w:val="21"/>
                      <w:szCs w:val="21"/>
                      <w14:textFill>
                        <w14:solidFill>
                          <w14:schemeClr w14:val="tx1"/>
                        </w14:solidFill>
                      </w14:textFill>
                    </w:rPr>
                  </w:pPr>
                </w:p>
              </w:tc>
              <w:tc>
                <w:tcPr>
                  <w:tcW w:w="806" w:type="pct"/>
                  <w:vAlign w:val="center"/>
                </w:tcPr>
                <w:p w14:paraId="27D46255">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峨山</w:t>
                  </w:r>
                  <w:r>
                    <w:rPr>
                      <w:rFonts w:hint="eastAsia"/>
                      <w:color w:val="000000" w:themeColor="text1"/>
                      <w:szCs w:val="21"/>
                      <w:lang w:eastAsia="zh-CN"/>
                      <w14:textFill>
                        <w14:solidFill>
                          <w14:schemeClr w14:val="tx1"/>
                        </w14:solidFill>
                      </w14:textFill>
                    </w:rPr>
                    <w:t>第二</w:t>
                  </w:r>
                  <w:r>
                    <w:rPr>
                      <w:rFonts w:hint="eastAsia"/>
                      <w:color w:val="000000" w:themeColor="text1"/>
                      <w:szCs w:val="21"/>
                      <w14:textFill>
                        <w14:solidFill>
                          <w14:schemeClr w14:val="tx1"/>
                        </w14:solidFill>
                      </w14:textFill>
                    </w:rPr>
                    <w:t>自来水</w:t>
                  </w:r>
                  <w:r>
                    <w:rPr>
                      <w:rFonts w:hint="eastAsia"/>
                      <w:color w:val="000000" w:themeColor="text1"/>
                      <w:szCs w:val="21"/>
                      <w:lang w:eastAsia="zh-CN"/>
                      <w14:textFill>
                        <w14:solidFill>
                          <w14:schemeClr w14:val="tx1"/>
                        </w14:solidFill>
                      </w14:textFill>
                    </w:rPr>
                    <w:t>厂</w:t>
                  </w:r>
                </w:p>
              </w:tc>
              <w:tc>
                <w:tcPr>
                  <w:tcW w:w="1204" w:type="pct"/>
                  <w:vAlign w:val="center"/>
                </w:tcPr>
                <w:p w14:paraId="3FA97FBC">
                  <w:pPr>
                    <w:pStyle w:val="9"/>
                    <w:pageBreakBefore w:val="0"/>
                    <w:kinsoku/>
                    <w:overflowPunct/>
                    <w:topLinePunct w:val="0"/>
                    <w:bidi w:val="0"/>
                    <w:spacing w:line="240" w:lineRule="auto"/>
                    <w:ind w:left="0" w:leftChars="0" w:right="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E：</w:t>
                  </w:r>
                  <w:r>
                    <w:rPr>
                      <w:rFonts w:hint="eastAsia"/>
                      <w:color w:val="000000" w:themeColor="text1"/>
                      <w:sz w:val="21"/>
                      <w:szCs w:val="21"/>
                      <w:lang w:val="en-US" w:eastAsia="zh-CN"/>
                      <w14:textFill>
                        <w14:solidFill>
                          <w14:schemeClr w14:val="tx1"/>
                        </w14:solidFill>
                      </w14:textFill>
                    </w:rPr>
                    <w:t>102</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26</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15.918</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w:t>
                  </w:r>
                </w:p>
                <w:p w14:paraId="0C49C076">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N：</w:t>
                  </w:r>
                  <w:r>
                    <w:rPr>
                      <w:rFonts w:hint="eastAsia"/>
                      <w:color w:val="000000" w:themeColor="text1"/>
                      <w:sz w:val="21"/>
                      <w:szCs w:val="21"/>
                      <w:lang w:val="en-US" w:eastAsia="zh-CN"/>
                      <w14:textFill>
                        <w14:solidFill>
                          <w14:schemeClr w14:val="tx1"/>
                        </w14:solidFill>
                      </w14:textFill>
                    </w:rPr>
                    <w:t>24</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56.195</w:t>
                  </w:r>
                  <w:r>
                    <w:rPr>
                      <w:color w:val="000000" w:themeColor="text1"/>
                      <w:sz w:val="21"/>
                      <w:szCs w:val="21"/>
                      <w14:textFill>
                        <w14:solidFill>
                          <w14:schemeClr w14:val="tx1"/>
                        </w14:solidFill>
                      </w14:textFill>
                    </w:rPr>
                    <w:t>″</w:t>
                  </w:r>
                </w:p>
              </w:tc>
              <w:tc>
                <w:tcPr>
                  <w:tcW w:w="435" w:type="pct"/>
                  <w:vAlign w:val="center"/>
                </w:tcPr>
                <w:p w14:paraId="32EF08C1">
                  <w:pPr>
                    <w:pStyle w:val="9"/>
                    <w:pageBreakBefore w:val="0"/>
                    <w:kinsoku/>
                    <w:overflowPunct/>
                    <w:topLinePunct w:val="0"/>
                    <w:bidi w:val="0"/>
                    <w:spacing w:line="240" w:lineRule="auto"/>
                    <w:ind w:left="0" w:leftChars="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389" w:type="pct"/>
                  <w:vAlign w:val="center"/>
                </w:tcPr>
                <w:p w14:paraId="23305156">
                  <w:pPr>
                    <w:pStyle w:val="9"/>
                    <w:pageBreakBefore w:val="0"/>
                    <w:kinsoku/>
                    <w:overflowPunct/>
                    <w:topLinePunct w:val="0"/>
                    <w:bidi w:val="0"/>
                    <w:spacing w:line="240" w:lineRule="auto"/>
                    <w:ind w:left="0" w:leftChars="0" w:right="0" w:firstLine="0" w:firstLineChars="0"/>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w:t>
                  </w:r>
                </w:p>
              </w:tc>
              <w:tc>
                <w:tcPr>
                  <w:tcW w:w="750" w:type="pct"/>
                  <w:vMerge w:val="continue"/>
                  <w:vAlign w:val="center"/>
                </w:tcPr>
                <w:p w14:paraId="1E53AFDD">
                  <w:pPr>
                    <w:pStyle w:val="9"/>
                    <w:pageBreakBefore w:val="0"/>
                    <w:kinsoku/>
                    <w:overflowPunct/>
                    <w:topLinePunct w:val="0"/>
                    <w:bidi w:val="0"/>
                    <w:spacing w:line="240" w:lineRule="auto"/>
                    <w:ind w:left="0" w:leftChars="0" w:right="0" w:firstLine="0" w:firstLineChars="0"/>
                    <w:jc w:val="center"/>
                    <w:rPr>
                      <w:bCs/>
                      <w:color w:val="000000" w:themeColor="text1"/>
                      <w:sz w:val="21"/>
                      <w:szCs w:val="21"/>
                      <w14:textFill>
                        <w14:solidFill>
                          <w14:schemeClr w14:val="tx1"/>
                        </w14:solidFill>
                      </w14:textFill>
                    </w:rPr>
                  </w:pPr>
                </w:p>
              </w:tc>
              <w:tc>
                <w:tcPr>
                  <w:tcW w:w="454" w:type="pct"/>
                  <w:vAlign w:val="center"/>
                </w:tcPr>
                <w:p w14:paraId="695F900F">
                  <w:pPr>
                    <w:pageBreakBefore w:val="0"/>
                    <w:kinsoku/>
                    <w:overflowPunct/>
                    <w:topLinePunct w:val="0"/>
                    <w:bidi w:val="0"/>
                    <w:ind w:left="0" w:leftChars="0" w:right="0"/>
                    <w:jc w:val="center"/>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西南</w:t>
                  </w:r>
                </w:p>
              </w:tc>
              <w:tc>
                <w:tcPr>
                  <w:tcW w:w="572" w:type="pct"/>
                  <w:vAlign w:val="center"/>
                </w:tcPr>
                <w:p w14:paraId="1B2B3864">
                  <w:pPr>
                    <w:pStyle w:val="9"/>
                    <w:pageBreakBefore w:val="0"/>
                    <w:kinsoku/>
                    <w:overflowPunct/>
                    <w:topLinePunct w:val="0"/>
                    <w:bidi w:val="0"/>
                    <w:spacing w:line="240" w:lineRule="auto"/>
                    <w:ind w:left="0" w:leftChars="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190</w:t>
                  </w:r>
                </w:p>
              </w:tc>
            </w:tr>
          </w:tbl>
          <w:p w14:paraId="52A1F1E1">
            <w:pPr>
              <w:pageBreakBefore w:val="0"/>
              <w:kinsoku/>
              <w:overflowPunct/>
              <w:topLinePunct w:val="0"/>
              <w:bidi w:val="0"/>
              <w:spacing w:line="360" w:lineRule="auto"/>
              <w:ind w:left="0" w:leftChars="0" w:right="0"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2、声环境保护目标</w:t>
            </w:r>
          </w:p>
          <w:p w14:paraId="6AB5DE8A">
            <w:pPr>
              <w:pStyle w:val="94"/>
              <w:pageBreakBefore w:val="0"/>
              <w:kinsoku/>
              <w:overflowPunct/>
              <w:topLinePunct w:val="0"/>
              <w:bidi w:val="0"/>
              <w:spacing w:line="360" w:lineRule="auto"/>
              <w:ind w:left="0" w:leftChars="0" w:right="0" w:firstLine="480" w:firstLineChars="200"/>
              <w:rPr>
                <w:rFonts w:hint="default" w:eastAsia="宋体"/>
                <w:color w:val="000000" w:themeColor="text1"/>
                <w:sz w:val="24"/>
                <w:lang w:val="en-US" w:eastAsia="zh-CN"/>
                <w14:textFill>
                  <w14:solidFill>
                    <w14:schemeClr w14:val="tx1"/>
                  </w14:solidFill>
                </w14:textFill>
              </w:rPr>
            </w:pPr>
            <w:r>
              <w:rPr>
                <w:color w:val="000000" w:themeColor="text1"/>
                <w:sz w:val="24"/>
                <w:lang w:val="zh-CN"/>
                <w14:textFill>
                  <w14:solidFill>
                    <w14:schemeClr w14:val="tx1"/>
                  </w14:solidFill>
                </w14:textFill>
              </w:rPr>
              <w:t>项目厂界外50m范围内</w:t>
            </w:r>
            <w:r>
              <w:rPr>
                <w:rFonts w:hint="eastAsia"/>
                <w:color w:val="000000" w:themeColor="text1"/>
                <w:sz w:val="24"/>
                <w:lang w:val="zh-CN"/>
                <w14:textFill>
                  <w14:solidFill>
                    <w14:schemeClr w14:val="tx1"/>
                  </w14:solidFill>
                </w14:textFill>
              </w:rPr>
              <w:t>声环境保护目标为东北侧石花村住户</w:t>
            </w:r>
            <w:r>
              <w:rPr>
                <w:rFonts w:hint="eastAsia"/>
                <w:color w:val="000000" w:themeColor="text1"/>
                <w:sz w:val="24"/>
                <w:lang w:val="en-US" w:eastAsia="zh-CN"/>
                <w14:textFill>
                  <w14:solidFill>
                    <w14:schemeClr w14:val="tx1"/>
                  </w14:solidFill>
                </w14:textFill>
              </w:rPr>
              <w:t>N1。</w:t>
            </w:r>
          </w:p>
          <w:p w14:paraId="71123BDC">
            <w:pPr>
              <w:pStyle w:val="94"/>
              <w:pageBreakBefore w:val="0"/>
              <w:kinsoku/>
              <w:overflowPunct/>
              <w:topLinePunct w:val="0"/>
              <w:bidi w:val="0"/>
              <w:spacing w:line="360" w:lineRule="auto"/>
              <w:ind w:left="0" w:leftChars="0" w:right="0" w:firstLine="480" w:firstLineChars="200"/>
              <w:rPr>
                <w:b/>
                <w:color w:val="000000" w:themeColor="text1"/>
                <w:sz w:val="24"/>
                <w14:textFill>
                  <w14:solidFill>
                    <w14:schemeClr w14:val="tx1"/>
                  </w14:solidFill>
                </w14:textFill>
              </w:rPr>
            </w:pPr>
            <w:r>
              <w:rPr>
                <w:color w:val="000000" w:themeColor="text1"/>
                <w:sz w:val="24"/>
                <w:lang w:val="zh-CN"/>
                <w14:textFill>
                  <w14:solidFill>
                    <w14:schemeClr w14:val="tx1"/>
                  </w14:solidFill>
                </w14:textFill>
              </w:rPr>
              <w:t>主要</w:t>
            </w:r>
            <w:r>
              <w:rPr>
                <w:color w:val="000000" w:themeColor="text1"/>
                <w:sz w:val="24"/>
                <w14:textFill>
                  <w14:solidFill>
                    <w14:schemeClr w14:val="tx1"/>
                  </w14:solidFill>
                </w14:textFill>
              </w:rPr>
              <w:t>声环境保护</w:t>
            </w:r>
            <w:r>
              <w:rPr>
                <w:color w:val="000000" w:themeColor="text1"/>
                <w:sz w:val="24"/>
                <w:lang w:val="zh-CN"/>
                <w14:textFill>
                  <w14:solidFill>
                    <w14:schemeClr w14:val="tx1"/>
                  </w14:solidFill>
                </w14:textFill>
              </w:rPr>
              <w:t>目标见下表。</w:t>
            </w:r>
          </w:p>
          <w:p w14:paraId="56EDDF57">
            <w:pPr>
              <w:pStyle w:val="31"/>
              <w:pageBreakBefore w:val="0"/>
              <w:kinsoku/>
              <w:overflowPunct/>
              <w:topLinePunct w:val="0"/>
              <w:bidi w:val="0"/>
              <w:snapToGrid/>
              <w:spacing w:after="0" w:line="240" w:lineRule="auto"/>
              <w:ind w:left="0" w:leftChars="0" w:right="0" w:firstLine="0" w:firstLineChars="0"/>
              <w:jc w:val="center"/>
              <w:rPr>
                <w:b/>
                <w:bCs/>
                <w:color w:val="000000" w:themeColor="text1"/>
                <w:sz w:val="21"/>
                <w:szCs w:val="18"/>
                <w14:textFill>
                  <w14:solidFill>
                    <w14:schemeClr w14:val="tx1"/>
                  </w14:solidFill>
                </w14:textFill>
              </w:rPr>
            </w:pPr>
            <w:r>
              <w:rPr>
                <w:b/>
                <w:bCs/>
                <w:color w:val="000000" w:themeColor="text1"/>
                <w:sz w:val="21"/>
                <w:szCs w:val="18"/>
                <w14:textFill>
                  <w14:solidFill>
                    <w14:schemeClr w14:val="tx1"/>
                  </w14:solidFill>
                </w14:textFill>
              </w:rPr>
              <w:t>表3-</w:t>
            </w:r>
            <w:r>
              <w:rPr>
                <w:rFonts w:hint="eastAsia"/>
                <w:b/>
                <w:bCs/>
                <w:color w:val="000000" w:themeColor="text1"/>
                <w:sz w:val="21"/>
                <w:szCs w:val="18"/>
                <w:lang w:val="en-US" w:eastAsia="zh-CN"/>
                <w14:textFill>
                  <w14:solidFill>
                    <w14:schemeClr w14:val="tx1"/>
                  </w14:solidFill>
                </w14:textFill>
              </w:rPr>
              <w:t>6</w:t>
            </w:r>
            <w:r>
              <w:rPr>
                <w:b/>
                <w:bCs/>
                <w:color w:val="000000" w:themeColor="text1"/>
                <w:sz w:val="21"/>
                <w:szCs w:val="18"/>
                <w14:textFill>
                  <w14:solidFill>
                    <w14:schemeClr w14:val="tx1"/>
                  </w14:solidFill>
                </w14:textFill>
              </w:rPr>
              <w:t xml:space="preserve">  </w:t>
            </w:r>
            <w:r>
              <w:rPr>
                <w:rFonts w:hint="eastAsia"/>
                <w:b/>
                <w:bCs/>
                <w:color w:val="000000" w:themeColor="text1"/>
                <w:sz w:val="21"/>
                <w:szCs w:val="18"/>
                <w:lang w:eastAsia="zh-CN"/>
                <w14:textFill>
                  <w14:solidFill>
                    <w14:schemeClr w14:val="tx1"/>
                  </w14:solidFill>
                </w14:textFill>
              </w:rPr>
              <w:t>声</w:t>
            </w:r>
            <w:r>
              <w:rPr>
                <w:b/>
                <w:bCs/>
                <w:color w:val="000000" w:themeColor="text1"/>
                <w:sz w:val="21"/>
                <w:szCs w:val="18"/>
                <w14:textFill>
                  <w14:solidFill>
                    <w14:schemeClr w14:val="tx1"/>
                  </w14:solidFill>
                </w14:textFill>
              </w:rPr>
              <w:t>环境保护目标一览表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747"/>
              <w:gridCol w:w="1536"/>
              <w:gridCol w:w="985"/>
              <w:gridCol w:w="938"/>
              <w:gridCol w:w="674"/>
              <w:gridCol w:w="1463"/>
              <w:gridCol w:w="1463"/>
            </w:tblGrid>
            <w:tr w14:paraId="07DA3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1" w:type="pct"/>
                  <w:vMerge w:val="restart"/>
                  <w:vAlign w:val="center"/>
                </w:tcPr>
                <w:p w14:paraId="47846F48">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环境要素</w:t>
                  </w:r>
                </w:p>
              </w:tc>
              <w:tc>
                <w:tcPr>
                  <w:tcW w:w="484" w:type="pct"/>
                  <w:vMerge w:val="restart"/>
                  <w:vAlign w:val="center"/>
                </w:tcPr>
                <w:p w14:paraId="0FBD0D32">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名称</w:t>
                  </w:r>
                </w:p>
              </w:tc>
              <w:tc>
                <w:tcPr>
                  <w:tcW w:w="1231" w:type="pct"/>
                  <w:gridSpan w:val="2"/>
                  <w:vAlign w:val="center"/>
                </w:tcPr>
                <w:p w14:paraId="06A44AF6">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坐标</w:t>
                  </w:r>
                </w:p>
              </w:tc>
              <w:tc>
                <w:tcPr>
                  <w:tcW w:w="597" w:type="pct"/>
                  <w:vMerge w:val="restart"/>
                  <w:vAlign w:val="center"/>
                </w:tcPr>
                <w:p w14:paraId="74CF559A">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距厂界最近</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距离</w:t>
                  </w:r>
                </w:p>
              </w:tc>
              <w:tc>
                <w:tcPr>
                  <w:tcW w:w="441" w:type="pct"/>
                  <w:vMerge w:val="restart"/>
                  <w:vAlign w:val="center"/>
                </w:tcPr>
                <w:p w14:paraId="6158593D">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方位</w:t>
                  </w:r>
                </w:p>
              </w:tc>
              <w:tc>
                <w:tcPr>
                  <w:tcW w:w="907" w:type="pct"/>
                  <w:vMerge w:val="restart"/>
                  <w:vAlign w:val="center"/>
                </w:tcPr>
                <w:p w14:paraId="399AA917">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环境功能区</w:t>
                  </w:r>
                </w:p>
              </w:tc>
              <w:tc>
                <w:tcPr>
                  <w:tcW w:w="907" w:type="pct"/>
                  <w:vMerge w:val="restart"/>
                  <w:vAlign w:val="center"/>
                </w:tcPr>
                <w:p w14:paraId="58D69AED">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声环境保护目标情况说明</w:t>
                  </w:r>
                </w:p>
              </w:tc>
            </w:tr>
            <w:tr w14:paraId="44158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1" w:type="pct"/>
                  <w:vMerge w:val="continue"/>
                  <w:vAlign w:val="center"/>
                </w:tcPr>
                <w:p w14:paraId="064C35A1">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484" w:type="pct"/>
                  <w:vMerge w:val="continue"/>
                  <w:vAlign w:val="center"/>
                </w:tcPr>
                <w:p w14:paraId="13D8413C">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606" w:type="pct"/>
                  <w:vAlign w:val="center"/>
                </w:tcPr>
                <w:p w14:paraId="2F498978">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东经</w:t>
                  </w:r>
                </w:p>
              </w:tc>
              <w:tc>
                <w:tcPr>
                  <w:tcW w:w="625" w:type="pct"/>
                  <w:vAlign w:val="center"/>
                </w:tcPr>
                <w:p w14:paraId="1B497552">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北纬</w:t>
                  </w:r>
                </w:p>
              </w:tc>
              <w:tc>
                <w:tcPr>
                  <w:tcW w:w="597" w:type="pct"/>
                  <w:vMerge w:val="continue"/>
                  <w:vAlign w:val="center"/>
                </w:tcPr>
                <w:p w14:paraId="4DBEA36A">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441" w:type="pct"/>
                  <w:vMerge w:val="continue"/>
                  <w:vAlign w:val="center"/>
                </w:tcPr>
                <w:p w14:paraId="0ED8026D">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907" w:type="pct"/>
                  <w:vMerge w:val="continue"/>
                  <w:vAlign w:val="center"/>
                </w:tcPr>
                <w:p w14:paraId="7B329944">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907" w:type="pct"/>
                  <w:vMerge w:val="continue"/>
                  <w:vAlign w:val="center"/>
                </w:tcPr>
                <w:p w14:paraId="3E3D23F4">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r>
            <w:tr w14:paraId="041D9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1" w:type="pct"/>
                  <w:vAlign w:val="center"/>
                </w:tcPr>
                <w:p w14:paraId="1A7A55B4">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声</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环境</w:t>
                  </w:r>
                </w:p>
              </w:tc>
              <w:tc>
                <w:tcPr>
                  <w:tcW w:w="484" w:type="pct"/>
                  <w:vAlign w:val="center"/>
                </w:tcPr>
                <w:p w14:paraId="26D51F2C">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olor w:val="000000" w:themeColor="text1"/>
                      <w:szCs w:val="21"/>
                      <w14:textFill>
                        <w14:solidFill>
                          <w14:schemeClr w14:val="tx1"/>
                        </w14:solidFill>
                      </w14:textFill>
                    </w:rPr>
                    <w:t>石花村</w:t>
                  </w:r>
                </w:p>
              </w:tc>
              <w:tc>
                <w:tcPr>
                  <w:tcW w:w="606" w:type="pct"/>
                  <w:vAlign w:val="center"/>
                </w:tcPr>
                <w:p w14:paraId="62F53C89">
                  <w:pPr>
                    <w:pStyle w:val="9"/>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102</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26</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23.947</w:t>
                  </w:r>
                  <w:r>
                    <w:rPr>
                      <w:color w:val="000000" w:themeColor="text1"/>
                      <w:sz w:val="21"/>
                      <w:szCs w:val="21"/>
                      <w14:textFill>
                        <w14:solidFill>
                          <w14:schemeClr w14:val="tx1"/>
                        </w14:solidFill>
                      </w14:textFill>
                    </w:rPr>
                    <w:t>″</w:t>
                  </w:r>
                </w:p>
              </w:tc>
              <w:tc>
                <w:tcPr>
                  <w:tcW w:w="625" w:type="pct"/>
                  <w:vAlign w:val="center"/>
                </w:tcPr>
                <w:p w14:paraId="03AD4ACD">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24</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11</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10.717</w:t>
                  </w:r>
                  <w:r>
                    <w:rPr>
                      <w:color w:val="000000" w:themeColor="text1"/>
                      <w:sz w:val="21"/>
                      <w:szCs w:val="21"/>
                      <w14:textFill>
                        <w14:solidFill>
                          <w14:schemeClr w14:val="tx1"/>
                        </w14:solidFill>
                      </w14:textFill>
                    </w:rPr>
                    <w:t>″</w:t>
                  </w:r>
                </w:p>
              </w:tc>
              <w:tc>
                <w:tcPr>
                  <w:tcW w:w="597" w:type="pct"/>
                  <w:vAlign w:val="center"/>
                </w:tcPr>
                <w:p w14:paraId="40E0E552">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r>
                    <w:rPr>
                      <w:rFonts w:hint="eastAsia"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p>
              </w:tc>
              <w:tc>
                <w:tcPr>
                  <w:tcW w:w="441" w:type="pct"/>
                  <w:vAlign w:val="center"/>
                </w:tcPr>
                <w:p w14:paraId="4BB81C2D">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Cs w:val="21"/>
                      <w:lang w:eastAsia="zh-CN"/>
                      <w14:textFill>
                        <w14:solidFill>
                          <w14:schemeClr w14:val="tx1"/>
                        </w14:solidFill>
                      </w14:textFill>
                    </w:rPr>
                    <w:t>东北</w:t>
                  </w:r>
                </w:p>
              </w:tc>
              <w:tc>
                <w:tcPr>
                  <w:tcW w:w="907" w:type="pct"/>
                  <w:vAlign w:val="center"/>
                </w:tcPr>
                <w:p w14:paraId="241AD057">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《声环境质量标准》GB3096-2008中</w:t>
                  </w:r>
                  <w:r>
                    <w:rPr>
                      <w:rFonts w:hint="eastAsia" w:cs="Times New Roman"/>
                      <w:color w:val="000000" w:themeColor="text1"/>
                      <w:sz w:val="21"/>
                      <w:szCs w:val="21"/>
                      <w:highlight w:val="none"/>
                      <w:lang w:val="en-US" w:eastAsia="zh-CN"/>
                      <w14:textFill>
                        <w14:solidFill>
                          <w14:schemeClr w14:val="tx1"/>
                        </w14:solidFill>
                      </w14:textFill>
                    </w:rPr>
                    <w:t>4a</w:t>
                  </w:r>
                  <w:r>
                    <w:rPr>
                      <w:rFonts w:hint="default" w:ascii="Times New Roman" w:hAnsi="Times New Roman" w:cs="Times New Roman"/>
                      <w:color w:val="000000" w:themeColor="text1"/>
                      <w:sz w:val="21"/>
                      <w:szCs w:val="21"/>
                      <w:highlight w:val="none"/>
                      <w14:textFill>
                        <w14:solidFill>
                          <w14:schemeClr w14:val="tx1"/>
                        </w14:solidFill>
                      </w14:textFill>
                    </w:rPr>
                    <w:t>类标准</w:t>
                  </w:r>
                </w:p>
              </w:tc>
              <w:tc>
                <w:tcPr>
                  <w:tcW w:w="907" w:type="pct"/>
                  <w:vAlign w:val="center"/>
                </w:tcPr>
                <w:p w14:paraId="42311773">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eastAsia"/>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声环境保护目标主要为</w:t>
                  </w:r>
                  <w:r>
                    <w:rPr>
                      <w:rFonts w:hint="eastAsia"/>
                      <w:color w:val="000000" w:themeColor="text1"/>
                      <w:szCs w:val="21"/>
                      <w14:textFill>
                        <w14:solidFill>
                          <w14:schemeClr w14:val="tx1"/>
                        </w14:solidFill>
                      </w14:textFill>
                    </w:rPr>
                    <w:t>石花村</w:t>
                  </w:r>
                </w:p>
                <w:p w14:paraId="6BF7C590">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Cs w:val="21"/>
                      <w:lang w:eastAsia="zh-CN"/>
                      <w14:textFill>
                        <w14:solidFill>
                          <w14:schemeClr w14:val="tx1"/>
                        </w14:solidFill>
                      </w14:textFill>
                    </w:rPr>
                    <w:t>住户</w:t>
                  </w:r>
                  <w:r>
                    <w:rPr>
                      <w:rFonts w:hint="eastAsia"/>
                      <w:color w:val="000000" w:themeColor="text1"/>
                      <w:szCs w:val="21"/>
                      <w:lang w:val="en-US" w:eastAsia="zh-CN"/>
                      <w14:textFill>
                        <w14:solidFill>
                          <w14:schemeClr w14:val="tx1"/>
                        </w14:solidFill>
                      </w14:textFill>
                    </w:rPr>
                    <w:t>N1</w:t>
                  </w:r>
                </w:p>
              </w:tc>
            </w:tr>
          </w:tbl>
          <w:p w14:paraId="7549FD57">
            <w:pPr>
              <w:pageBreakBefore w:val="0"/>
              <w:kinsoku/>
              <w:overflowPunct/>
              <w:topLinePunct w:val="0"/>
              <w:bidi w:val="0"/>
              <w:spacing w:line="360" w:lineRule="auto"/>
              <w:ind w:left="0" w:leftChars="0" w:right="0" w:firstLine="482" w:firstLineChars="200"/>
              <w:rPr>
                <w:rFonts w:hint="eastAsia" w:eastAsia="宋体"/>
                <w:color w:val="000000" w:themeColor="text1"/>
                <w:kern w:val="0"/>
                <w:sz w:val="24"/>
                <w:lang w:eastAsia="zh-CN"/>
                <w14:textFill>
                  <w14:solidFill>
                    <w14:schemeClr w14:val="tx1"/>
                  </w14:solidFill>
                </w14:textFill>
              </w:rPr>
            </w:pPr>
            <w:r>
              <w:rPr>
                <w:b/>
                <w:color w:val="000000" w:themeColor="text1"/>
                <w:sz w:val="24"/>
                <w14:textFill>
                  <w14:solidFill>
                    <w14:schemeClr w14:val="tx1"/>
                  </w14:solidFill>
                </w14:textFill>
              </w:rPr>
              <w:t>3、</w:t>
            </w:r>
            <w:r>
              <w:rPr>
                <w:rFonts w:hint="eastAsia"/>
                <w:b/>
                <w:color w:val="000000" w:themeColor="text1"/>
                <w:sz w:val="24"/>
                <w:lang w:eastAsia="zh-CN"/>
                <w14:textFill>
                  <w14:solidFill>
                    <w14:schemeClr w14:val="tx1"/>
                  </w14:solidFill>
                </w14:textFill>
              </w:rPr>
              <w:t>地表</w:t>
            </w:r>
            <w:r>
              <w:rPr>
                <w:b/>
                <w:color w:val="000000" w:themeColor="text1"/>
                <w:sz w:val="24"/>
                <w14:textFill>
                  <w14:solidFill>
                    <w14:schemeClr w14:val="tx1"/>
                  </w14:solidFill>
                </w14:textFill>
              </w:rPr>
              <w:t>水环境保护目标</w:t>
            </w:r>
          </w:p>
          <w:p w14:paraId="3BF53F06">
            <w:pPr>
              <w:pStyle w:val="94"/>
              <w:pageBreakBefore w:val="0"/>
              <w:widowControl/>
              <w:kinsoku/>
              <w:overflowPunct/>
              <w:topLinePunct w:val="0"/>
              <w:bidi w:val="0"/>
              <w:spacing w:line="360" w:lineRule="auto"/>
              <w:ind w:left="0" w:leftChars="0" w:right="0" w:firstLine="480" w:firstLineChars="200"/>
              <w:rPr>
                <w:color w:val="000000" w:themeColor="text1"/>
                <w:kern w:val="0"/>
                <w:sz w:val="24"/>
                <w:lang w:val="zh-CN"/>
                <w14:textFill>
                  <w14:solidFill>
                    <w14:schemeClr w14:val="tx1"/>
                  </w14:solidFill>
                </w14:textFill>
              </w:rPr>
            </w:pPr>
            <w:r>
              <w:rPr>
                <w:rFonts w:hint="eastAsia"/>
                <w:color w:val="000000" w:themeColor="text1"/>
                <w:sz w:val="24"/>
                <w:lang w:val="zh-CN" w:eastAsia="zh-CN"/>
                <w14:textFill>
                  <w14:solidFill>
                    <w14:schemeClr w14:val="tx1"/>
                  </w14:solidFill>
                </w14:textFill>
              </w:rPr>
              <w:t>根据《环境影响评价技术导则</w:t>
            </w:r>
            <w:r>
              <w:rPr>
                <w:rFonts w:hint="eastAsia"/>
                <w:color w:val="000000" w:themeColor="text1"/>
                <w:sz w:val="24"/>
                <w:lang w:val="en-US" w:eastAsia="zh-CN"/>
                <w14:textFill>
                  <w14:solidFill>
                    <w14:schemeClr w14:val="tx1"/>
                  </w14:solidFill>
                </w14:textFill>
              </w:rPr>
              <w:t xml:space="preserve"> </w:t>
            </w:r>
            <w:r>
              <w:rPr>
                <w:rFonts w:hint="eastAsia"/>
                <w:color w:val="000000" w:themeColor="text1"/>
                <w:sz w:val="24"/>
                <w:lang w:val="zh-CN" w:eastAsia="zh-CN"/>
                <w14:textFill>
                  <w14:solidFill>
                    <w14:schemeClr w14:val="tx1"/>
                  </w14:solidFill>
                </w14:textFill>
              </w:rPr>
              <w:t>地表水环境》（H</w:t>
            </w:r>
            <w:r>
              <w:rPr>
                <w:rFonts w:hint="eastAsia"/>
                <w:color w:val="000000" w:themeColor="text1"/>
                <w:sz w:val="24"/>
                <w:lang w:val="en-US" w:eastAsia="zh-CN"/>
                <w14:textFill>
                  <w14:solidFill>
                    <w14:schemeClr w14:val="tx1"/>
                  </w14:solidFill>
                </w14:textFill>
              </w:rPr>
              <w:t>J</w:t>
            </w:r>
            <w:r>
              <w:rPr>
                <w:rFonts w:hint="eastAsia"/>
                <w:color w:val="000000" w:themeColor="text1"/>
                <w:sz w:val="24"/>
                <w:lang w:val="zh-CN" w:eastAsia="zh-CN"/>
                <w14:textFill>
                  <w14:solidFill>
                    <w14:schemeClr w14:val="tx1"/>
                  </w14:solidFill>
                </w14:textFill>
              </w:rPr>
              <w:t>2.3-2018），本项目距离最近的地表水体</w:t>
            </w:r>
            <w:r>
              <w:rPr>
                <w:rFonts w:hint="eastAsia"/>
                <w:color w:val="000000" w:themeColor="text1"/>
                <w:sz w:val="24"/>
                <w:lang w:val="en-US" w:eastAsia="zh-CN"/>
                <w14:textFill>
                  <w14:solidFill>
                    <w14:schemeClr w14:val="tx1"/>
                  </w14:solidFill>
                </w14:textFill>
              </w:rPr>
              <w:t>为项目区东南侧约400m处的石邑小河，石邑小河最终进入峨山大河（即曲江）。</w:t>
            </w:r>
          </w:p>
          <w:p w14:paraId="06BA1CDA">
            <w:pPr>
              <w:pStyle w:val="31"/>
              <w:pageBreakBefore w:val="0"/>
              <w:kinsoku/>
              <w:overflowPunct/>
              <w:topLinePunct w:val="0"/>
              <w:bidi w:val="0"/>
              <w:snapToGrid/>
              <w:spacing w:after="0" w:line="240" w:lineRule="auto"/>
              <w:ind w:left="0" w:leftChars="0" w:right="0" w:firstLine="0" w:firstLineChars="0"/>
              <w:jc w:val="center"/>
              <w:rPr>
                <w:b/>
                <w:bCs/>
                <w:color w:val="000000" w:themeColor="text1"/>
                <w:sz w:val="21"/>
                <w:szCs w:val="18"/>
                <w14:textFill>
                  <w14:solidFill>
                    <w14:schemeClr w14:val="tx1"/>
                  </w14:solidFill>
                </w14:textFill>
              </w:rPr>
            </w:pPr>
            <w:r>
              <w:rPr>
                <w:b/>
                <w:bCs/>
                <w:color w:val="000000" w:themeColor="text1"/>
                <w:sz w:val="21"/>
                <w:szCs w:val="18"/>
                <w14:textFill>
                  <w14:solidFill>
                    <w14:schemeClr w14:val="tx1"/>
                  </w14:solidFill>
                </w14:textFill>
              </w:rPr>
              <w:t>表3</w:t>
            </w:r>
            <w:r>
              <w:rPr>
                <w:rFonts w:hint="eastAsia"/>
                <w:b/>
                <w:bCs/>
                <w:color w:val="000000" w:themeColor="text1"/>
                <w:sz w:val="21"/>
                <w:szCs w:val="18"/>
                <w14:textFill>
                  <w14:solidFill>
                    <w14:schemeClr w14:val="tx1"/>
                  </w14:solidFill>
                </w14:textFill>
              </w:rPr>
              <w:t>-</w:t>
            </w:r>
            <w:r>
              <w:rPr>
                <w:rFonts w:hint="eastAsia"/>
                <w:b/>
                <w:bCs/>
                <w:color w:val="000000" w:themeColor="text1"/>
                <w:sz w:val="21"/>
                <w:szCs w:val="18"/>
                <w:lang w:val="en-US" w:eastAsia="zh-CN"/>
                <w14:textFill>
                  <w14:solidFill>
                    <w14:schemeClr w14:val="tx1"/>
                  </w14:solidFill>
                </w14:textFill>
              </w:rPr>
              <w:t>7</w:t>
            </w:r>
            <w:r>
              <w:rPr>
                <w:rFonts w:hint="eastAsia"/>
                <w:b/>
                <w:bCs/>
                <w:color w:val="000000" w:themeColor="text1"/>
                <w:sz w:val="21"/>
                <w:szCs w:val="18"/>
                <w:lang w:eastAsia="zh-CN"/>
                <w14:textFill>
                  <w14:solidFill>
                    <w14:schemeClr w14:val="tx1"/>
                  </w14:solidFill>
                </w14:textFill>
              </w:rPr>
              <w:t>地表</w:t>
            </w:r>
            <w:r>
              <w:rPr>
                <w:b/>
                <w:bCs/>
                <w:color w:val="000000" w:themeColor="text1"/>
                <w:sz w:val="21"/>
                <w:szCs w:val="18"/>
                <w14:textFill>
                  <w14:solidFill>
                    <w14:schemeClr w14:val="tx1"/>
                  </w14:solidFill>
                </w14:textFill>
              </w:rPr>
              <w:t>水环境保护目标一览表</w:t>
            </w:r>
          </w:p>
          <w:tbl>
            <w:tblPr>
              <w:tblStyle w:val="3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852"/>
              <w:gridCol w:w="2081"/>
              <w:gridCol w:w="718"/>
              <w:gridCol w:w="1140"/>
              <w:gridCol w:w="813"/>
              <w:gridCol w:w="2193"/>
            </w:tblGrid>
            <w:tr w14:paraId="6693D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91" w:type="pct"/>
                  <w:vAlign w:val="center"/>
                </w:tcPr>
                <w:p w14:paraId="6CEEF69A">
                  <w:pPr>
                    <w:pStyle w:val="9"/>
                    <w:pageBreakBefore w:val="0"/>
                    <w:kinsoku/>
                    <w:overflowPunct/>
                    <w:topLinePunct w:val="0"/>
                    <w:bidi w:val="0"/>
                    <w:spacing w:line="240" w:lineRule="auto"/>
                    <w:ind w:left="0" w:leftChars="0" w:right="0"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环境</w:t>
                  </w:r>
                </w:p>
                <w:p w14:paraId="29E4FDAF">
                  <w:pPr>
                    <w:pStyle w:val="9"/>
                    <w:pageBreakBefore w:val="0"/>
                    <w:kinsoku/>
                    <w:overflowPunct/>
                    <w:topLinePunct w:val="0"/>
                    <w:bidi w:val="0"/>
                    <w:spacing w:line="240" w:lineRule="auto"/>
                    <w:ind w:left="0" w:leftChars="0" w:right="0"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要素</w:t>
                  </w:r>
                </w:p>
              </w:tc>
              <w:tc>
                <w:tcPr>
                  <w:tcW w:w="503" w:type="pct"/>
                  <w:vAlign w:val="center"/>
                </w:tcPr>
                <w:p w14:paraId="10C34896">
                  <w:pPr>
                    <w:pStyle w:val="9"/>
                    <w:pageBreakBefore w:val="0"/>
                    <w:kinsoku/>
                    <w:overflowPunct/>
                    <w:topLinePunct w:val="0"/>
                    <w:bidi w:val="0"/>
                    <w:spacing w:line="240" w:lineRule="auto"/>
                    <w:ind w:left="0" w:leftChars="0" w:right="0"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名称</w:t>
                  </w:r>
                </w:p>
              </w:tc>
              <w:tc>
                <w:tcPr>
                  <w:tcW w:w="1229" w:type="pct"/>
                  <w:vAlign w:val="center"/>
                </w:tcPr>
                <w:p w14:paraId="2844DBBA">
                  <w:pPr>
                    <w:pStyle w:val="9"/>
                    <w:pageBreakBefore w:val="0"/>
                    <w:kinsoku/>
                    <w:overflowPunct/>
                    <w:topLinePunct w:val="0"/>
                    <w:bidi w:val="0"/>
                    <w:spacing w:line="240" w:lineRule="auto"/>
                    <w:ind w:left="0" w:leftChars="0" w:right="0"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中心地理坐标</w:t>
                  </w:r>
                </w:p>
              </w:tc>
              <w:tc>
                <w:tcPr>
                  <w:tcW w:w="424" w:type="pct"/>
                  <w:vAlign w:val="center"/>
                </w:tcPr>
                <w:p w14:paraId="742595CF">
                  <w:pPr>
                    <w:pStyle w:val="9"/>
                    <w:pageBreakBefore w:val="0"/>
                    <w:kinsoku/>
                    <w:overflowPunct/>
                    <w:topLinePunct w:val="0"/>
                    <w:bidi w:val="0"/>
                    <w:spacing w:line="240" w:lineRule="auto"/>
                    <w:ind w:left="0" w:leftChars="0" w:right="0"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方位</w:t>
                  </w:r>
                </w:p>
              </w:tc>
              <w:tc>
                <w:tcPr>
                  <w:tcW w:w="673" w:type="pct"/>
                  <w:vAlign w:val="center"/>
                </w:tcPr>
                <w:p w14:paraId="6A275E7E">
                  <w:pPr>
                    <w:pStyle w:val="9"/>
                    <w:pageBreakBefore w:val="0"/>
                    <w:kinsoku/>
                    <w:overflowPunct/>
                    <w:topLinePunct w:val="0"/>
                    <w:bidi w:val="0"/>
                    <w:spacing w:line="240" w:lineRule="auto"/>
                    <w:ind w:left="0" w:leftChars="0" w:right="0"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距离（m）</w:t>
                  </w:r>
                </w:p>
              </w:tc>
              <w:tc>
                <w:tcPr>
                  <w:tcW w:w="480" w:type="pct"/>
                  <w:vAlign w:val="center"/>
                </w:tcPr>
                <w:p w14:paraId="36C15F49">
                  <w:pPr>
                    <w:pStyle w:val="9"/>
                    <w:pageBreakBefore w:val="0"/>
                    <w:kinsoku/>
                    <w:overflowPunct/>
                    <w:topLinePunct w:val="0"/>
                    <w:bidi w:val="0"/>
                    <w:spacing w:line="240" w:lineRule="auto"/>
                    <w:ind w:left="0" w:leftChars="0" w:right="0"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功能</w:t>
                  </w:r>
                </w:p>
              </w:tc>
              <w:tc>
                <w:tcPr>
                  <w:tcW w:w="1295" w:type="pct"/>
                  <w:vAlign w:val="center"/>
                </w:tcPr>
                <w:p w14:paraId="54E803BA">
                  <w:pPr>
                    <w:pStyle w:val="9"/>
                    <w:pageBreakBefore w:val="0"/>
                    <w:kinsoku/>
                    <w:overflowPunct/>
                    <w:topLinePunct w:val="0"/>
                    <w:bidi w:val="0"/>
                    <w:spacing w:line="240" w:lineRule="auto"/>
                    <w:ind w:left="0" w:leftChars="0" w:right="0"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功能要求</w:t>
                  </w:r>
                </w:p>
              </w:tc>
            </w:tr>
            <w:tr w14:paraId="4CEF6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391" w:type="pct"/>
                  <w:vMerge w:val="restart"/>
                  <w:vAlign w:val="center"/>
                </w:tcPr>
                <w:p w14:paraId="3FA8F498">
                  <w:pPr>
                    <w:pStyle w:val="9"/>
                    <w:pageBreakBefore w:val="0"/>
                    <w:kinsoku/>
                    <w:overflowPunct/>
                    <w:topLinePunct w:val="0"/>
                    <w:bidi w:val="0"/>
                    <w:spacing w:line="240" w:lineRule="auto"/>
                    <w:ind w:left="0" w:leftChars="0" w:righ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水环境</w:t>
                  </w:r>
                </w:p>
              </w:tc>
              <w:tc>
                <w:tcPr>
                  <w:tcW w:w="503" w:type="pct"/>
                  <w:vAlign w:val="center"/>
                </w:tcPr>
                <w:p w14:paraId="46A612D5">
                  <w:pPr>
                    <w:pageBreakBefore w:val="0"/>
                    <w:kinsoku/>
                    <w:overflowPunct/>
                    <w:topLinePunct w:val="0"/>
                    <w:bidi w:val="0"/>
                    <w:ind w:left="0" w:leftChars="0" w:right="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石邑小河</w:t>
                  </w:r>
                </w:p>
              </w:tc>
              <w:tc>
                <w:tcPr>
                  <w:tcW w:w="1229" w:type="pct"/>
                  <w:vAlign w:val="center"/>
                </w:tcPr>
                <w:p w14:paraId="256FA665">
                  <w:pPr>
                    <w:pStyle w:val="9"/>
                    <w:pageBreakBefore w:val="0"/>
                    <w:kinsoku/>
                    <w:overflowPunct/>
                    <w:topLinePunct w:val="0"/>
                    <w:bidi w:val="0"/>
                    <w:spacing w:line="240" w:lineRule="auto"/>
                    <w:ind w:left="0" w:leftChars="0" w:right="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E：</w:t>
                  </w:r>
                  <w:r>
                    <w:rPr>
                      <w:rFonts w:hint="eastAsia"/>
                      <w:color w:val="000000" w:themeColor="text1"/>
                      <w:sz w:val="21"/>
                      <w:szCs w:val="21"/>
                      <w:lang w:val="en-US" w:eastAsia="zh-CN"/>
                      <w14:textFill>
                        <w14:solidFill>
                          <w14:schemeClr w14:val="tx1"/>
                        </w14:solidFill>
                      </w14:textFill>
                    </w:rPr>
                    <w:t>102</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26</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40.483</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w:t>
                  </w:r>
                </w:p>
                <w:p w14:paraId="10FCC12F">
                  <w:pPr>
                    <w:jc w:val="both"/>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N：</w:t>
                  </w:r>
                  <w:r>
                    <w:rPr>
                      <w:rFonts w:hint="eastAsia"/>
                      <w:color w:val="000000" w:themeColor="text1"/>
                      <w:sz w:val="21"/>
                      <w:szCs w:val="21"/>
                      <w:lang w:val="en-US" w:eastAsia="zh-CN"/>
                      <w14:textFill>
                        <w14:solidFill>
                          <w14:schemeClr w14:val="tx1"/>
                        </w14:solidFill>
                      </w14:textFill>
                    </w:rPr>
                    <w:t>24</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58.493</w:t>
                  </w:r>
                  <w:r>
                    <w:rPr>
                      <w:color w:val="000000" w:themeColor="text1"/>
                      <w:sz w:val="21"/>
                      <w:szCs w:val="21"/>
                      <w14:textFill>
                        <w14:solidFill>
                          <w14:schemeClr w14:val="tx1"/>
                        </w14:solidFill>
                      </w14:textFill>
                    </w:rPr>
                    <w:t>″</w:t>
                  </w:r>
                </w:p>
              </w:tc>
              <w:tc>
                <w:tcPr>
                  <w:tcW w:w="424" w:type="pct"/>
                  <w:vAlign w:val="center"/>
                </w:tcPr>
                <w:p w14:paraId="0D256944">
                  <w:pPr>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东南</w:t>
                  </w:r>
                </w:p>
              </w:tc>
              <w:tc>
                <w:tcPr>
                  <w:tcW w:w="673" w:type="pct"/>
                  <w:vAlign w:val="center"/>
                </w:tcPr>
                <w:p w14:paraId="76061277">
                  <w:pPr>
                    <w:pStyle w:val="9"/>
                    <w:pageBreakBefore w:val="0"/>
                    <w:kinsoku/>
                    <w:overflowPunct/>
                    <w:topLinePunct w:val="0"/>
                    <w:bidi w:val="0"/>
                    <w:spacing w:line="240" w:lineRule="auto"/>
                    <w:ind w:left="0" w:leftChars="0" w:right="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400</w:t>
                  </w:r>
                </w:p>
              </w:tc>
              <w:tc>
                <w:tcPr>
                  <w:tcW w:w="480" w:type="pct"/>
                  <w:vAlign w:val="center"/>
                </w:tcPr>
                <w:p w14:paraId="74EE74C5">
                  <w:pPr>
                    <w:pStyle w:val="9"/>
                    <w:pageBreakBefore w:val="0"/>
                    <w:kinsoku/>
                    <w:overflowPunct/>
                    <w:topLinePunct w:val="0"/>
                    <w:bidi w:val="0"/>
                    <w:spacing w:line="240" w:lineRule="auto"/>
                    <w:ind w:left="0" w:leftChars="0" w:right="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河流</w:t>
                  </w:r>
                </w:p>
              </w:tc>
              <w:tc>
                <w:tcPr>
                  <w:tcW w:w="1295" w:type="pct"/>
                  <w:vMerge w:val="restart"/>
                  <w:vAlign w:val="center"/>
                </w:tcPr>
                <w:p w14:paraId="682A0A47">
                  <w:pPr>
                    <w:pStyle w:val="9"/>
                    <w:pageBreakBefore w:val="0"/>
                    <w:kinsoku/>
                    <w:overflowPunct/>
                    <w:topLinePunct w:val="0"/>
                    <w:bidi w:val="0"/>
                    <w:spacing w:line="240" w:lineRule="auto"/>
                    <w:ind w:left="0" w:leftChars="0" w:righ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《地表水环境质量标准》（GB3838-2002）Ⅲ类标准</w:t>
                  </w:r>
                </w:p>
              </w:tc>
            </w:tr>
            <w:tr w14:paraId="4ACB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391" w:type="pct"/>
                  <w:vMerge w:val="continue"/>
                  <w:vAlign w:val="center"/>
                </w:tcPr>
                <w:p w14:paraId="2D7525C8">
                  <w:pPr>
                    <w:pStyle w:val="9"/>
                    <w:pageBreakBefore w:val="0"/>
                    <w:kinsoku/>
                    <w:overflowPunct/>
                    <w:topLinePunct w:val="0"/>
                    <w:bidi w:val="0"/>
                    <w:spacing w:line="240" w:lineRule="auto"/>
                    <w:ind w:left="0" w:leftChars="0" w:right="0" w:firstLine="0" w:firstLineChars="0"/>
                    <w:jc w:val="center"/>
                    <w:rPr>
                      <w:color w:val="000000" w:themeColor="text1"/>
                      <w:sz w:val="21"/>
                      <w:szCs w:val="21"/>
                      <w14:textFill>
                        <w14:solidFill>
                          <w14:schemeClr w14:val="tx1"/>
                        </w14:solidFill>
                      </w14:textFill>
                    </w:rPr>
                  </w:pPr>
                </w:p>
              </w:tc>
              <w:tc>
                <w:tcPr>
                  <w:tcW w:w="503" w:type="pct"/>
                  <w:vAlign w:val="center"/>
                </w:tcPr>
                <w:p w14:paraId="65D2637B">
                  <w:pPr>
                    <w:pageBreakBefore w:val="0"/>
                    <w:kinsoku/>
                    <w:overflowPunct/>
                    <w:topLinePunct w:val="0"/>
                    <w:bidi w:val="0"/>
                    <w:ind w:left="0" w:leftChars="0" w:right="0"/>
                    <w:jc w:val="center"/>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峨山大河</w:t>
                  </w:r>
                </w:p>
              </w:tc>
              <w:tc>
                <w:tcPr>
                  <w:tcW w:w="1229" w:type="pct"/>
                  <w:vAlign w:val="center"/>
                </w:tcPr>
                <w:p w14:paraId="04BA1222">
                  <w:pPr>
                    <w:pStyle w:val="9"/>
                    <w:pageBreakBefore w:val="0"/>
                    <w:kinsoku/>
                    <w:overflowPunct/>
                    <w:topLinePunct w:val="0"/>
                    <w:bidi w:val="0"/>
                    <w:spacing w:line="240" w:lineRule="auto"/>
                    <w:ind w:left="0" w:leftChars="0" w:right="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E：</w:t>
                  </w:r>
                  <w:r>
                    <w:rPr>
                      <w:rFonts w:hint="eastAsia"/>
                      <w:color w:val="000000" w:themeColor="text1"/>
                      <w:sz w:val="21"/>
                      <w:szCs w:val="21"/>
                      <w:lang w:val="en-US" w:eastAsia="zh-CN"/>
                      <w14:textFill>
                        <w14:solidFill>
                          <w14:schemeClr w14:val="tx1"/>
                        </w14:solidFill>
                      </w14:textFill>
                    </w:rPr>
                    <w:t>102</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28</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24.072</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w:t>
                  </w:r>
                </w:p>
                <w:p w14:paraId="1A7B2A49">
                  <w:pPr>
                    <w:pageBreakBefore w:val="0"/>
                    <w:kinsoku/>
                    <w:overflowPunct/>
                    <w:topLinePunct w:val="0"/>
                    <w:bidi w:val="0"/>
                    <w:ind w:left="0" w:leftChars="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N：</w:t>
                  </w:r>
                  <w:r>
                    <w:rPr>
                      <w:rFonts w:hint="eastAsia"/>
                      <w:color w:val="000000" w:themeColor="text1"/>
                      <w:sz w:val="21"/>
                      <w:szCs w:val="21"/>
                      <w:lang w:val="en-US" w:eastAsia="zh-CN"/>
                      <w14:textFill>
                        <w14:solidFill>
                          <w14:schemeClr w14:val="tx1"/>
                        </w14:solidFill>
                      </w14:textFill>
                    </w:rPr>
                    <w:t>24</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9</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13.050</w:t>
                  </w:r>
                  <w:r>
                    <w:rPr>
                      <w:color w:val="000000" w:themeColor="text1"/>
                      <w:sz w:val="21"/>
                      <w:szCs w:val="21"/>
                      <w14:textFill>
                        <w14:solidFill>
                          <w14:schemeClr w14:val="tx1"/>
                        </w14:solidFill>
                      </w14:textFill>
                    </w:rPr>
                    <w:t>″</w:t>
                  </w:r>
                </w:p>
              </w:tc>
              <w:tc>
                <w:tcPr>
                  <w:tcW w:w="424" w:type="pct"/>
                  <w:vAlign w:val="center"/>
                </w:tcPr>
                <w:p w14:paraId="19F528F4">
                  <w:pPr>
                    <w:pageBreakBefore w:val="0"/>
                    <w:kinsoku/>
                    <w:overflowPunct/>
                    <w:topLinePunct w:val="0"/>
                    <w:bidi w:val="0"/>
                    <w:ind w:left="0" w:leftChars="0" w:right="0"/>
                    <w:jc w:val="center"/>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东南</w:t>
                  </w:r>
                </w:p>
              </w:tc>
              <w:tc>
                <w:tcPr>
                  <w:tcW w:w="673" w:type="pct"/>
                  <w:vAlign w:val="center"/>
                </w:tcPr>
                <w:p w14:paraId="44CE9BA6">
                  <w:pPr>
                    <w:pStyle w:val="9"/>
                    <w:pageBreakBefore w:val="0"/>
                    <w:kinsoku/>
                    <w:overflowPunct/>
                    <w:topLinePunct w:val="0"/>
                    <w:bidi w:val="0"/>
                    <w:spacing w:line="240" w:lineRule="auto"/>
                    <w:ind w:left="0" w:leftChars="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4800</w:t>
                  </w:r>
                </w:p>
              </w:tc>
              <w:tc>
                <w:tcPr>
                  <w:tcW w:w="480" w:type="pct"/>
                  <w:vAlign w:val="center"/>
                </w:tcPr>
                <w:p w14:paraId="278ADCBD">
                  <w:pPr>
                    <w:pageBreakBefore w:val="0"/>
                    <w:kinsoku/>
                    <w:overflowPunct/>
                    <w:topLinePunct w:val="0"/>
                    <w:bidi w:val="0"/>
                    <w:spacing w:line="240" w:lineRule="auto"/>
                    <w:ind w:left="0" w:leftChars="0" w:right="0" w:firstLine="0" w:firstLine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河流</w:t>
                  </w:r>
                </w:p>
              </w:tc>
              <w:tc>
                <w:tcPr>
                  <w:tcW w:w="1295" w:type="pct"/>
                  <w:vMerge w:val="continue"/>
                  <w:vAlign w:val="center"/>
                </w:tcPr>
                <w:p w14:paraId="2E026870">
                  <w:pPr>
                    <w:pStyle w:val="9"/>
                    <w:pageBreakBefore w:val="0"/>
                    <w:kinsoku/>
                    <w:overflowPunct/>
                    <w:topLinePunct w:val="0"/>
                    <w:bidi w:val="0"/>
                    <w:spacing w:line="240" w:lineRule="auto"/>
                    <w:ind w:left="0" w:leftChars="0" w:right="0" w:firstLine="0" w:firstLineChars="0"/>
                    <w:jc w:val="center"/>
                    <w:rPr>
                      <w:color w:val="000000" w:themeColor="text1"/>
                      <w:sz w:val="21"/>
                      <w:szCs w:val="21"/>
                      <w14:textFill>
                        <w14:solidFill>
                          <w14:schemeClr w14:val="tx1"/>
                        </w14:solidFill>
                      </w14:textFill>
                    </w:rPr>
                  </w:pPr>
                </w:p>
              </w:tc>
            </w:tr>
          </w:tbl>
          <w:p w14:paraId="2B51978E">
            <w:pPr>
              <w:pageBreakBefore w:val="0"/>
              <w:widowControl/>
              <w:kinsoku/>
              <w:overflowPunct/>
              <w:topLinePunct w:val="0"/>
              <w:bidi w:val="0"/>
              <w:spacing w:line="360" w:lineRule="auto"/>
              <w:ind w:left="0" w:leftChars="0" w:right="0" w:firstLine="482" w:firstLineChars="200"/>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4、生态环境保护目标</w:t>
            </w:r>
          </w:p>
          <w:p w14:paraId="281E583B">
            <w:pPr>
              <w:pStyle w:val="51"/>
              <w:pageBreakBefore w:val="0"/>
              <w:kinsoku/>
              <w:overflowPunct/>
              <w:topLinePunct w:val="0"/>
              <w:bidi w:val="0"/>
              <w:ind w:left="0" w:leftChars="0" w:right="0" w:firstLine="480"/>
              <w:rPr>
                <w:color w:val="000000" w:themeColor="text1"/>
                <w:lang w:val="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本项目位于峨山县双江街道办事处峨山县文邦包装制品有限公司内，属于</w:t>
            </w:r>
            <w:r>
              <w:rPr>
                <w:rFonts w:hint="eastAsia" w:cs="Times New Roman"/>
                <w:color w:val="000000" w:themeColor="text1"/>
                <w:sz w:val="24"/>
                <w:szCs w:val="24"/>
                <w:lang w:val="en-US" w:eastAsia="zh-CN"/>
                <w14:textFill>
                  <w14:solidFill>
                    <w14:schemeClr w14:val="tx1"/>
                  </w14:solidFill>
                </w14:textFill>
              </w:rPr>
              <w:t>云南红塔产业园区研和片区双小地块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不涉及生态保护红线、不涉及基本农田、</w:t>
            </w:r>
            <w:r>
              <w:rPr>
                <w:color w:val="000000" w:themeColor="text1"/>
                <w:lang w:val="zh-CN"/>
                <w14:textFill>
                  <w14:solidFill>
                    <w14:schemeClr w14:val="tx1"/>
                  </w14:solidFill>
                </w14:textFill>
              </w:rPr>
              <w:t>不涉及《环境影响评价技术导则</w:t>
            </w:r>
            <w:r>
              <w:rPr>
                <w:rFonts w:hint="eastAsia"/>
                <w:color w:val="000000" w:themeColor="text1"/>
                <w:lang w:val="en-US" w:eastAsia="zh-CN"/>
                <w14:textFill>
                  <w14:solidFill>
                    <w14:schemeClr w14:val="tx1"/>
                  </w14:solidFill>
                </w14:textFill>
              </w:rPr>
              <w:t xml:space="preserve"> </w:t>
            </w:r>
            <w:r>
              <w:rPr>
                <w:color w:val="000000" w:themeColor="text1"/>
                <w:lang w:val="zh-CN"/>
                <w14:textFill>
                  <w14:solidFill>
                    <w14:schemeClr w14:val="tx1"/>
                  </w14:solidFill>
                </w14:textFill>
              </w:rPr>
              <w:t>生态环境》</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HJ19-20</w:t>
            </w:r>
            <w:r>
              <w:rPr>
                <w:rFonts w:hint="eastAsia"/>
                <w:color w:val="000000" w:themeColor="text1"/>
                <w:lang w:val="en-US" w:eastAsia="zh-CN"/>
                <w14:textFill>
                  <w14:solidFill>
                    <w14:schemeClr w14:val="tx1"/>
                  </w14:solidFill>
                </w14:textFill>
              </w:rPr>
              <w:t>22</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中的特殊生态敏感区、重要生态敏感区等生态环境保护目标。</w:t>
            </w:r>
          </w:p>
          <w:p w14:paraId="64022744">
            <w:pPr>
              <w:pageBreakBefore w:val="0"/>
              <w:widowControl/>
              <w:kinsoku/>
              <w:overflowPunct/>
              <w:topLinePunct w:val="0"/>
              <w:bidi w:val="0"/>
              <w:spacing w:line="360" w:lineRule="auto"/>
              <w:ind w:left="0" w:leftChars="0" w:right="0" w:firstLine="482" w:firstLineChars="200"/>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5、地下水</w:t>
            </w:r>
            <w:r>
              <w:rPr>
                <w:rFonts w:hint="eastAsia"/>
                <w:b/>
                <w:bCs/>
                <w:color w:val="000000" w:themeColor="text1"/>
                <w:sz w:val="24"/>
                <w:highlight w:val="none"/>
                <w:lang w:eastAsia="zh-CN"/>
                <w14:textFill>
                  <w14:solidFill>
                    <w14:schemeClr w14:val="tx1"/>
                  </w14:solidFill>
                </w14:textFill>
              </w:rPr>
              <w:t>环境</w:t>
            </w:r>
            <w:r>
              <w:rPr>
                <w:rFonts w:hint="eastAsia"/>
                <w:b/>
                <w:bCs/>
                <w:color w:val="000000" w:themeColor="text1"/>
                <w:sz w:val="24"/>
                <w:highlight w:val="none"/>
                <w14:textFill>
                  <w14:solidFill>
                    <w14:schemeClr w14:val="tx1"/>
                  </w14:solidFill>
                </w14:textFill>
              </w:rPr>
              <w:t>保护目标</w:t>
            </w:r>
          </w:p>
          <w:p w14:paraId="30260250">
            <w:pPr>
              <w:pStyle w:val="51"/>
              <w:pageBreakBefore w:val="0"/>
              <w:kinsoku/>
              <w:overflowPunct/>
              <w:topLinePunct w:val="0"/>
              <w:bidi w:val="0"/>
              <w:ind w:left="0" w:leftChars="0" w:right="0" w:firstLine="480"/>
              <w:rPr>
                <w:rFonts w:hint="eastAsia"/>
                <w:color w:val="000000" w:themeColor="text1"/>
                <w:lang w:val="zh-CN"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w:t>
            </w:r>
            <w:r>
              <w:rPr>
                <w:rStyle w:val="53"/>
                <w:color w:val="000000" w:themeColor="text1"/>
                <w:lang w:val="zh-CN"/>
                <w14:textFill>
                  <w14:solidFill>
                    <w14:schemeClr w14:val="tx1"/>
                  </w14:solidFill>
                </w14:textFill>
              </w:rPr>
              <w:t>项目位于</w:t>
            </w:r>
            <w:r>
              <w:rPr>
                <w:rFonts w:hint="eastAsia" w:cs="Times New Roman"/>
                <w:color w:val="000000" w:themeColor="text1"/>
                <w:sz w:val="24"/>
                <w:szCs w:val="24"/>
                <w:lang w:val="en-US" w:eastAsia="zh-CN"/>
                <w14:textFill>
                  <w14:solidFill>
                    <w14:schemeClr w14:val="tx1"/>
                  </w14:solidFill>
                </w14:textFill>
              </w:rPr>
              <w:t>云南红塔产业园区研和片区双小地块</w:t>
            </w:r>
            <w:r>
              <w:rPr>
                <w:rFonts w:hint="eastAsia"/>
                <w:color w:val="000000" w:themeColor="text1"/>
                <w:lang w:val="zh-CN"/>
                <w14:textFill>
                  <w14:solidFill>
                    <w14:schemeClr w14:val="tx1"/>
                  </w14:solidFill>
                </w14:textFill>
              </w:rPr>
              <w:t>，</w:t>
            </w:r>
            <w:r>
              <w:rPr>
                <w:rFonts w:hint="eastAsia"/>
                <w:color w:val="000000" w:themeColor="text1"/>
                <w:lang w:val="zh-CN" w:eastAsia="zh-CN"/>
                <w14:textFill>
                  <w14:solidFill>
                    <w14:schemeClr w14:val="tx1"/>
                  </w14:solidFill>
                </w14:textFill>
              </w:rPr>
              <w:t>根据《</w:t>
            </w:r>
            <w:r>
              <w:rPr>
                <w:color w:val="000000" w:themeColor="text1"/>
                <w:lang w:val="en-US" w:eastAsia="zh-CN"/>
                <w14:textFill>
                  <w14:solidFill>
                    <w14:schemeClr w14:val="tx1"/>
                  </w14:solidFill>
                </w14:textFill>
              </w:rPr>
              <w:t xml:space="preserve">建设项目环境影响报告表编制技术指南 </w:t>
            </w:r>
            <w:r>
              <w:rPr>
                <w:rFonts w:hint="eastAsia"/>
                <w:color w:val="000000" w:themeColor="text1"/>
                <w:lang w:val="en-US" w:eastAsia="zh-CN"/>
                <w14:textFill>
                  <w14:solidFill>
                    <w14:schemeClr w14:val="tx1"/>
                  </w14:solidFill>
                </w14:textFill>
              </w:rPr>
              <w:t>（污染影响类）</w:t>
            </w:r>
            <w:r>
              <w:rPr>
                <w:rFonts w:hint="eastAsia"/>
                <w:color w:val="000000" w:themeColor="text1"/>
                <w:lang w:val="zh-CN" w:eastAsia="zh-CN"/>
                <w14:textFill>
                  <w14:solidFill>
                    <w14:schemeClr w14:val="tx1"/>
                  </w14:solidFill>
                </w14:textFill>
              </w:rPr>
              <w:t>》，“</w:t>
            </w:r>
            <w:r>
              <w:rPr>
                <w:color w:val="000000" w:themeColor="text1"/>
                <w:lang w:val="en-US" w:eastAsia="zh-CN"/>
                <w14:textFill>
                  <w14:solidFill>
                    <w14:schemeClr w14:val="tx1"/>
                  </w14:solidFill>
                </w14:textFill>
              </w:rPr>
              <w:t>明确厂界外500米范围内的地下水集中式饮用</w:t>
            </w:r>
            <w:r>
              <w:rPr>
                <w:rFonts w:hint="eastAsia"/>
                <w:color w:val="000000" w:themeColor="text1"/>
                <w:lang w:val="en-US" w:eastAsia="zh-CN"/>
                <w14:textFill>
                  <w14:solidFill>
                    <w14:schemeClr w14:val="tx1"/>
                  </w14:solidFill>
                </w14:textFill>
              </w:rPr>
              <w:t>水水源和热水、矿泉水、温泉等特殊地下水资源。</w:t>
            </w:r>
            <w:r>
              <w:rPr>
                <w:rFonts w:hint="eastAsia"/>
                <w:color w:val="000000" w:themeColor="text1"/>
                <w:lang w:val="zh-CN" w:eastAsia="zh-CN"/>
                <w14:textFill>
                  <w14:solidFill>
                    <w14:schemeClr w14:val="tx1"/>
                  </w14:solidFill>
                </w14:textFill>
              </w:rPr>
              <w:t>”</w:t>
            </w:r>
          </w:p>
          <w:p w14:paraId="158B491C">
            <w:pPr>
              <w:pageBreakBefore w:val="0"/>
              <w:widowControl/>
              <w:kinsoku/>
              <w:overflowPunct/>
              <w:topLinePunct w:val="0"/>
              <w:bidi w:val="0"/>
              <w:spacing w:line="360" w:lineRule="auto"/>
              <w:ind w:left="0" w:leftChars="0" w:right="0" w:firstLine="480" w:firstLineChars="200"/>
              <w:rPr>
                <w:color w:val="000000" w:themeColor="text1"/>
                <w:sz w:val="24"/>
                <w14:textFill>
                  <w14:solidFill>
                    <w14:schemeClr w14:val="tx1"/>
                  </w14:solidFill>
                </w14:textFill>
              </w:rPr>
            </w:pPr>
            <w:r>
              <w:rPr>
                <w:rFonts w:hint="eastAsia"/>
                <w:color w:val="000000" w:themeColor="text1"/>
                <w:sz w:val="24"/>
                <w:lang w:val="zh-CN"/>
                <w14:textFill>
                  <w14:solidFill>
                    <w14:schemeClr w14:val="tx1"/>
                  </w14:solidFill>
                </w14:textFill>
              </w:rPr>
              <w:t>根据调查，本</w:t>
            </w:r>
            <w:r>
              <w:rPr>
                <w:color w:val="000000" w:themeColor="text1"/>
                <w:sz w:val="24"/>
                <w:lang w:val="zh-CN"/>
                <w14:textFill>
                  <w14:solidFill>
                    <w14:schemeClr w14:val="tx1"/>
                  </w14:solidFill>
                </w14:textFill>
              </w:rPr>
              <w:t>项目</w:t>
            </w:r>
            <w:r>
              <w:rPr>
                <w:color w:val="000000" w:themeColor="text1"/>
                <w:sz w:val="24"/>
                <w14:textFill>
                  <w14:solidFill>
                    <w14:schemeClr w14:val="tx1"/>
                  </w14:solidFill>
                </w14:textFill>
              </w:rPr>
              <w:t>厂界外</w:t>
            </w:r>
            <w:r>
              <w:rPr>
                <w:color w:val="000000" w:themeColor="text1"/>
                <w:sz w:val="24"/>
                <w:lang w:val="zh-CN"/>
                <w14:textFill>
                  <w14:solidFill>
                    <w14:schemeClr w14:val="tx1"/>
                  </w14:solidFill>
                </w14:textFill>
              </w:rPr>
              <w:t>500m范围内无地下水集中式饮用水水源和热水、矿泉水、温泉等特殊地下水资源。</w:t>
            </w:r>
          </w:p>
        </w:tc>
      </w:tr>
      <w:tr w14:paraId="4527B0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tcMar>
              <w:left w:w="28" w:type="dxa"/>
              <w:right w:w="28" w:type="dxa"/>
            </w:tcMar>
            <w:vAlign w:val="center"/>
          </w:tcPr>
          <w:p w14:paraId="77ACEA90">
            <w:pPr>
              <w:pageBreakBefore w:val="0"/>
              <w:kinsoku/>
              <w:overflowPunct/>
              <w:topLinePunct w:val="0"/>
              <w:bidi w:val="0"/>
              <w:adjustRightInd w:val="0"/>
              <w:snapToGrid w:val="0"/>
              <w:ind w:left="0" w:leftChars="0" w:right="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污染</w:t>
            </w:r>
          </w:p>
          <w:p w14:paraId="494A27E6">
            <w:pPr>
              <w:pageBreakBefore w:val="0"/>
              <w:kinsoku/>
              <w:overflowPunct/>
              <w:topLinePunct w:val="0"/>
              <w:bidi w:val="0"/>
              <w:adjustRightInd w:val="0"/>
              <w:snapToGrid w:val="0"/>
              <w:ind w:left="0" w:leftChars="0" w:right="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物排</w:t>
            </w:r>
          </w:p>
          <w:p w14:paraId="4C761544">
            <w:pPr>
              <w:pageBreakBefore w:val="0"/>
              <w:kinsoku/>
              <w:overflowPunct/>
              <w:topLinePunct w:val="0"/>
              <w:bidi w:val="0"/>
              <w:adjustRightInd w:val="0"/>
              <w:snapToGrid w:val="0"/>
              <w:ind w:left="0" w:leftChars="0" w:right="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放控</w:t>
            </w:r>
          </w:p>
          <w:p w14:paraId="2804E253">
            <w:pPr>
              <w:pageBreakBefore w:val="0"/>
              <w:kinsoku/>
              <w:overflowPunct/>
              <w:topLinePunct w:val="0"/>
              <w:bidi w:val="0"/>
              <w:adjustRightInd w:val="0"/>
              <w:snapToGrid w:val="0"/>
              <w:ind w:left="0" w:leftChars="0" w:right="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制标</w:t>
            </w:r>
          </w:p>
          <w:p w14:paraId="1376443C">
            <w:pPr>
              <w:pageBreakBefore w:val="0"/>
              <w:kinsoku/>
              <w:overflowPunct/>
              <w:topLinePunct w:val="0"/>
              <w:bidi w:val="0"/>
              <w:adjustRightInd w:val="0"/>
              <w:snapToGrid w:val="0"/>
              <w:ind w:left="0" w:leftChars="0" w:right="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准</w:t>
            </w:r>
          </w:p>
        </w:tc>
        <w:tc>
          <w:tcPr>
            <w:tcW w:w="8321" w:type="dxa"/>
            <w:vAlign w:val="center"/>
          </w:tcPr>
          <w:p w14:paraId="39A139AF">
            <w:pPr>
              <w:pStyle w:val="17"/>
              <w:pageBreakBefore w:val="0"/>
              <w:kinsoku/>
              <w:overflowPunct/>
              <w:topLinePunct w:val="0"/>
              <w:bidi w:val="0"/>
              <w:adjustRightInd w:val="0"/>
              <w:snapToGrid w:val="0"/>
              <w:spacing w:line="360" w:lineRule="auto"/>
              <w:ind w:left="0" w:leftChars="0" w:right="0" w:firstLine="482" w:firstLineChars="200"/>
              <w:rPr>
                <w:rFonts w:ascii="Times New Roman" w:hAnsi="Times New Roman"/>
                <w:b/>
                <w:bCs/>
                <w:color w:val="000000" w:themeColor="text1"/>
                <w:sz w:val="24"/>
                <w14:textFill>
                  <w14:solidFill>
                    <w14:schemeClr w14:val="tx1"/>
                  </w14:solidFill>
                </w14:textFill>
              </w:rPr>
            </w:pPr>
            <w:r>
              <w:rPr>
                <w:rFonts w:ascii="Times New Roman" w:hAnsi="Times New Roman"/>
                <w:b/>
                <w:bCs/>
                <w:color w:val="000000" w:themeColor="text1"/>
                <w:sz w:val="24"/>
                <w14:textFill>
                  <w14:solidFill>
                    <w14:schemeClr w14:val="tx1"/>
                  </w14:solidFill>
                </w14:textFill>
              </w:rPr>
              <w:t>1、废气</w:t>
            </w:r>
          </w:p>
          <w:p w14:paraId="251C48BE">
            <w:pPr>
              <w:pageBreakBefore w:val="0"/>
              <w:kinsoku/>
              <w:overflowPunct/>
              <w:topLinePunct w:val="0"/>
              <w:bidi w:val="0"/>
              <w:adjustRightInd w:val="0"/>
              <w:snapToGrid w:val="0"/>
              <w:spacing w:line="360" w:lineRule="auto"/>
              <w:ind w:left="0" w:leftChars="0" w:right="0"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（1）施工期</w:t>
            </w:r>
          </w:p>
          <w:p w14:paraId="716DEBE8">
            <w:pPr>
              <w:pageBreakBefore w:val="0"/>
              <w:kinsoku/>
              <w:overflowPunct/>
              <w:topLinePunct w:val="0"/>
              <w:bidi w:val="0"/>
              <w:spacing w:line="360" w:lineRule="auto"/>
              <w:ind w:left="0" w:leftChars="0" w:right="0" w:firstLine="480"/>
              <w:rPr>
                <w:b/>
                <w:bCs/>
                <w:color w:val="000000" w:themeColor="text1"/>
                <w:szCs w:val="21"/>
                <w14:textFill>
                  <w14:solidFill>
                    <w14:schemeClr w14:val="tx1"/>
                  </w14:solidFill>
                </w14:textFill>
              </w:rPr>
            </w:pPr>
            <w:r>
              <w:rPr>
                <w:color w:val="000000" w:themeColor="text1"/>
                <w:sz w:val="24"/>
                <w14:textFill>
                  <w14:solidFill>
                    <w14:schemeClr w14:val="tx1"/>
                  </w14:solidFill>
                </w14:textFill>
              </w:rPr>
              <w:t>施工期无组织粉尘执行《大气污染物综合排放标准》（GB16297-1996）表2中颗粒物无组织排放监控浓度限值要求。</w:t>
            </w:r>
          </w:p>
          <w:p w14:paraId="1066CDAF">
            <w:pPr>
              <w:pageBreakBefore w:val="0"/>
              <w:kinsoku/>
              <w:overflowPunct/>
              <w:topLinePunct w:val="0"/>
              <w:bidi w:val="0"/>
              <w:ind w:left="0" w:leftChars="0" w:right="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表3-</w:t>
            </w:r>
            <w:r>
              <w:rPr>
                <w:rFonts w:hint="eastAsia"/>
                <w:b/>
                <w:bCs/>
                <w:color w:val="000000" w:themeColor="text1"/>
                <w:szCs w:val="21"/>
                <w:lang w:val="en-US" w:eastAsia="zh-CN"/>
                <w14:textFill>
                  <w14:solidFill>
                    <w14:schemeClr w14:val="tx1"/>
                  </w14:solidFill>
                </w14:textFill>
              </w:rPr>
              <w:t>8</w:t>
            </w:r>
            <w:r>
              <w:rPr>
                <w:b/>
                <w:bCs/>
                <w:color w:val="000000" w:themeColor="text1"/>
                <w:szCs w:val="21"/>
                <w14:textFill>
                  <w14:solidFill>
                    <w14:schemeClr w14:val="tx1"/>
                  </w14:solidFill>
                </w14:textFill>
              </w:rPr>
              <w:t xml:space="preserve">   无组织颗粒物排放标准</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7"/>
              <w:gridCol w:w="2684"/>
              <w:gridCol w:w="3503"/>
            </w:tblGrid>
            <w:tr w14:paraId="41CF9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5" w:type="pct"/>
                  <w:vMerge w:val="restart"/>
                  <w:vAlign w:val="center"/>
                </w:tcPr>
                <w:p w14:paraId="35C48644">
                  <w:pPr>
                    <w:pageBreakBefore w:val="0"/>
                    <w:kinsoku/>
                    <w:overflowPunct/>
                    <w:topLinePunct w:val="0"/>
                    <w:bidi w:val="0"/>
                    <w:ind w:left="0" w:leftChars="0" w:right="0"/>
                    <w:jc w:val="center"/>
                    <w:rPr>
                      <w:b/>
                      <w:bCs/>
                      <w:color w:val="000000" w:themeColor="text1"/>
                      <w14:textFill>
                        <w14:solidFill>
                          <w14:schemeClr w14:val="tx1"/>
                        </w14:solidFill>
                      </w14:textFill>
                    </w:rPr>
                  </w:pPr>
                  <w:r>
                    <w:rPr>
                      <w:b/>
                      <w:bCs/>
                      <w:color w:val="000000" w:themeColor="text1"/>
                      <w14:textFill>
                        <w14:solidFill>
                          <w14:schemeClr w14:val="tx1"/>
                        </w14:solidFill>
                      </w14:textFill>
                    </w:rPr>
                    <w:t>污染物</w:t>
                  </w:r>
                </w:p>
              </w:tc>
              <w:tc>
                <w:tcPr>
                  <w:tcW w:w="3654" w:type="pct"/>
                  <w:gridSpan w:val="2"/>
                  <w:vAlign w:val="center"/>
                </w:tcPr>
                <w:p w14:paraId="24A98EEA">
                  <w:pPr>
                    <w:pageBreakBefore w:val="0"/>
                    <w:kinsoku/>
                    <w:overflowPunct/>
                    <w:topLinePunct w:val="0"/>
                    <w:bidi w:val="0"/>
                    <w:ind w:left="0" w:leftChars="0" w:right="0"/>
                    <w:jc w:val="center"/>
                    <w:rPr>
                      <w:b/>
                      <w:bCs/>
                      <w:color w:val="000000" w:themeColor="text1"/>
                      <w14:textFill>
                        <w14:solidFill>
                          <w14:schemeClr w14:val="tx1"/>
                        </w14:solidFill>
                      </w14:textFill>
                    </w:rPr>
                  </w:pPr>
                  <w:r>
                    <w:rPr>
                      <w:b/>
                      <w:bCs/>
                      <w:color w:val="000000" w:themeColor="text1"/>
                      <w14:textFill>
                        <w14:solidFill>
                          <w14:schemeClr w14:val="tx1"/>
                        </w14:solidFill>
                      </w14:textFill>
                    </w:rPr>
                    <w:t>无组织排放监控浓度限值</w:t>
                  </w:r>
                </w:p>
              </w:tc>
            </w:tr>
            <w:tr w14:paraId="00C2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45" w:type="pct"/>
                  <w:vMerge w:val="continue"/>
                  <w:vAlign w:val="center"/>
                </w:tcPr>
                <w:p w14:paraId="61F2132F">
                  <w:pPr>
                    <w:pageBreakBefore w:val="0"/>
                    <w:kinsoku/>
                    <w:overflowPunct/>
                    <w:topLinePunct w:val="0"/>
                    <w:bidi w:val="0"/>
                    <w:ind w:left="0" w:leftChars="0" w:right="0"/>
                    <w:jc w:val="center"/>
                    <w:rPr>
                      <w:b/>
                      <w:bCs/>
                      <w:color w:val="000000" w:themeColor="text1"/>
                      <w14:textFill>
                        <w14:solidFill>
                          <w14:schemeClr w14:val="tx1"/>
                        </w14:solidFill>
                      </w14:textFill>
                    </w:rPr>
                  </w:pPr>
                </w:p>
              </w:tc>
              <w:tc>
                <w:tcPr>
                  <w:tcW w:w="1585" w:type="pct"/>
                  <w:vAlign w:val="center"/>
                </w:tcPr>
                <w:p w14:paraId="68F96591">
                  <w:pPr>
                    <w:pageBreakBefore w:val="0"/>
                    <w:kinsoku/>
                    <w:overflowPunct/>
                    <w:topLinePunct w:val="0"/>
                    <w:bidi w:val="0"/>
                    <w:ind w:left="0" w:leftChars="0" w:right="0"/>
                    <w:jc w:val="center"/>
                    <w:rPr>
                      <w:b/>
                      <w:bCs/>
                      <w:color w:val="000000" w:themeColor="text1"/>
                      <w14:textFill>
                        <w14:solidFill>
                          <w14:schemeClr w14:val="tx1"/>
                        </w14:solidFill>
                      </w14:textFill>
                    </w:rPr>
                  </w:pPr>
                  <w:r>
                    <w:rPr>
                      <w:b/>
                      <w:bCs/>
                      <w:color w:val="000000" w:themeColor="text1"/>
                      <w14:textFill>
                        <w14:solidFill>
                          <w14:schemeClr w14:val="tx1"/>
                        </w14:solidFill>
                      </w14:textFill>
                    </w:rPr>
                    <w:t>监控点</w:t>
                  </w:r>
                </w:p>
              </w:tc>
              <w:tc>
                <w:tcPr>
                  <w:tcW w:w="2068" w:type="pct"/>
                  <w:vAlign w:val="center"/>
                </w:tcPr>
                <w:p w14:paraId="6D26CD29">
                  <w:pPr>
                    <w:pageBreakBefore w:val="0"/>
                    <w:kinsoku/>
                    <w:overflowPunct/>
                    <w:topLinePunct w:val="0"/>
                    <w:bidi w:val="0"/>
                    <w:ind w:left="0" w:leftChars="0" w:right="0"/>
                    <w:jc w:val="center"/>
                    <w:rPr>
                      <w:b/>
                      <w:bCs/>
                      <w:color w:val="000000" w:themeColor="text1"/>
                      <w14:textFill>
                        <w14:solidFill>
                          <w14:schemeClr w14:val="tx1"/>
                        </w14:solidFill>
                      </w14:textFill>
                    </w:rPr>
                  </w:pPr>
                  <w:r>
                    <w:rPr>
                      <w:b/>
                      <w:bCs/>
                      <w:color w:val="000000" w:themeColor="text1"/>
                      <w14:textFill>
                        <w14:solidFill>
                          <w14:schemeClr w14:val="tx1"/>
                        </w14:solidFill>
                      </w14:textFill>
                    </w:rPr>
                    <w:t>浓度（mg/m</w:t>
                  </w:r>
                  <w:r>
                    <w:rPr>
                      <w:b/>
                      <w:bCs/>
                      <w:color w:val="000000" w:themeColor="text1"/>
                      <w:vertAlign w:val="superscript"/>
                      <w14:textFill>
                        <w14:solidFill>
                          <w14:schemeClr w14:val="tx1"/>
                        </w14:solidFill>
                      </w14:textFill>
                    </w:rPr>
                    <w:t>3</w:t>
                  </w:r>
                  <w:r>
                    <w:rPr>
                      <w:b/>
                      <w:bCs/>
                      <w:color w:val="000000" w:themeColor="text1"/>
                      <w14:textFill>
                        <w14:solidFill>
                          <w14:schemeClr w14:val="tx1"/>
                        </w14:solidFill>
                      </w14:textFill>
                    </w:rPr>
                    <w:t>）</w:t>
                  </w:r>
                </w:p>
              </w:tc>
            </w:tr>
            <w:tr w14:paraId="1C6DC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5" w:type="pct"/>
                  <w:vAlign w:val="center"/>
                </w:tcPr>
                <w:p w14:paraId="45B19BEF">
                  <w:pPr>
                    <w:pageBreakBefore w:val="0"/>
                    <w:kinsoku/>
                    <w:overflowPunct/>
                    <w:topLinePunct w:val="0"/>
                    <w:bidi w:val="0"/>
                    <w:ind w:left="0" w:leftChars="0" w:right="0"/>
                    <w:jc w:val="center"/>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1585" w:type="pct"/>
                  <w:vAlign w:val="center"/>
                </w:tcPr>
                <w:p w14:paraId="78840A89">
                  <w:pPr>
                    <w:pageBreakBefore w:val="0"/>
                    <w:kinsoku/>
                    <w:overflowPunct/>
                    <w:topLinePunct w:val="0"/>
                    <w:bidi w:val="0"/>
                    <w:ind w:left="0" w:leftChars="0" w:right="0"/>
                    <w:jc w:val="center"/>
                    <w:rPr>
                      <w:color w:val="000000" w:themeColor="text1"/>
                      <w14:textFill>
                        <w14:solidFill>
                          <w14:schemeClr w14:val="tx1"/>
                        </w14:solidFill>
                      </w14:textFill>
                    </w:rPr>
                  </w:pPr>
                  <w:r>
                    <w:rPr>
                      <w:color w:val="000000" w:themeColor="text1"/>
                      <w14:textFill>
                        <w14:solidFill>
                          <w14:schemeClr w14:val="tx1"/>
                        </w14:solidFill>
                      </w14:textFill>
                    </w:rPr>
                    <w:t>周界外浓度最高点</w:t>
                  </w:r>
                </w:p>
              </w:tc>
              <w:tc>
                <w:tcPr>
                  <w:tcW w:w="2068" w:type="pct"/>
                  <w:vAlign w:val="center"/>
                </w:tcPr>
                <w:p w14:paraId="333F8079">
                  <w:pPr>
                    <w:pageBreakBefore w:val="0"/>
                    <w:kinsoku/>
                    <w:overflowPunct/>
                    <w:topLinePunct w:val="0"/>
                    <w:bidi w:val="0"/>
                    <w:ind w:left="0" w:leftChars="0" w:right="0"/>
                    <w:jc w:val="center"/>
                    <w:rPr>
                      <w:color w:val="000000" w:themeColor="text1"/>
                      <w14:textFill>
                        <w14:solidFill>
                          <w14:schemeClr w14:val="tx1"/>
                        </w14:solidFill>
                      </w14:textFill>
                    </w:rPr>
                  </w:pPr>
                  <w:r>
                    <w:rPr>
                      <w:color w:val="000000" w:themeColor="text1"/>
                      <w14:textFill>
                        <w14:solidFill>
                          <w14:schemeClr w14:val="tx1"/>
                        </w14:solidFill>
                      </w14:textFill>
                    </w:rPr>
                    <w:t>1.0</w:t>
                  </w:r>
                </w:p>
              </w:tc>
            </w:tr>
          </w:tbl>
          <w:p w14:paraId="4F1240DC">
            <w:pPr>
              <w:pageBreakBefore w:val="0"/>
              <w:kinsoku/>
              <w:overflowPunct/>
              <w:topLinePunct w:val="0"/>
              <w:bidi w:val="0"/>
              <w:adjustRightInd w:val="0"/>
              <w:snapToGrid w:val="0"/>
              <w:spacing w:line="360" w:lineRule="auto"/>
              <w:ind w:left="0" w:leftChars="0" w:right="0" w:firstLine="482" w:firstLineChars="200"/>
              <w:textAlignment w:val="baseline"/>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（2）运营期</w:t>
            </w:r>
          </w:p>
          <w:p w14:paraId="0A82FF90">
            <w:pPr>
              <w:pageBreakBefore w:val="0"/>
              <w:kinsoku/>
              <w:overflowPunct/>
              <w:topLinePunct w:val="0"/>
              <w:bidi w:val="0"/>
              <w:spacing w:line="360" w:lineRule="auto"/>
              <w:ind w:left="0" w:leftChars="0" w:right="0"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①</w:t>
            </w:r>
            <w:r>
              <w:rPr>
                <w:rFonts w:hint="eastAsia"/>
                <w:b/>
                <w:bCs/>
                <w:color w:val="000000" w:themeColor="text1"/>
                <w:sz w:val="24"/>
                <w:lang w:eastAsia="zh-CN"/>
                <w14:textFill>
                  <w14:solidFill>
                    <w14:schemeClr w14:val="tx1"/>
                  </w14:solidFill>
                </w14:textFill>
              </w:rPr>
              <w:t>锅炉</w:t>
            </w:r>
            <w:r>
              <w:rPr>
                <w:rFonts w:hint="eastAsia"/>
                <w:b/>
                <w:bCs/>
                <w:color w:val="000000" w:themeColor="text1"/>
                <w:sz w:val="24"/>
                <w14:textFill>
                  <w14:solidFill>
                    <w14:schemeClr w14:val="tx1"/>
                  </w14:solidFill>
                </w14:textFill>
              </w:rPr>
              <w:t>废气</w:t>
            </w:r>
          </w:p>
          <w:p w14:paraId="6FC4B1D6">
            <w:pPr>
              <w:spacing w:line="360" w:lineRule="auto"/>
              <w:ind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本项目设置</w:t>
            </w:r>
            <w:r>
              <w:rPr>
                <w:rFonts w:hint="eastAsia" w:ascii="Times New Roman" w:hAnsi="Times New Roman" w:cs="Times New Roman"/>
                <w:color w:val="000000" w:themeColor="text1"/>
                <w:sz w:val="24"/>
                <w:lang w:val="en-US" w:eastAsia="zh-CN"/>
                <w14:textFill>
                  <w14:solidFill>
                    <w14:schemeClr w14:val="tx1"/>
                  </w14:solidFill>
                </w14:textFill>
              </w:rPr>
              <w:t>1台生物质锅炉，</w:t>
            </w:r>
            <w:r>
              <w:rPr>
                <w:rFonts w:hint="default" w:ascii="Times New Roman" w:hAnsi="Times New Roman" w:cs="Times New Roman"/>
                <w:color w:val="000000" w:themeColor="text1"/>
                <w:sz w:val="24"/>
                <w14:textFill>
                  <w14:solidFill>
                    <w14:schemeClr w14:val="tx1"/>
                  </w14:solidFill>
                </w14:textFill>
              </w:rPr>
              <w:t>根据《锅炉大气污染物排放标准》（GB13271-2014）</w:t>
            </w:r>
            <w:r>
              <w:rPr>
                <w:rFonts w:hint="default" w:ascii="Times New Roman" w:hAnsi="Times New Roman" w:cs="Times New Roman"/>
                <w:color w:val="000000" w:themeColor="text1"/>
                <w:sz w:val="24"/>
                <w:lang w:eastAsia="zh-CN"/>
                <w14:textFill>
                  <w14:solidFill>
                    <w14:schemeClr w14:val="tx1"/>
                  </w14:solidFill>
                </w14:textFill>
              </w:rPr>
              <w:t>中</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1、适用范围：使用型煤、水煤浆、煤矸石、石油焦、油页岩、生物质成型燃料等的锅炉，参照本标准中燃煤锅炉排放控制要求执行。</w:t>
            </w:r>
            <w:r>
              <w:rPr>
                <w:rFonts w:hint="eastAsia" w:cs="Times New Roman"/>
                <w:color w:val="000000" w:themeColor="text1"/>
                <w:sz w:val="24"/>
                <w:lang w:eastAsia="zh-CN"/>
                <w14:textFill>
                  <w14:solidFill>
                    <w14:schemeClr w14:val="tx1"/>
                  </w14:solidFill>
                </w14:textFill>
              </w:rPr>
              <w:t>”</w:t>
            </w:r>
          </w:p>
          <w:p w14:paraId="7BD216CB">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按照建设单位承诺，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建设单位</w:t>
            </w:r>
            <w:r>
              <w:rPr>
                <w:rFonts w:hint="default" w:ascii="Times New Roman" w:hAnsi="Times New Roman" w:eastAsia="宋体" w:cs="Times New Roman"/>
                <w:color w:val="000000" w:themeColor="text1"/>
                <w:sz w:val="24"/>
                <w:lang w:val="en-US" w:eastAsia="zh-CN"/>
                <w14:textFill>
                  <w14:solidFill>
                    <w14:schemeClr w14:val="tx1"/>
                  </w14:solidFill>
                </w14:textFill>
              </w:rPr>
              <w:t>为考虑进一步降低污染物排放对外环境的影响，</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w:t>
            </w:r>
            <w:r>
              <w:rPr>
                <w:rFonts w:hint="default" w:ascii="Times New Roman" w:hAnsi="Times New Roman" w:cs="Times New Roman"/>
                <w:color w:val="000000" w:themeColor="text1"/>
                <w:sz w:val="24"/>
                <w14:textFill>
                  <w14:solidFill>
                    <w14:schemeClr w14:val="tx1"/>
                  </w14:solidFill>
                </w14:textFill>
              </w:rPr>
              <w:t>锅炉废气中SO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、颗粒物、NOx排放执行《锅炉大气污染物排放标准》（GB13271-2014）表2</w:t>
            </w:r>
            <w:r>
              <w:rPr>
                <w:rFonts w:hint="eastAsia" w:cs="Times New Roman"/>
                <w:color w:val="000000" w:themeColor="text1"/>
                <w:sz w:val="24"/>
                <w:lang w:eastAsia="zh-CN"/>
                <w14:textFill>
                  <w14:solidFill>
                    <w14:schemeClr w14:val="tx1"/>
                  </w14:solidFill>
                </w14:textFill>
              </w:rPr>
              <w:t>燃气</w:t>
            </w:r>
            <w:r>
              <w:rPr>
                <w:rFonts w:hint="default" w:ascii="Times New Roman" w:hAnsi="Times New Roman" w:cs="Times New Roman"/>
                <w:color w:val="000000" w:themeColor="text1"/>
                <w:sz w:val="24"/>
                <w14:textFill>
                  <w14:solidFill>
                    <w14:schemeClr w14:val="tx1"/>
                  </w14:solidFill>
                </w14:textFill>
              </w:rPr>
              <w:t>锅炉大气污染物排放浓度限值。</w:t>
            </w:r>
          </w:p>
          <w:p w14:paraId="71614189">
            <w:pPr>
              <w:pStyle w:val="127"/>
              <w:keepNext w:val="0"/>
              <w:keepLines w:val="0"/>
              <w:pageBreakBefore w:val="0"/>
              <w:widowControl/>
              <w:kinsoku/>
              <w:wordWrap/>
              <w:overflowPunct/>
              <w:topLinePunct w:val="0"/>
              <w:autoSpaceDE/>
              <w:autoSpaceDN/>
              <w:bidi w:val="0"/>
              <w:adjustRightInd/>
              <w:snapToGrid/>
              <w:spacing w:before="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 xml:space="preserve"> 燃</w:t>
            </w:r>
            <w:r>
              <w:rPr>
                <w:rFonts w:hint="default" w:ascii="Times New Roman" w:hAnsi="Times New Roman" w:cs="Times New Roman"/>
                <w:color w:val="000000" w:themeColor="text1"/>
                <w:lang w:eastAsia="zh-CN"/>
                <w14:textFill>
                  <w14:solidFill>
                    <w14:schemeClr w14:val="tx1"/>
                  </w14:solidFill>
                </w14:textFill>
              </w:rPr>
              <w:t>气</w:t>
            </w:r>
            <w:r>
              <w:rPr>
                <w:rFonts w:hint="default" w:ascii="Times New Roman" w:hAnsi="Times New Roman" w:cs="Times New Roman"/>
                <w:color w:val="000000" w:themeColor="text1"/>
                <w14:textFill>
                  <w14:solidFill>
                    <w14:schemeClr w14:val="tx1"/>
                  </w14:solidFill>
                </w14:textFill>
              </w:rPr>
              <w:t>锅炉大气污染物排放标准    单位：mg/m</w:t>
            </w:r>
            <w:r>
              <w:rPr>
                <w:rFonts w:hint="default" w:ascii="Times New Roman" w:hAnsi="Times New Roman" w:cs="Times New Roman"/>
                <w:color w:val="000000" w:themeColor="text1"/>
                <w:vertAlign w:val="superscript"/>
                <w14:textFill>
                  <w14:solidFill>
                    <w14:schemeClr w14:val="tx1"/>
                  </w14:solidFill>
                </w14:textFill>
              </w:rPr>
              <w:t>3</w:t>
            </w:r>
          </w:p>
          <w:tbl>
            <w:tblPr>
              <w:tblStyle w:val="33"/>
              <w:tblW w:w="4998" w:type="pct"/>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4205"/>
              <w:gridCol w:w="2062"/>
              <w:gridCol w:w="2201"/>
            </w:tblGrid>
            <w:tr w14:paraId="52A908C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82" w:type="pct"/>
                  <w:vMerge w:val="restart"/>
                  <w:tcBorders>
                    <w:tl2br w:val="nil"/>
                    <w:tr2bl w:val="nil"/>
                  </w:tcBorders>
                  <w:noWrap w:val="0"/>
                  <w:vAlign w:val="center"/>
                </w:tcPr>
                <w:p w14:paraId="1D9429C7">
                  <w:pPr>
                    <w:pStyle w:val="128"/>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污染物项目</w:t>
                  </w:r>
                </w:p>
              </w:tc>
              <w:tc>
                <w:tcPr>
                  <w:tcW w:w="1217" w:type="pct"/>
                  <w:tcBorders>
                    <w:tl2br w:val="nil"/>
                    <w:tr2bl w:val="nil"/>
                  </w:tcBorders>
                  <w:noWrap w:val="0"/>
                  <w:vAlign w:val="center"/>
                </w:tcPr>
                <w:p w14:paraId="6F24B777">
                  <w:pPr>
                    <w:pStyle w:val="128"/>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限值</w:t>
                  </w:r>
                </w:p>
              </w:tc>
              <w:tc>
                <w:tcPr>
                  <w:tcW w:w="1299" w:type="pct"/>
                  <w:vMerge w:val="restart"/>
                  <w:tcBorders>
                    <w:tl2br w:val="nil"/>
                    <w:tr2bl w:val="nil"/>
                  </w:tcBorders>
                  <w:noWrap w:val="0"/>
                  <w:vAlign w:val="center"/>
                </w:tcPr>
                <w:p w14:paraId="73481C2B">
                  <w:pPr>
                    <w:pStyle w:val="128"/>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污染物排放</w:t>
                  </w:r>
                </w:p>
                <w:p w14:paraId="6F469A4B">
                  <w:pPr>
                    <w:pStyle w:val="128"/>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监控位置</w:t>
                  </w:r>
                </w:p>
              </w:tc>
            </w:tr>
            <w:tr w14:paraId="4307F57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82" w:type="pct"/>
                  <w:vMerge w:val="continue"/>
                  <w:tcBorders>
                    <w:tl2br w:val="nil"/>
                    <w:tr2bl w:val="nil"/>
                  </w:tcBorders>
                  <w:noWrap w:val="0"/>
                  <w:vAlign w:val="center"/>
                </w:tcPr>
                <w:p w14:paraId="061D3057">
                  <w:pPr>
                    <w:pStyle w:val="128"/>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14:textFill>
                        <w14:solidFill>
                          <w14:schemeClr w14:val="tx1"/>
                        </w14:solidFill>
                      </w14:textFill>
                    </w:rPr>
                  </w:pPr>
                </w:p>
              </w:tc>
              <w:tc>
                <w:tcPr>
                  <w:tcW w:w="1217" w:type="pct"/>
                  <w:tcBorders>
                    <w:tl2br w:val="nil"/>
                    <w:tr2bl w:val="nil"/>
                  </w:tcBorders>
                  <w:noWrap w:val="0"/>
                  <w:vAlign w:val="center"/>
                </w:tcPr>
                <w:p w14:paraId="4B6940F2">
                  <w:pPr>
                    <w:pStyle w:val="128"/>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燃</w:t>
                  </w:r>
                  <w:r>
                    <w:rPr>
                      <w:rFonts w:hint="default" w:ascii="Times New Roman" w:hAnsi="Times New Roman" w:cs="Times New Roman"/>
                      <w:color w:val="000000" w:themeColor="text1"/>
                      <w:lang w:eastAsia="zh-CN"/>
                      <w14:textFill>
                        <w14:solidFill>
                          <w14:schemeClr w14:val="tx1"/>
                        </w14:solidFill>
                      </w14:textFill>
                    </w:rPr>
                    <w:t>气</w:t>
                  </w:r>
                  <w:r>
                    <w:rPr>
                      <w:rFonts w:hint="default" w:ascii="Times New Roman" w:hAnsi="Times New Roman" w:cs="Times New Roman"/>
                      <w:color w:val="000000" w:themeColor="text1"/>
                      <w14:textFill>
                        <w14:solidFill>
                          <w14:schemeClr w14:val="tx1"/>
                        </w14:solidFill>
                      </w14:textFill>
                    </w:rPr>
                    <w:t>锅炉</w:t>
                  </w:r>
                </w:p>
              </w:tc>
              <w:tc>
                <w:tcPr>
                  <w:tcW w:w="1299" w:type="pct"/>
                  <w:vMerge w:val="continue"/>
                  <w:tcBorders>
                    <w:tl2br w:val="nil"/>
                    <w:tr2bl w:val="nil"/>
                  </w:tcBorders>
                  <w:noWrap w:val="0"/>
                  <w:vAlign w:val="center"/>
                </w:tcPr>
                <w:p w14:paraId="22A03FC9">
                  <w:pPr>
                    <w:pStyle w:val="128"/>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14:textFill>
                        <w14:solidFill>
                          <w14:schemeClr w14:val="tx1"/>
                        </w14:solidFill>
                      </w14:textFill>
                    </w:rPr>
                  </w:pPr>
                </w:p>
              </w:tc>
            </w:tr>
            <w:tr w14:paraId="2EE2924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82" w:type="pct"/>
                  <w:tcBorders>
                    <w:tl2br w:val="nil"/>
                    <w:tr2bl w:val="nil"/>
                  </w:tcBorders>
                  <w:noWrap w:val="0"/>
                  <w:vAlign w:val="center"/>
                </w:tcPr>
                <w:p w14:paraId="1CE9756C">
                  <w:pPr>
                    <w:pStyle w:val="128"/>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颗粒物</w:t>
                  </w:r>
                </w:p>
              </w:tc>
              <w:tc>
                <w:tcPr>
                  <w:tcW w:w="1217" w:type="pct"/>
                  <w:tcBorders>
                    <w:tl2br w:val="nil"/>
                    <w:tr2bl w:val="nil"/>
                  </w:tcBorders>
                  <w:noWrap w:val="0"/>
                  <w:vAlign w:val="center"/>
                </w:tcPr>
                <w:p w14:paraId="14CA31AE">
                  <w:pPr>
                    <w:pStyle w:val="128"/>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w:t>
                  </w:r>
                </w:p>
              </w:tc>
              <w:tc>
                <w:tcPr>
                  <w:tcW w:w="1299" w:type="pct"/>
                  <w:vMerge w:val="restart"/>
                  <w:tcBorders>
                    <w:tl2br w:val="nil"/>
                    <w:tr2bl w:val="nil"/>
                  </w:tcBorders>
                  <w:noWrap w:val="0"/>
                  <w:vAlign w:val="center"/>
                </w:tcPr>
                <w:p w14:paraId="1BADDB9C">
                  <w:pPr>
                    <w:pStyle w:val="128"/>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烟囱或烟道</w:t>
                  </w:r>
                </w:p>
              </w:tc>
            </w:tr>
            <w:tr w14:paraId="7703FEA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82" w:type="pct"/>
                  <w:tcBorders>
                    <w:tl2br w:val="nil"/>
                    <w:tr2bl w:val="nil"/>
                  </w:tcBorders>
                  <w:noWrap w:val="0"/>
                  <w:vAlign w:val="center"/>
                </w:tcPr>
                <w:p w14:paraId="06B54A00">
                  <w:pPr>
                    <w:pStyle w:val="128"/>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二氧化硫</w:t>
                  </w:r>
                </w:p>
              </w:tc>
              <w:tc>
                <w:tcPr>
                  <w:tcW w:w="1217" w:type="pct"/>
                  <w:tcBorders>
                    <w:tl2br w:val="nil"/>
                    <w:tr2bl w:val="nil"/>
                  </w:tcBorders>
                  <w:noWrap w:val="0"/>
                  <w:vAlign w:val="center"/>
                </w:tcPr>
                <w:p w14:paraId="032E9864">
                  <w:pPr>
                    <w:pStyle w:val="128"/>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w:t>
                  </w:r>
                </w:p>
              </w:tc>
              <w:tc>
                <w:tcPr>
                  <w:tcW w:w="1299" w:type="pct"/>
                  <w:vMerge w:val="continue"/>
                  <w:tcBorders>
                    <w:tl2br w:val="nil"/>
                    <w:tr2bl w:val="nil"/>
                  </w:tcBorders>
                  <w:noWrap w:val="0"/>
                  <w:vAlign w:val="center"/>
                </w:tcPr>
                <w:p w14:paraId="4D825ED8">
                  <w:pPr>
                    <w:pStyle w:val="128"/>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14:textFill>
                        <w14:solidFill>
                          <w14:schemeClr w14:val="tx1"/>
                        </w14:solidFill>
                      </w14:textFill>
                    </w:rPr>
                  </w:pPr>
                </w:p>
              </w:tc>
            </w:tr>
            <w:tr w14:paraId="265298C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82" w:type="pct"/>
                  <w:tcBorders>
                    <w:tl2br w:val="nil"/>
                    <w:tr2bl w:val="nil"/>
                  </w:tcBorders>
                  <w:noWrap w:val="0"/>
                  <w:vAlign w:val="center"/>
                </w:tcPr>
                <w:p w14:paraId="190A45B5">
                  <w:pPr>
                    <w:pStyle w:val="128"/>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氮氧化物</w:t>
                  </w:r>
                </w:p>
              </w:tc>
              <w:tc>
                <w:tcPr>
                  <w:tcW w:w="1217" w:type="pct"/>
                  <w:tcBorders>
                    <w:tl2br w:val="nil"/>
                    <w:tr2bl w:val="nil"/>
                  </w:tcBorders>
                  <w:noWrap w:val="0"/>
                  <w:vAlign w:val="center"/>
                </w:tcPr>
                <w:p w14:paraId="1C3CB2E6">
                  <w:pPr>
                    <w:pStyle w:val="128"/>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c>
                <w:tcPr>
                  <w:tcW w:w="1299" w:type="pct"/>
                  <w:vMerge w:val="continue"/>
                  <w:tcBorders>
                    <w:tl2br w:val="nil"/>
                    <w:tr2bl w:val="nil"/>
                  </w:tcBorders>
                  <w:noWrap w:val="0"/>
                  <w:vAlign w:val="center"/>
                </w:tcPr>
                <w:p w14:paraId="514644A0">
                  <w:pPr>
                    <w:pStyle w:val="128"/>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14:textFill>
                        <w14:solidFill>
                          <w14:schemeClr w14:val="tx1"/>
                        </w14:solidFill>
                      </w14:textFill>
                    </w:rPr>
                  </w:pPr>
                </w:p>
              </w:tc>
            </w:tr>
            <w:tr w14:paraId="649D267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82" w:type="pct"/>
                  <w:tcBorders>
                    <w:tl2br w:val="nil"/>
                    <w:tr2bl w:val="nil"/>
                  </w:tcBorders>
                  <w:noWrap w:val="0"/>
                  <w:vAlign w:val="center"/>
                </w:tcPr>
                <w:p w14:paraId="57881CCE">
                  <w:pPr>
                    <w:pStyle w:val="128"/>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烟气黑度（林格曼黑度，级）</w:t>
                  </w:r>
                </w:p>
              </w:tc>
              <w:tc>
                <w:tcPr>
                  <w:tcW w:w="1217" w:type="pct"/>
                  <w:tcBorders>
                    <w:tl2br w:val="nil"/>
                    <w:tr2bl w:val="nil"/>
                  </w:tcBorders>
                  <w:noWrap w:val="0"/>
                  <w:vAlign w:val="center"/>
                </w:tcPr>
                <w:p w14:paraId="66EBF492">
                  <w:pPr>
                    <w:pStyle w:val="128"/>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1299" w:type="pct"/>
                  <w:tcBorders>
                    <w:tl2br w:val="nil"/>
                    <w:tr2bl w:val="nil"/>
                  </w:tcBorders>
                  <w:noWrap w:val="0"/>
                  <w:vAlign w:val="center"/>
                </w:tcPr>
                <w:p w14:paraId="0E40A3A4">
                  <w:pPr>
                    <w:pStyle w:val="128"/>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烟囱排放口</w:t>
                  </w:r>
                </w:p>
              </w:tc>
            </w:tr>
          </w:tbl>
          <w:p w14:paraId="57F6403F">
            <w:pPr>
              <w:spacing w:line="360" w:lineRule="auto"/>
              <w:ind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根据《锅炉大气污染物排放标准》（GB13271-2014）</w:t>
            </w:r>
            <w:r>
              <w:rPr>
                <w:rFonts w:hint="default" w:ascii="Times New Roman" w:hAnsi="Times New Roman" w:cs="Times New Roman"/>
                <w:color w:val="000000" w:themeColor="text1"/>
                <w:sz w:val="24"/>
                <w:lang w:eastAsia="zh-CN"/>
                <w14:textFill>
                  <w14:solidFill>
                    <w14:schemeClr w14:val="tx1"/>
                  </w14:solidFill>
                </w14:textFill>
              </w:rPr>
              <w:t>中</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4.5 每个新建燃煤锅炉房只能设一根烟囱，烟囱高度应根据锅炉房装机总容量，按表4规定执行，燃油、燃气锅炉烟囱不低于8米，锅炉烟囱的具体高度按批复的环境影响评价文件确定。新建锅炉房的烟囱周围半径200m距离内有建筑物时，其烟囱应高出最高建筑物3m以上。</w:t>
            </w:r>
            <w:r>
              <w:rPr>
                <w:rFonts w:hint="eastAsia" w:ascii="Times New Roman" w:hAnsi="Times New Roman" w:cs="Times New Roman"/>
                <w:color w:val="000000" w:themeColor="text1"/>
                <w:sz w:val="24"/>
                <w:lang w:eastAsia="zh-CN"/>
                <w14:textFill>
                  <w14:solidFill>
                    <w14:schemeClr w14:val="tx1"/>
                  </w14:solidFill>
                </w14:textFill>
              </w:rPr>
              <w:t>”</w:t>
            </w:r>
          </w:p>
          <w:p w14:paraId="3177AE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表</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3-10 燃煤锅炉房最低允许高度</w:t>
            </w:r>
          </w:p>
          <w:tbl>
            <w:tblPr>
              <w:tblStyle w:val="34"/>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923"/>
              <w:gridCol w:w="1043"/>
              <w:gridCol w:w="1043"/>
              <w:gridCol w:w="1044"/>
              <w:gridCol w:w="1044"/>
              <w:gridCol w:w="1044"/>
              <w:gridCol w:w="1044"/>
            </w:tblGrid>
            <w:tr w14:paraId="50630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trPr>
              <w:tc>
                <w:tcPr>
                  <w:tcW w:w="1163" w:type="dxa"/>
                  <w:vMerge w:val="restart"/>
                  <w:noWrap w:val="0"/>
                  <w:vAlign w:val="center"/>
                </w:tcPr>
                <w:p w14:paraId="66F1E0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锅炉房装机总容量</w:t>
                  </w:r>
                </w:p>
              </w:tc>
              <w:tc>
                <w:tcPr>
                  <w:tcW w:w="923" w:type="dxa"/>
                  <w:noWrap w:val="0"/>
                  <w:vAlign w:val="center"/>
                </w:tcPr>
                <w:p w14:paraId="40F230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w:t>
                  </w:r>
                </w:p>
              </w:tc>
              <w:tc>
                <w:tcPr>
                  <w:tcW w:w="1043" w:type="dxa"/>
                  <w:noWrap w:val="0"/>
                  <w:vAlign w:val="center"/>
                </w:tcPr>
                <w:p w14:paraId="0ED900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＜0.7</w:t>
                  </w:r>
                </w:p>
              </w:tc>
              <w:tc>
                <w:tcPr>
                  <w:tcW w:w="1043" w:type="dxa"/>
                  <w:noWrap w:val="0"/>
                  <w:vAlign w:val="center"/>
                </w:tcPr>
                <w:p w14:paraId="646330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0.7~＜1.4</w:t>
                  </w:r>
                </w:p>
              </w:tc>
              <w:tc>
                <w:tcPr>
                  <w:tcW w:w="1044" w:type="dxa"/>
                  <w:noWrap w:val="0"/>
                  <w:vAlign w:val="center"/>
                </w:tcPr>
                <w:p w14:paraId="4EF02C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1.4~＜2.8</w:t>
                  </w:r>
                </w:p>
              </w:tc>
              <w:tc>
                <w:tcPr>
                  <w:tcW w:w="1044" w:type="dxa"/>
                  <w:noWrap w:val="0"/>
                  <w:vAlign w:val="center"/>
                </w:tcPr>
                <w:p w14:paraId="5C458D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2.8~＜7</w:t>
                  </w:r>
                </w:p>
              </w:tc>
              <w:tc>
                <w:tcPr>
                  <w:tcW w:w="1044" w:type="dxa"/>
                  <w:noWrap w:val="0"/>
                  <w:vAlign w:val="center"/>
                </w:tcPr>
                <w:p w14:paraId="45D8F7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7~＜14</w:t>
                  </w:r>
                </w:p>
              </w:tc>
              <w:tc>
                <w:tcPr>
                  <w:tcW w:w="1044" w:type="dxa"/>
                  <w:noWrap w:val="0"/>
                  <w:vAlign w:val="center"/>
                </w:tcPr>
                <w:p w14:paraId="07FE8A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≥14</w:t>
                  </w:r>
                </w:p>
              </w:tc>
            </w:tr>
            <w:tr w14:paraId="798AD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Merge w:val="continue"/>
                  <w:noWrap w:val="0"/>
                  <w:vAlign w:val="center"/>
                </w:tcPr>
                <w:p w14:paraId="2437E4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923" w:type="dxa"/>
                  <w:noWrap w:val="0"/>
                  <w:vAlign w:val="center"/>
                </w:tcPr>
                <w:p w14:paraId="3A61AA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t/h</w:t>
                  </w:r>
                </w:p>
              </w:tc>
              <w:tc>
                <w:tcPr>
                  <w:tcW w:w="1043" w:type="dxa"/>
                  <w:noWrap w:val="0"/>
                  <w:vAlign w:val="center"/>
                </w:tcPr>
                <w:p w14:paraId="37F9CD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w:t>
                  </w:r>
                </w:p>
              </w:tc>
              <w:tc>
                <w:tcPr>
                  <w:tcW w:w="1043" w:type="dxa"/>
                  <w:noWrap w:val="0"/>
                  <w:vAlign w:val="center"/>
                </w:tcPr>
                <w:p w14:paraId="6601E4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1~＜2</w:t>
                  </w:r>
                </w:p>
              </w:tc>
              <w:tc>
                <w:tcPr>
                  <w:tcW w:w="1044" w:type="dxa"/>
                  <w:noWrap w:val="0"/>
                  <w:vAlign w:val="center"/>
                </w:tcPr>
                <w:p w14:paraId="3F723E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2~＜4</w:t>
                  </w:r>
                </w:p>
              </w:tc>
              <w:tc>
                <w:tcPr>
                  <w:tcW w:w="1044" w:type="dxa"/>
                  <w:noWrap w:val="0"/>
                  <w:vAlign w:val="center"/>
                </w:tcPr>
                <w:p w14:paraId="63AD37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4~＜10</w:t>
                  </w:r>
                </w:p>
              </w:tc>
              <w:tc>
                <w:tcPr>
                  <w:tcW w:w="1044" w:type="dxa"/>
                  <w:noWrap w:val="0"/>
                  <w:vAlign w:val="center"/>
                </w:tcPr>
                <w:p w14:paraId="74DBBA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10~＜20</w:t>
                  </w:r>
                </w:p>
              </w:tc>
              <w:tc>
                <w:tcPr>
                  <w:tcW w:w="1044" w:type="dxa"/>
                  <w:noWrap w:val="0"/>
                  <w:vAlign w:val="center"/>
                </w:tcPr>
                <w:p w14:paraId="651672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≥20</w:t>
                  </w:r>
                </w:p>
              </w:tc>
            </w:tr>
            <w:tr w14:paraId="2ADEB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3" w:type="dxa"/>
                  <w:noWrap w:val="0"/>
                  <w:vAlign w:val="center"/>
                </w:tcPr>
                <w:p w14:paraId="0A65F4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烟囱最低允许高度</w:t>
                  </w:r>
                </w:p>
              </w:tc>
              <w:tc>
                <w:tcPr>
                  <w:tcW w:w="923" w:type="dxa"/>
                  <w:noWrap w:val="0"/>
                  <w:vAlign w:val="center"/>
                </w:tcPr>
                <w:p w14:paraId="3E3151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p>
              </w:tc>
              <w:tc>
                <w:tcPr>
                  <w:tcW w:w="1043" w:type="dxa"/>
                  <w:noWrap w:val="0"/>
                  <w:vAlign w:val="center"/>
                </w:tcPr>
                <w:p w14:paraId="4F411A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20</w:t>
                  </w:r>
                </w:p>
              </w:tc>
              <w:tc>
                <w:tcPr>
                  <w:tcW w:w="1043" w:type="dxa"/>
                  <w:noWrap w:val="0"/>
                  <w:vAlign w:val="center"/>
                </w:tcPr>
                <w:p w14:paraId="60E981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25</w:t>
                  </w:r>
                </w:p>
              </w:tc>
              <w:tc>
                <w:tcPr>
                  <w:tcW w:w="1044" w:type="dxa"/>
                  <w:noWrap w:val="0"/>
                  <w:vAlign w:val="center"/>
                </w:tcPr>
                <w:p w14:paraId="3EB328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30</w:t>
                  </w:r>
                </w:p>
              </w:tc>
              <w:tc>
                <w:tcPr>
                  <w:tcW w:w="1044" w:type="dxa"/>
                  <w:noWrap w:val="0"/>
                  <w:vAlign w:val="center"/>
                </w:tcPr>
                <w:p w14:paraId="6D54BF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35</w:t>
                  </w:r>
                </w:p>
              </w:tc>
              <w:tc>
                <w:tcPr>
                  <w:tcW w:w="1044" w:type="dxa"/>
                  <w:noWrap w:val="0"/>
                  <w:vAlign w:val="center"/>
                </w:tcPr>
                <w:p w14:paraId="2CDA64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40</w:t>
                  </w:r>
                </w:p>
              </w:tc>
              <w:tc>
                <w:tcPr>
                  <w:tcW w:w="1044" w:type="dxa"/>
                  <w:noWrap w:val="0"/>
                  <w:vAlign w:val="center"/>
                </w:tcPr>
                <w:p w14:paraId="672DB4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45</w:t>
                  </w:r>
                </w:p>
              </w:tc>
            </w:tr>
          </w:tbl>
          <w:p w14:paraId="2C2D0A96">
            <w:pPr>
              <w:spacing w:line="360" w:lineRule="auto"/>
              <w:ind w:firstLine="480" w:firstLineChars="200"/>
              <w:rPr>
                <w:rFonts w:hint="eastAsia"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本项目拟设置</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台</w:t>
            </w:r>
            <w:r>
              <w:rPr>
                <w:rFonts w:hint="eastAsia"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t/h生物质</w:t>
            </w:r>
            <w:r>
              <w:rPr>
                <w:rFonts w:hint="default" w:ascii="Times New Roman" w:hAnsi="Times New Roman" w:cs="Times New Roman"/>
                <w:color w:val="000000" w:themeColor="text1"/>
                <w:sz w:val="24"/>
                <w:shd w:val="clear" w:color="auto" w:fill="FFFFFF"/>
                <w14:textFill>
                  <w14:solidFill>
                    <w14:schemeClr w14:val="tx1"/>
                  </w14:solidFill>
                </w14:textFill>
              </w:rPr>
              <w:t>锅炉，</w:t>
            </w:r>
            <w:r>
              <w:rPr>
                <w:rFonts w:hint="default" w:ascii="Times New Roman" w:hAnsi="Times New Roman" w:cs="Times New Roman"/>
                <w:color w:val="000000" w:themeColor="text1"/>
                <w:sz w:val="24"/>
                <w14:textFill>
                  <w14:solidFill>
                    <w14:schemeClr w14:val="tx1"/>
                  </w14:solidFill>
                </w14:textFill>
              </w:rPr>
              <w:t>根据要求，烟囱高度最低允许高度为</w:t>
            </w:r>
            <w:r>
              <w:rPr>
                <w:rFonts w:hint="eastAsia" w:ascii="Times New Roman" w:hAnsi="Times New Roman" w:cs="Times New Roman"/>
                <w:color w:val="000000" w:themeColor="text1"/>
                <w:sz w:val="24"/>
                <w:lang w:val="en-US" w:eastAsia="zh-CN"/>
                <w14:textFill>
                  <w14:solidFill>
                    <w14:schemeClr w14:val="tx1"/>
                  </w14:solidFill>
                </w14:textFill>
              </w:rPr>
              <w:t>30</w:t>
            </w:r>
            <w:r>
              <w:rPr>
                <w:rFonts w:hint="default" w:ascii="Times New Roman" w:hAnsi="Times New Roman" w:cs="Times New Roman"/>
                <w:color w:val="000000" w:themeColor="text1"/>
                <w:sz w:val="24"/>
                <w14:textFill>
                  <w14:solidFill>
                    <w14:schemeClr w14:val="tx1"/>
                  </w14:solidFill>
                </w14:textFill>
              </w:rPr>
              <w:t>m。</w:t>
            </w:r>
            <w:r>
              <w:rPr>
                <w:rFonts w:hint="eastAsia" w:cs="Times New Roman"/>
                <w:color w:val="000000" w:themeColor="text1"/>
                <w:sz w:val="24"/>
                <w:lang w:eastAsia="zh-CN"/>
                <w14:textFill>
                  <w14:solidFill>
                    <w14:schemeClr w14:val="tx1"/>
                  </w14:solidFill>
                </w14:textFill>
              </w:rPr>
              <w:t>本项目设置有</w:t>
            </w:r>
            <w:r>
              <w:rPr>
                <w:rFonts w:hint="eastAsia" w:cs="Times New Roman"/>
                <w:color w:val="000000" w:themeColor="text1"/>
                <w:sz w:val="24"/>
                <w:lang w:val="en-US" w:eastAsia="zh-CN"/>
                <w14:textFill>
                  <w14:solidFill>
                    <w14:schemeClr w14:val="tx1"/>
                  </w14:solidFill>
                </w14:textFill>
              </w:rPr>
              <w:t>1根30m高排气筒DA001，排气筒高度满足</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锅炉大气污染物排放标准</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GB13271-2014</w:t>
            </w:r>
            <w:r>
              <w:rPr>
                <w:rFonts w:hint="default" w:ascii="Times New Roman" w:hAnsi="Times New Roman" w:cs="Times New Roman"/>
                <w:color w:val="000000" w:themeColor="text1"/>
                <w:sz w:val="24"/>
                <w:lang w:eastAsia="zh-CN"/>
                <w14:textFill>
                  <w14:solidFill>
                    <w14:schemeClr w14:val="tx1"/>
                  </w14:solidFill>
                </w14:textFill>
              </w:rPr>
              <w:t>）中表</w:t>
            </w:r>
            <w:r>
              <w:rPr>
                <w:rFonts w:hint="default" w:ascii="Times New Roman" w:hAnsi="Times New Roman" w:cs="Times New Roman"/>
                <w:color w:val="000000" w:themeColor="text1"/>
                <w:sz w:val="24"/>
                <w:lang w:val="en-US" w:eastAsia="zh-CN"/>
                <w14:textFill>
                  <w14:solidFill>
                    <w14:schemeClr w14:val="tx1"/>
                  </w14:solidFill>
                </w14:textFill>
              </w:rPr>
              <w:t xml:space="preserve">4 </w:t>
            </w:r>
            <w:r>
              <w:rPr>
                <w:rFonts w:hint="eastAsia" w:ascii="Times New Roman" w:hAnsi="Times New Roman" w:cs="Times New Roman"/>
                <w:color w:val="000000" w:themeColor="text1"/>
                <w:sz w:val="24"/>
                <w:lang w:val="en-US" w:eastAsia="zh-CN"/>
                <w14:textFill>
                  <w14:solidFill>
                    <w14:schemeClr w14:val="tx1"/>
                  </w14:solidFill>
                </w14:textFill>
              </w:rPr>
              <w:t>要求。</w:t>
            </w:r>
          </w:p>
          <w:p w14:paraId="4DCD377B">
            <w:pPr>
              <w:spacing w:line="360" w:lineRule="auto"/>
              <w:ind w:firstLine="480" w:firstLineChars="200"/>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根据调查，项目周边200m范围内地势南高北低，北侧主要建筑物为石花村住户居民楼，居民楼高度约8~12m；南侧主要建筑物为周边企业生产车间，生产车间高度约9~13m。项目区南侧企业（峨山县鑫旭再生资源回收有限公司）地势较本项目地势高约10m，该企业生产车间高度约13m，建筑总高度约23m。</w:t>
            </w:r>
            <w:r>
              <w:rPr>
                <w:rFonts w:hint="eastAsia" w:cs="Times New Roman"/>
                <w:color w:val="000000" w:themeColor="text1"/>
                <w:sz w:val="24"/>
                <w:lang w:eastAsia="zh-CN"/>
                <w14:textFill>
                  <w14:solidFill>
                    <w14:schemeClr w14:val="tx1"/>
                  </w14:solidFill>
                </w14:textFill>
              </w:rPr>
              <w:t>本项目锅炉房设置的</w:t>
            </w:r>
            <w:r>
              <w:rPr>
                <w:rFonts w:hint="eastAsia" w:cs="Times New Roman"/>
                <w:color w:val="000000" w:themeColor="text1"/>
                <w:sz w:val="24"/>
                <w:lang w:val="en-US" w:eastAsia="zh-CN"/>
                <w14:textFill>
                  <w14:solidFill>
                    <w14:schemeClr w14:val="tx1"/>
                  </w14:solidFill>
                </w14:textFill>
              </w:rPr>
              <w:t>1根30m高排气筒DA001，</w:t>
            </w:r>
            <w:r>
              <w:rPr>
                <w:rFonts w:hint="default" w:ascii="Times New Roman" w:hAnsi="Times New Roman" w:cs="Times New Roman"/>
                <w:color w:val="000000" w:themeColor="text1"/>
                <w:sz w:val="24"/>
                <w:lang w:eastAsia="zh-CN"/>
                <w14:textFill>
                  <w14:solidFill>
                    <w14:schemeClr w14:val="tx1"/>
                  </w14:solidFill>
                </w14:textFill>
              </w:rPr>
              <w:t>高出</w:t>
            </w:r>
            <w:r>
              <w:rPr>
                <w:rFonts w:hint="eastAsia" w:ascii="Times New Roman" w:hAnsi="Times New Roman" w:cs="Times New Roman"/>
                <w:color w:val="000000" w:themeColor="text1"/>
                <w:sz w:val="24"/>
                <w:lang w:eastAsia="zh-CN"/>
                <w14:textFill>
                  <w14:solidFill>
                    <w14:schemeClr w14:val="tx1"/>
                  </w14:solidFill>
                </w14:textFill>
              </w:rPr>
              <w:t>周边</w:t>
            </w:r>
            <w:r>
              <w:rPr>
                <w:rFonts w:hint="default" w:ascii="Times New Roman" w:hAnsi="Times New Roman" w:cs="Times New Roman"/>
                <w:color w:val="000000" w:themeColor="text1"/>
                <w:sz w:val="24"/>
                <w:lang w:eastAsia="zh-CN"/>
                <w14:textFill>
                  <w14:solidFill>
                    <w14:schemeClr w14:val="tx1"/>
                  </w14:solidFill>
                </w14:textFill>
              </w:rPr>
              <w:t>最高建筑物3m以上</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满足</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锅炉大气污染物排放标准</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GB13271-2014</w:t>
            </w:r>
            <w:r>
              <w:rPr>
                <w:rFonts w:hint="default" w:ascii="Times New Roman" w:hAnsi="Times New Roman" w:cs="Times New Roman"/>
                <w:color w:val="000000" w:themeColor="text1"/>
                <w:sz w:val="24"/>
                <w:lang w:eastAsia="zh-CN"/>
                <w14:textFill>
                  <w14:solidFill>
                    <w14:schemeClr w14:val="tx1"/>
                  </w14:solidFill>
                </w14:textFill>
              </w:rPr>
              <w:t>）中</w:t>
            </w:r>
            <w:r>
              <w:rPr>
                <w:rFonts w:hint="eastAsia" w:ascii="Times New Roman" w:hAnsi="Times New Roman" w:cs="Times New Roman"/>
                <w:color w:val="000000" w:themeColor="text1"/>
                <w:sz w:val="24"/>
                <w:lang w:eastAsia="zh-CN"/>
                <w14:textFill>
                  <w14:solidFill>
                    <w14:schemeClr w14:val="tx1"/>
                  </w14:solidFill>
                </w14:textFill>
              </w:rPr>
              <w:t>相关</w:t>
            </w:r>
            <w:r>
              <w:rPr>
                <w:rFonts w:hint="eastAsia" w:ascii="Times New Roman" w:hAnsi="Times New Roman" w:cs="Times New Roman"/>
                <w:color w:val="000000" w:themeColor="text1"/>
                <w:sz w:val="24"/>
                <w:lang w:val="en-US" w:eastAsia="zh-CN"/>
                <w14:textFill>
                  <w14:solidFill>
                    <w14:schemeClr w14:val="tx1"/>
                  </w14:solidFill>
                </w14:textFill>
              </w:rPr>
              <w:t>要求。</w:t>
            </w:r>
          </w:p>
          <w:p w14:paraId="4253949B">
            <w:pPr>
              <w:pageBreakBefore w:val="0"/>
              <w:kinsoku/>
              <w:overflowPunct/>
              <w:topLinePunct w:val="0"/>
              <w:bidi w:val="0"/>
              <w:spacing w:line="360" w:lineRule="auto"/>
              <w:ind w:left="0" w:leftChars="0" w:right="0" w:firstLine="480"/>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②有机废气</w:t>
            </w:r>
          </w:p>
          <w:p w14:paraId="7994BDC2">
            <w:pPr>
              <w:pageBreakBefore w:val="0"/>
              <w:kinsoku/>
              <w:overflowPunct/>
              <w:topLinePunct w:val="0"/>
              <w:bidi w:val="0"/>
              <w:spacing w:line="360" w:lineRule="auto"/>
              <w:ind w:left="0" w:leftChars="0" w:right="0" w:firstLine="48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有机废气经集气罩收集后进入“两级活性炭吸附装置”处理后通过1根15m高排气筒DA002排放。</w:t>
            </w:r>
          </w:p>
          <w:p w14:paraId="354CCBEC">
            <w:pPr>
              <w:keepNext w:val="0"/>
              <w:keepLines w:val="0"/>
              <w:pageBreakBefore w:val="0"/>
              <w:widowControl w:val="0"/>
              <w:tabs>
                <w:tab w:val="left" w:pos="483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本项目产生的有机废气以非甲烷总烃</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甲苯、乙苯</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苯乙烯</w:t>
            </w:r>
            <w:r>
              <w:rPr>
                <w:rFonts w:hint="default" w:ascii="Times New Roman" w:hAnsi="Times New Roman" w:cs="Times New Roman" w:eastAsiaTheme="minorEastAsia"/>
                <w:color w:val="000000" w:themeColor="text1"/>
                <w:sz w:val="24"/>
                <w:highlight w:val="none"/>
                <w14:textFill>
                  <w14:solidFill>
                    <w14:schemeClr w14:val="tx1"/>
                  </w14:solidFill>
                </w14:textFill>
              </w:rPr>
              <w:t>计，</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执行</w:t>
            </w:r>
            <w:bookmarkStart w:id="10" w:name="_Hlk37272722"/>
            <w:r>
              <w:rPr>
                <w:rFonts w:hint="default" w:ascii="Times New Roman" w:hAnsi="Times New Roman" w:cs="Times New Roman" w:eastAsiaTheme="minorEastAsia"/>
                <w:color w:val="000000" w:themeColor="text1"/>
                <w:sz w:val="24"/>
                <w:highlight w:val="none"/>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合成树脂工业污染物排放标准</w:t>
            </w:r>
            <w:r>
              <w:rPr>
                <w:rFonts w:hint="default" w:ascii="Times New Roman" w:hAnsi="Times New Roman" w:cs="Times New Roman" w:eastAsiaTheme="minorEastAsia"/>
                <w:color w:val="000000" w:themeColor="text1"/>
                <w:sz w:val="24"/>
                <w:highlight w:val="none"/>
                <w14:textFill>
                  <w14:solidFill>
                    <w14:schemeClr w14:val="tx1"/>
                  </w14:solidFill>
                </w14:textFill>
              </w:rPr>
              <w:t>》</w:t>
            </w:r>
            <w:r>
              <w:rPr>
                <w:rFonts w:hint="eastAsia"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GB</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31572</w:t>
            </w:r>
            <w:r>
              <w:rPr>
                <w:rFonts w:hint="default" w:ascii="Times New Roman" w:hAnsi="Times New Roman" w:cs="Times New Roman" w:eastAsiaTheme="minorEastAsia"/>
                <w:color w:val="000000" w:themeColor="text1"/>
                <w:sz w:val="24"/>
                <w:highlight w:val="none"/>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2015</w:t>
            </w:r>
            <w:r>
              <w:rPr>
                <w:rFonts w:hint="eastAsia" w:cs="Times New Roman" w:eastAsiaTheme="minorEastAsia"/>
                <w:color w:val="000000" w:themeColor="text1"/>
                <w:sz w:val="24"/>
                <w:highlight w:val="none"/>
                <w:lang w:eastAsia="zh-CN"/>
                <w14:textFill>
                  <w14:solidFill>
                    <w14:schemeClr w14:val="tx1"/>
                  </w14:solidFill>
                </w14:textFill>
              </w:rPr>
              <w:t>及2024年修改单</w:t>
            </w:r>
            <w:r>
              <w:rPr>
                <w:rFonts w:hint="eastAsia"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表</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highlight w:val="none"/>
                <w14:textFill>
                  <w14:solidFill>
                    <w14:schemeClr w14:val="tx1"/>
                  </w14:solidFill>
                </w14:textFill>
              </w:rPr>
              <w:t>标准</w:t>
            </w:r>
            <w:bookmarkEnd w:id="10"/>
            <w:r>
              <w:rPr>
                <w:rFonts w:hint="default" w:ascii="Times New Roman" w:hAnsi="Times New Roman" w:cs="Times New Roman" w:eastAsiaTheme="minorEastAsia"/>
                <w:color w:val="000000" w:themeColor="text1"/>
                <w:sz w:val="24"/>
                <w:highlight w:val="none"/>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臭气浓度执行</w:t>
            </w:r>
            <w:r>
              <w:rPr>
                <w:rFonts w:hint="default" w:ascii="Times New Roman" w:hAnsi="Times New Roman" w:cs="Times New Roman" w:eastAsiaTheme="minorEastAsia"/>
                <w:color w:val="000000" w:themeColor="text1"/>
                <w:sz w:val="24"/>
                <w:highlight w:val="none"/>
                <w:lang w:val="zh-CN" w:eastAsia="zh-CN"/>
                <w14:textFill>
                  <w14:solidFill>
                    <w14:schemeClr w14:val="tx1"/>
                  </w14:solidFill>
                </w14:textFill>
              </w:rPr>
              <w:t>《恶臭污染物排放标准》（GB14554-93）</w:t>
            </w:r>
            <w:r>
              <w:rPr>
                <w:rFonts w:hint="default" w:ascii="Times New Roman" w:hAnsi="Times New Roman" w:cs="Times New Roman" w:eastAsiaTheme="minorEastAsia"/>
                <w:color w:val="000000" w:themeColor="text1"/>
                <w:sz w:val="24"/>
                <w:highlight w:val="none"/>
                <w14:textFill>
                  <w14:solidFill>
                    <w14:schemeClr w14:val="tx1"/>
                  </w14:solidFill>
                </w14:textFill>
              </w:rPr>
              <w:t>表2限值</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具</w:t>
            </w:r>
            <w:r>
              <w:rPr>
                <w:rFonts w:hint="default" w:ascii="Times New Roman" w:hAnsi="Times New Roman" w:cs="Times New Roman" w:eastAsiaTheme="minorEastAsia"/>
                <w:color w:val="000000" w:themeColor="text1"/>
                <w:sz w:val="24"/>
                <w:highlight w:val="none"/>
                <w14:textFill>
                  <w14:solidFill>
                    <w14:schemeClr w14:val="tx1"/>
                  </w14:solidFill>
                </w14:textFill>
              </w:rPr>
              <w:t>体</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标准</w:t>
            </w:r>
            <w:r>
              <w:rPr>
                <w:rFonts w:hint="default" w:ascii="Times New Roman" w:hAnsi="Times New Roman" w:cs="Times New Roman" w:eastAsiaTheme="minorEastAsia"/>
                <w:color w:val="000000" w:themeColor="text1"/>
                <w:sz w:val="24"/>
                <w:highlight w:val="none"/>
                <w14:textFill>
                  <w14:solidFill>
                    <w14:schemeClr w14:val="tx1"/>
                  </w14:solidFill>
                </w14:textFill>
              </w:rPr>
              <w:t>见下表</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p>
          <w:p w14:paraId="58A62F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表3-</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11</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 xml:space="preserve">  挥发性有机物有组织排放限值</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1140"/>
              <w:gridCol w:w="1371"/>
              <w:gridCol w:w="1693"/>
              <w:gridCol w:w="2308"/>
            </w:tblGrid>
            <w:tr w14:paraId="0F07C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1152" w:type="pct"/>
                  <w:tcBorders>
                    <w:top w:val="single" w:color="auto" w:sz="4" w:space="0"/>
                    <w:left w:val="single" w:color="auto" w:sz="4" w:space="0"/>
                    <w:bottom w:val="single" w:color="auto" w:sz="4" w:space="0"/>
                    <w:right w:val="single" w:color="auto" w:sz="4" w:space="0"/>
                  </w:tcBorders>
                  <w:vAlign w:val="center"/>
                </w:tcPr>
                <w:p w14:paraId="4B82150B">
                  <w:pPr>
                    <w:pStyle w:val="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污染物</w:t>
                  </w:r>
                </w:p>
              </w:tc>
              <w:tc>
                <w:tcPr>
                  <w:tcW w:w="673" w:type="pct"/>
                  <w:tcBorders>
                    <w:top w:val="single" w:color="auto" w:sz="4" w:space="0"/>
                    <w:left w:val="single" w:color="auto" w:sz="4" w:space="0"/>
                    <w:right w:val="single" w:color="auto" w:sz="4" w:space="0"/>
                  </w:tcBorders>
                  <w:vAlign w:val="center"/>
                </w:tcPr>
                <w:p w14:paraId="746DCFBA">
                  <w:pPr>
                    <w:pStyle w:val="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排气筒高度（m）</w:t>
                  </w:r>
                </w:p>
              </w:tc>
              <w:tc>
                <w:tcPr>
                  <w:tcW w:w="810" w:type="pct"/>
                  <w:tcBorders>
                    <w:top w:val="single" w:color="auto" w:sz="4" w:space="0"/>
                    <w:left w:val="single" w:color="auto" w:sz="4" w:space="0"/>
                    <w:bottom w:val="single" w:color="auto" w:sz="4" w:space="0"/>
                    <w:right w:val="single" w:color="auto" w:sz="4" w:space="0"/>
                  </w:tcBorders>
                  <w:vAlign w:val="center"/>
                </w:tcPr>
                <w:p w14:paraId="4CA38F39">
                  <w:pPr>
                    <w:pStyle w:val="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最高允许浓度（mg/m</w:t>
                  </w:r>
                  <w:r>
                    <w:rPr>
                      <w:rFonts w:hint="default" w:ascii="Times New Roman" w:hAnsi="Times New Roman" w:cs="Times New Roman" w:eastAsiaTheme="minorEastAsia"/>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w:t>
                  </w:r>
                </w:p>
              </w:tc>
              <w:tc>
                <w:tcPr>
                  <w:tcW w:w="1000" w:type="pct"/>
                  <w:tcBorders>
                    <w:top w:val="single" w:color="auto" w:sz="4" w:space="0"/>
                    <w:left w:val="single" w:color="auto" w:sz="4" w:space="0"/>
                    <w:bottom w:val="single" w:color="auto" w:sz="4" w:space="0"/>
                    <w:right w:val="single" w:color="auto" w:sz="4" w:space="0"/>
                  </w:tcBorders>
                  <w:vAlign w:val="center"/>
                </w:tcPr>
                <w:p w14:paraId="3F6BF72B">
                  <w:pPr>
                    <w:pStyle w:val="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最高允许排放速率（kg/h）</w:t>
                  </w:r>
                </w:p>
              </w:tc>
              <w:tc>
                <w:tcPr>
                  <w:tcW w:w="1363" w:type="pct"/>
                  <w:tcBorders>
                    <w:top w:val="single" w:color="auto" w:sz="4" w:space="0"/>
                    <w:left w:val="single" w:color="auto" w:sz="4" w:space="0"/>
                    <w:bottom w:val="single" w:color="auto" w:sz="4" w:space="0"/>
                    <w:right w:val="single" w:color="auto" w:sz="4" w:space="0"/>
                  </w:tcBorders>
                  <w:vAlign w:val="center"/>
                </w:tcPr>
                <w:p w14:paraId="320F01CE">
                  <w:pPr>
                    <w:pStyle w:val="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标准来源</w:t>
                  </w:r>
                </w:p>
              </w:tc>
            </w:tr>
            <w:tr w14:paraId="7E0F2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2" w:type="pct"/>
                  <w:tcBorders>
                    <w:top w:val="single" w:color="auto" w:sz="4" w:space="0"/>
                    <w:left w:val="single" w:color="auto" w:sz="4" w:space="0"/>
                    <w:bottom w:val="single" w:color="auto" w:sz="4" w:space="0"/>
                    <w:right w:val="single" w:color="auto" w:sz="4" w:space="0"/>
                  </w:tcBorders>
                  <w:vAlign w:val="center"/>
                </w:tcPr>
                <w:p w14:paraId="3219D6F0">
                  <w:pPr>
                    <w:pStyle w:val="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非甲烷总烃</w:t>
                  </w:r>
                </w:p>
              </w:tc>
              <w:tc>
                <w:tcPr>
                  <w:tcW w:w="673" w:type="pct"/>
                  <w:vMerge w:val="restart"/>
                  <w:tcBorders>
                    <w:top w:val="single" w:color="auto" w:sz="4" w:space="0"/>
                    <w:left w:val="single" w:color="auto" w:sz="4" w:space="0"/>
                    <w:right w:val="single" w:color="auto" w:sz="4" w:space="0"/>
                  </w:tcBorders>
                  <w:vAlign w:val="center"/>
                </w:tcPr>
                <w:p w14:paraId="56FFA751">
                  <w:pPr>
                    <w:pStyle w:val="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15</w:t>
                  </w:r>
                </w:p>
              </w:tc>
              <w:tc>
                <w:tcPr>
                  <w:tcW w:w="810" w:type="pct"/>
                  <w:tcBorders>
                    <w:top w:val="single" w:color="auto" w:sz="4" w:space="0"/>
                    <w:left w:val="single" w:color="auto" w:sz="4" w:space="0"/>
                    <w:bottom w:val="single" w:color="auto" w:sz="4" w:space="0"/>
                    <w:right w:val="single" w:color="auto" w:sz="4" w:space="0"/>
                  </w:tcBorders>
                  <w:vAlign w:val="center"/>
                </w:tcPr>
                <w:p w14:paraId="6F66D320">
                  <w:pPr>
                    <w:pStyle w:val="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100</w:t>
                  </w:r>
                </w:p>
              </w:tc>
              <w:tc>
                <w:tcPr>
                  <w:tcW w:w="1000" w:type="pct"/>
                  <w:tcBorders>
                    <w:top w:val="single" w:color="auto" w:sz="4" w:space="0"/>
                    <w:left w:val="single" w:color="auto" w:sz="4" w:space="0"/>
                    <w:bottom w:val="single" w:color="auto" w:sz="4" w:space="0"/>
                    <w:right w:val="single" w:color="auto" w:sz="4" w:space="0"/>
                  </w:tcBorders>
                  <w:vAlign w:val="center"/>
                </w:tcPr>
                <w:p w14:paraId="26AC76FE">
                  <w:pPr>
                    <w:pStyle w:val="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w:t>
                  </w:r>
                </w:p>
              </w:tc>
              <w:tc>
                <w:tcPr>
                  <w:tcW w:w="1363" w:type="pct"/>
                  <w:vMerge w:val="restart"/>
                  <w:tcBorders>
                    <w:top w:val="single" w:color="auto" w:sz="4" w:space="0"/>
                    <w:left w:val="single" w:color="auto" w:sz="4" w:space="0"/>
                    <w:right w:val="single" w:color="auto" w:sz="4" w:space="0"/>
                  </w:tcBorders>
                  <w:vAlign w:val="center"/>
                </w:tcPr>
                <w:p w14:paraId="1C474B3A">
                  <w:pPr>
                    <w:pStyle w:val="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《合成树脂工业污染物排放标准》（</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GB31572-2015</w:t>
                  </w: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含2024年修改单）</w:t>
                  </w:r>
                </w:p>
              </w:tc>
            </w:tr>
            <w:tr w14:paraId="6FD86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2" w:type="pct"/>
                  <w:tcBorders>
                    <w:top w:val="single" w:color="auto" w:sz="4" w:space="0"/>
                    <w:left w:val="single" w:color="auto" w:sz="4" w:space="0"/>
                    <w:bottom w:val="single" w:color="auto" w:sz="4" w:space="0"/>
                    <w:right w:val="single" w:color="auto" w:sz="4" w:space="0"/>
                  </w:tcBorders>
                  <w:shd w:val="clear" w:color="auto" w:fill="auto"/>
                  <w:vAlign w:val="center"/>
                </w:tcPr>
                <w:p w14:paraId="559FEE66">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苯乙烯</w:t>
                  </w:r>
                </w:p>
              </w:tc>
              <w:tc>
                <w:tcPr>
                  <w:tcW w:w="673" w:type="pct"/>
                  <w:vMerge w:val="continue"/>
                  <w:tcBorders>
                    <w:left w:val="single" w:color="auto" w:sz="4" w:space="0"/>
                    <w:right w:val="single" w:color="auto" w:sz="4" w:space="0"/>
                  </w:tcBorders>
                  <w:shd w:val="clear" w:color="auto" w:fill="auto"/>
                  <w:vAlign w:val="center"/>
                </w:tcPr>
                <w:p w14:paraId="70D77690">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14:paraId="26C8CE5A">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50</w:t>
                  </w:r>
                </w:p>
              </w:tc>
              <w:tc>
                <w:tcPr>
                  <w:tcW w:w="1000" w:type="pct"/>
                  <w:tcBorders>
                    <w:top w:val="single" w:color="auto" w:sz="4" w:space="0"/>
                    <w:left w:val="single" w:color="auto" w:sz="4" w:space="0"/>
                    <w:bottom w:val="single" w:color="auto" w:sz="4" w:space="0"/>
                    <w:right w:val="single" w:color="auto" w:sz="4" w:space="0"/>
                  </w:tcBorders>
                  <w:vAlign w:val="center"/>
                </w:tcPr>
                <w:p w14:paraId="2344AEDE">
                  <w:pPr>
                    <w:pStyle w:val="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w:t>
                  </w:r>
                </w:p>
              </w:tc>
              <w:tc>
                <w:tcPr>
                  <w:tcW w:w="1363" w:type="pct"/>
                  <w:vMerge w:val="continue"/>
                  <w:tcBorders>
                    <w:left w:val="single" w:color="auto" w:sz="4" w:space="0"/>
                    <w:right w:val="single" w:color="auto" w:sz="4" w:space="0"/>
                  </w:tcBorders>
                  <w:vAlign w:val="center"/>
                </w:tcPr>
                <w:p w14:paraId="490B8D21">
                  <w:pPr>
                    <w:pStyle w:val="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tc>
            </w:tr>
            <w:tr w14:paraId="4BAC2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2" w:type="pct"/>
                  <w:tcBorders>
                    <w:top w:val="single" w:color="auto" w:sz="4" w:space="0"/>
                    <w:left w:val="single" w:color="auto" w:sz="4" w:space="0"/>
                    <w:bottom w:val="single" w:color="auto" w:sz="4" w:space="0"/>
                    <w:right w:val="single" w:color="auto" w:sz="4" w:space="0"/>
                  </w:tcBorders>
                  <w:shd w:val="clear" w:color="auto" w:fill="auto"/>
                  <w:vAlign w:val="center"/>
                </w:tcPr>
                <w:p w14:paraId="74E18245">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673" w:type="pct"/>
                  <w:vMerge w:val="continue"/>
                  <w:tcBorders>
                    <w:left w:val="single" w:color="auto" w:sz="4" w:space="0"/>
                    <w:right w:val="single" w:color="auto" w:sz="4" w:space="0"/>
                  </w:tcBorders>
                  <w:shd w:val="clear" w:color="auto" w:fill="auto"/>
                  <w:vAlign w:val="center"/>
                </w:tcPr>
                <w:p w14:paraId="6481377D">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14:paraId="4B178440">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30</w:t>
                  </w:r>
                </w:p>
              </w:tc>
              <w:tc>
                <w:tcPr>
                  <w:tcW w:w="1000" w:type="pct"/>
                  <w:tcBorders>
                    <w:top w:val="single" w:color="auto" w:sz="4" w:space="0"/>
                    <w:left w:val="single" w:color="auto" w:sz="4" w:space="0"/>
                    <w:bottom w:val="single" w:color="auto" w:sz="4" w:space="0"/>
                    <w:right w:val="single" w:color="auto" w:sz="4" w:space="0"/>
                  </w:tcBorders>
                  <w:vAlign w:val="center"/>
                </w:tcPr>
                <w:p w14:paraId="4A5D767C">
                  <w:pPr>
                    <w:pStyle w:val="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w:t>
                  </w:r>
                </w:p>
              </w:tc>
              <w:tc>
                <w:tcPr>
                  <w:tcW w:w="1363" w:type="pct"/>
                  <w:vMerge w:val="continue"/>
                  <w:tcBorders>
                    <w:left w:val="single" w:color="auto" w:sz="4" w:space="0"/>
                    <w:right w:val="single" w:color="auto" w:sz="4" w:space="0"/>
                  </w:tcBorders>
                  <w:vAlign w:val="center"/>
                </w:tcPr>
                <w:p w14:paraId="6B0E91A3">
                  <w:pPr>
                    <w:pStyle w:val="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tc>
            </w:tr>
            <w:tr w14:paraId="7417B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2" w:type="pct"/>
                  <w:tcBorders>
                    <w:top w:val="single" w:color="auto" w:sz="4" w:space="0"/>
                    <w:left w:val="single" w:color="auto" w:sz="4" w:space="0"/>
                    <w:bottom w:val="single" w:color="auto" w:sz="4" w:space="0"/>
                    <w:right w:val="single" w:color="auto" w:sz="4" w:space="0"/>
                  </w:tcBorders>
                  <w:vAlign w:val="center"/>
                </w:tcPr>
                <w:p w14:paraId="62792DF4">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甲苯</w:t>
                  </w:r>
                </w:p>
              </w:tc>
              <w:tc>
                <w:tcPr>
                  <w:tcW w:w="673" w:type="pct"/>
                  <w:vMerge w:val="continue"/>
                  <w:tcBorders>
                    <w:left w:val="single" w:color="auto" w:sz="4" w:space="0"/>
                    <w:right w:val="single" w:color="auto" w:sz="4" w:space="0"/>
                  </w:tcBorders>
                  <w:vAlign w:val="center"/>
                </w:tcPr>
                <w:p w14:paraId="2F0C92BD">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810" w:type="pct"/>
                  <w:tcBorders>
                    <w:top w:val="single" w:color="auto" w:sz="4" w:space="0"/>
                    <w:left w:val="single" w:color="auto" w:sz="4" w:space="0"/>
                    <w:bottom w:val="single" w:color="auto" w:sz="4" w:space="0"/>
                    <w:right w:val="single" w:color="auto" w:sz="4" w:space="0"/>
                  </w:tcBorders>
                  <w:vAlign w:val="center"/>
                </w:tcPr>
                <w:p w14:paraId="7FD1F3D1">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15</w:t>
                  </w:r>
                </w:p>
              </w:tc>
              <w:tc>
                <w:tcPr>
                  <w:tcW w:w="1000" w:type="pct"/>
                  <w:tcBorders>
                    <w:top w:val="single" w:color="auto" w:sz="4" w:space="0"/>
                    <w:left w:val="single" w:color="auto" w:sz="4" w:space="0"/>
                    <w:bottom w:val="single" w:color="auto" w:sz="4" w:space="0"/>
                    <w:right w:val="single" w:color="auto" w:sz="4" w:space="0"/>
                  </w:tcBorders>
                  <w:vAlign w:val="center"/>
                </w:tcPr>
                <w:p w14:paraId="7898D8EE">
                  <w:pPr>
                    <w:pStyle w:val="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w:t>
                  </w:r>
                </w:p>
              </w:tc>
              <w:tc>
                <w:tcPr>
                  <w:tcW w:w="1363" w:type="pct"/>
                  <w:vMerge w:val="continue"/>
                  <w:tcBorders>
                    <w:left w:val="single" w:color="auto" w:sz="4" w:space="0"/>
                    <w:right w:val="single" w:color="auto" w:sz="4" w:space="0"/>
                  </w:tcBorders>
                  <w:vAlign w:val="center"/>
                </w:tcPr>
                <w:p w14:paraId="083A225C">
                  <w:pPr>
                    <w:pStyle w:val="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tc>
            </w:tr>
            <w:tr w14:paraId="7D111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52" w:type="pct"/>
                  <w:tcBorders>
                    <w:top w:val="single" w:color="auto" w:sz="4" w:space="0"/>
                    <w:left w:val="single" w:color="auto" w:sz="4" w:space="0"/>
                    <w:bottom w:val="single" w:color="auto" w:sz="4" w:space="0"/>
                    <w:right w:val="single" w:color="auto" w:sz="4" w:space="0"/>
                  </w:tcBorders>
                  <w:vAlign w:val="center"/>
                </w:tcPr>
                <w:p w14:paraId="21FBA346">
                  <w:pPr>
                    <w:pStyle w:val="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乙苯</w:t>
                  </w:r>
                </w:p>
              </w:tc>
              <w:tc>
                <w:tcPr>
                  <w:tcW w:w="673" w:type="pct"/>
                  <w:vMerge w:val="continue"/>
                  <w:tcBorders>
                    <w:left w:val="single" w:color="auto" w:sz="4" w:space="0"/>
                    <w:right w:val="single" w:color="auto" w:sz="4" w:space="0"/>
                  </w:tcBorders>
                  <w:vAlign w:val="center"/>
                </w:tcPr>
                <w:p w14:paraId="3B5115CB">
                  <w:pPr>
                    <w:pStyle w:val="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tc>
              <w:tc>
                <w:tcPr>
                  <w:tcW w:w="810" w:type="pct"/>
                  <w:tcBorders>
                    <w:top w:val="single" w:color="auto" w:sz="4" w:space="0"/>
                    <w:left w:val="single" w:color="auto" w:sz="4" w:space="0"/>
                    <w:bottom w:val="single" w:color="auto" w:sz="4" w:space="0"/>
                    <w:right w:val="single" w:color="auto" w:sz="4" w:space="0"/>
                  </w:tcBorders>
                  <w:vAlign w:val="center"/>
                </w:tcPr>
                <w:p w14:paraId="298DB089">
                  <w:pPr>
                    <w:pStyle w:val="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100</w:t>
                  </w:r>
                </w:p>
              </w:tc>
              <w:tc>
                <w:tcPr>
                  <w:tcW w:w="1000" w:type="pct"/>
                  <w:tcBorders>
                    <w:top w:val="single" w:color="auto" w:sz="4" w:space="0"/>
                    <w:left w:val="single" w:color="auto" w:sz="4" w:space="0"/>
                    <w:bottom w:val="single" w:color="auto" w:sz="4" w:space="0"/>
                    <w:right w:val="single" w:color="auto" w:sz="4" w:space="0"/>
                  </w:tcBorders>
                  <w:vAlign w:val="center"/>
                </w:tcPr>
                <w:p w14:paraId="51CDD231">
                  <w:pPr>
                    <w:pStyle w:val="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w:t>
                  </w:r>
                </w:p>
              </w:tc>
              <w:tc>
                <w:tcPr>
                  <w:tcW w:w="1363" w:type="pct"/>
                  <w:vMerge w:val="continue"/>
                  <w:tcBorders>
                    <w:left w:val="single" w:color="auto" w:sz="4" w:space="0"/>
                    <w:right w:val="single" w:color="auto" w:sz="4" w:space="0"/>
                  </w:tcBorders>
                  <w:vAlign w:val="center"/>
                </w:tcPr>
                <w:p w14:paraId="06E09F6D">
                  <w:pPr>
                    <w:pStyle w:val="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tc>
            </w:tr>
            <w:tr w14:paraId="0CD40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2" w:type="pct"/>
                  <w:tcBorders>
                    <w:top w:val="single" w:color="auto" w:sz="4" w:space="0"/>
                    <w:left w:val="single" w:color="auto" w:sz="4" w:space="0"/>
                    <w:bottom w:val="single" w:color="auto" w:sz="4" w:space="0"/>
                    <w:right w:val="single" w:color="auto" w:sz="4" w:space="0"/>
                  </w:tcBorders>
                  <w:vAlign w:val="center"/>
                </w:tcPr>
                <w:p w14:paraId="2CB190A0">
                  <w:pPr>
                    <w:pStyle w:val="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单位产品非甲烷总烃排放量</w:t>
                  </w:r>
                </w:p>
              </w:tc>
              <w:tc>
                <w:tcPr>
                  <w:tcW w:w="673" w:type="pct"/>
                  <w:vMerge w:val="continue"/>
                  <w:tcBorders>
                    <w:left w:val="single" w:color="auto" w:sz="4" w:space="0"/>
                    <w:right w:val="single" w:color="auto" w:sz="4" w:space="0"/>
                  </w:tcBorders>
                  <w:vAlign w:val="center"/>
                </w:tcPr>
                <w:p w14:paraId="05C11B41">
                  <w:pPr>
                    <w:pStyle w:val="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tc>
              <w:tc>
                <w:tcPr>
                  <w:tcW w:w="1810" w:type="pct"/>
                  <w:gridSpan w:val="2"/>
                  <w:tcBorders>
                    <w:top w:val="single" w:color="auto" w:sz="4" w:space="0"/>
                    <w:left w:val="single" w:color="auto" w:sz="4" w:space="0"/>
                    <w:bottom w:val="single" w:color="auto" w:sz="4" w:space="0"/>
                    <w:right w:val="single" w:color="auto" w:sz="4" w:space="0"/>
                  </w:tcBorders>
                  <w:vAlign w:val="center"/>
                </w:tcPr>
                <w:p w14:paraId="0D4776CF">
                  <w:pPr>
                    <w:pStyle w:val="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0.5kg/t产品</w:t>
                  </w:r>
                </w:p>
              </w:tc>
              <w:tc>
                <w:tcPr>
                  <w:tcW w:w="1363" w:type="pct"/>
                  <w:vMerge w:val="continue"/>
                  <w:tcBorders>
                    <w:left w:val="single" w:color="auto" w:sz="4" w:space="0"/>
                    <w:right w:val="single" w:color="auto" w:sz="4" w:space="0"/>
                  </w:tcBorders>
                  <w:vAlign w:val="center"/>
                </w:tcPr>
                <w:p w14:paraId="4D10E77C">
                  <w:pPr>
                    <w:pStyle w:val="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tc>
            </w:tr>
            <w:tr w14:paraId="718FA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2" w:type="pct"/>
                  <w:tcBorders>
                    <w:top w:val="single" w:color="auto" w:sz="4" w:space="0"/>
                    <w:left w:val="single" w:color="auto" w:sz="4" w:space="0"/>
                    <w:bottom w:val="single" w:color="auto" w:sz="4" w:space="0"/>
                    <w:right w:val="single" w:color="auto" w:sz="4" w:space="0"/>
                  </w:tcBorders>
                  <w:vAlign w:val="center"/>
                </w:tcPr>
                <w:p w14:paraId="4CC3E618">
                  <w:pPr>
                    <w:pStyle w:val="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臭气浓度</w:t>
                  </w:r>
                </w:p>
              </w:tc>
              <w:tc>
                <w:tcPr>
                  <w:tcW w:w="673" w:type="pct"/>
                  <w:vMerge w:val="continue"/>
                  <w:tcBorders>
                    <w:left w:val="single" w:color="auto" w:sz="4" w:space="0"/>
                    <w:bottom w:val="single" w:color="auto" w:sz="4" w:space="0"/>
                    <w:right w:val="single" w:color="auto" w:sz="4" w:space="0"/>
                  </w:tcBorders>
                  <w:vAlign w:val="center"/>
                </w:tcPr>
                <w:p w14:paraId="4254705A">
                  <w:pPr>
                    <w:pStyle w:val="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tc>
              <w:tc>
                <w:tcPr>
                  <w:tcW w:w="810" w:type="pct"/>
                  <w:tcBorders>
                    <w:top w:val="single" w:color="auto" w:sz="4" w:space="0"/>
                    <w:left w:val="single" w:color="auto" w:sz="4" w:space="0"/>
                    <w:bottom w:val="single" w:color="auto" w:sz="4" w:space="0"/>
                    <w:right w:val="single" w:color="auto" w:sz="4" w:space="0"/>
                  </w:tcBorders>
                  <w:vAlign w:val="center"/>
                </w:tcPr>
                <w:p w14:paraId="1F750A81">
                  <w:pPr>
                    <w:pStyle w:val="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w:t>
                  </w:r>
                </w:p>
              </w:tc>
              <w:tc>
                <w:tcPr>
                  <w:tcW w:w="1000" w:type="pct"/>
                  <w:tcBorders>
                    <w:top w:val="single" w:color="auto" w:sz="4" w:space="0"/>
                    <w:left w:val="single" w:color="auto" w:sz="4" w:space="0"/>
                    <w:bottom w:val="single" w:color="auto" w:sz="4" w:space="0"/>
                    <w:right w:val="single" w:color="auto" w:sz="4" w:space="0"/>
                  </w:tcBorders>
                  <w:vAlign w:val="center"/>
                </w:tcPr>
                <w:p w14:paraId="66DC7196">
                  <w:pPr>
                    <w:pStyle w:val="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2000（无量纲）</w:t>
                  </w:r>
                </w:p>
              </w:tc>
              <w:tc>
                <w:tcPr>
                  <w:tcW w:w="1363" w:type="pct"/>
                  <w:tcBorders>
                    <w:left w:val="single" w:color="auto" w:sz="4" w:space="0"/>
                    <w:bottom w:val="single" w:color="auto" w:sz="4" w:space="0"/>
                    <w:right w:val="single" w:color="auto" w:sz="4" w:space="0"/>
                  </w:tcBorders>
                  <w:vAlign w:val="center"/>
                </w:tcPr>
                <w:p w14:paraId="152F26B5">
                  <w:pPr>
                    <w:pStyle w:val="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zh-CN" w:eastAsia="zh-CN"/>
                      <w14:textFill>
                        <w14:solidFill>
                          <w14:schemeClr w14:val="tx1"/>
                        </w14:solidFill>
                      </w14:textFill>
                    </w:rPr>
                    <w:t>《恶臭污染物排放标准》（GB14554-93）</w:t>
                  </w:r>
                </w:p>
              </w:tc>
            </w:tr>
          </w:tbl>
          <w:p w14:paraId="10107799">
            <w:pPr>
              <w:pStyle w:val="51"/>
              <w:pageBreakBefore w:val="0"/>
              <w:kinsoku/>
              <w:overflowPunct/>
              <w:topLinePunct w:val="0"/>
              <w:bidi w:val="0"/>
              <w:ind w:left="0" w:leftChars="0" w:right="0" w:firstLine="482"/>
              <w:rPr>
                <w:rFonts w:hint="default"/>
                <w:b w:val="0"/>
                <w:bCs w:val="0"/>
                <w:color w:val="000000" w:themeColor="text1"/>
                <w:lang w:val="en-US" w:eastAsia="zh-CN"/>
                <w14:textFill>
                  <w14:solidFill>
                    <w14:schemeClr w14:val="tx1"/>
                  </w14:solidFill>
                </w14:textFill>
              </w:rPr>
            </w:pPr>
            <w:r>
              <w:rPr>
                <w:rFonts w:hint="eastAsia"/>
                <w:b w:val="0"/>
                <w:bCs w:val="0"/>
                <w:color w:val="000000" w:themeColor="text1"/>
                <w:lang w:eastAsia="zh-CN"/>
                <w14:textFill>
                  <w14:solidFill>
                    <w14:schemeClr w14:val="tx1"/>
                  </w14:solidFill>
                </w14:textFill>
              </w:rPr>
              <w:t>根据</w:t>
            </w:r>
            <w:r>
              <w:rPr>
                <w:rFonts w:hint="default" w:ascii="Times New Roman" w:hAnsi="Times New Roman" w:cs="Times New Roman" w:eastAsiaTheme="minorEastAsia"/>
                <w:b w:val="0"/>
                <w:bCs w:val="0"/>
                <w:color w:val="000000" w:themeColor="text1"/>
                <w:sz w:val="24"/>
                <w:highlight w:val="none"/>
                <w:lang w:val="zh-CN" w:eastAsia="zh-CN"/>
                <w14:textFill>
                  <w14:solidFill>
                    <w14:schemeClr w14:val="tx1"/>
                  </w14:solidFill>
                </w14:textFill>
              </w:rPr>
              <w:t>《恶臭污染物排放标准》（GB14554-93）</w:t>
            </w:r>
            <w:r>
              <w:rPr>
                <w:rFonts w:hint="eastAsia" w:ascii="Times New Roman" w:hAnsi="Times New Roman" w:cs="Times New Roman" w:eastAsiaTheme="minorEastAsia"/>
                <w:b w:val="0"/>
                <w:bCs w:val="0"/>
                <w:color w:val="000000" w:themeColor="text1"/>
                <w:sz w:val="24"/>
                <w:highlight w:val="none"/>
                <w:lang w:val="zh-CN" w:eastAsia="zh-CN"/>
                <w14:textFill>
                  <w14:solidFill>
                    <w14:schemeClr w14:val="tx1"/>
                  </w14:solidFill>
                </w14:textFill>
              </w:rPr>
              <w:t>中“</w:t>
            </w:r>
            <w:r>
              <w:rPr>
                <w:rFonts w:hint="eastAsia" w:ascii="Times New Roman" w:hAnsi="Times New Roman" w:cs="Times New Roman" w:eastAsiaTheme="minorEastAsia"/>
                <w:b w:val="0"/>
                <w:bCs w:val="0"/>
                <w:color w:val="000000" w:themeColor="text1"/>
                <w:sz w:val="24"/>
                <w:highlight w:val="none"/>
                <w:lang w:val="en-US" w:eastAsia="zh-CN"/>
                <w14:textFill>
                  <w14:solidFill>
                    <w14:schemeClr w14:val="tx1"/>
                  </w14:solidFill>
                </w14:textFill>
              </w:rPr>
              <w:t>6.1.1排气筒的最低高度不得低于15m</w:t>
            </w:r>
            <w:r>
              <w:rPr>
                <w:rFonts w:hint="eastAsia" w:ascii="Times New Roman" w:hAnsi="Times New Roman" w:cs="Times New Roman" w:eastAsiaTheme="minorEastAsia"/>
                <w:b w:val="0"/>
                <w:bCs w:val="0"/>
                <w:color w:val="000000" w:themeColor="text1"/>
                <w:sz w:val="24"/>
                <w:highlight w:val="none"/>
                <w:lang w:val="zh-CN" w:eastAsia="zh-CN"/>
                <w14:textFill>
                  <w14:solidFill>
                    <w14:schemeClr w14:val="tx1"/>
                  </w14:solidFill>
                </w14:textFill>
              </w:rPr>
              <w:t>”</w:t>
            </w:r>
            <w:r>
              <w:rPr>
                <w:rFonts w:hint="eastAsia"/>
                <w:b w:val="0"/>
                <w:bCs w:val="0"/>
                <w:color w:val="000000" w:themeColor="text1"/>
                <w:lang w:eastAsia="zh-CN"/>
                <w14:textFill>
                  <w14:solidFill>
                    <w14:schemeClr w14:val="tx1"/>
                  </w14:solidFill>
                </w14:textFill>
              </w:rPr>
              <w:t>以及</w:t>
            </w:r>
            <w:r>
              <w:rPr>
                <w:rFonts w:hint="default" w:ascii="Times New Roman" w:hAnsi="Times New Roman" w:cs="Times New Roman" w:eastAsiaTheme="minorEastAsia"/>
                <w:b w:val="0"/>
                <w:bCs w:val="0"/>
                <w:color w:val="000000" w:themeColor="text1"/>
                <w:sz w:val="24"/>
                <w:highlight w:val="none"/>
                <w14:textFill>
                  <w14:solidFill>
                    <w14:schemeClr w14:val="tx1"/>
                  </w14:solidFill>
                </w14:textFill>
              </w:rPr>
              <w:t>《</w:t>
            </w:r>
            <w:r>
              <w:rPr>
                <w:rFonts w:hint="default" w:ascii="Times New Roman" w:hAnsi="Times New Roman" w:cs="Times New Roman" w:eastAsiaTheme="minorEastAsia"/>
                <w:b w:val="0"/>
                <w:bCs w:val="0"/>
                <w:color w:val="000000" w:themeColor="text1"/>
                <w:sz w:val="24"/>
                <w:highlight w:val="none"/>
                <w:lang w:val="en-US" w:eastAsia="zh-CN"/>
                <w14:textFill>
                  <w14:solidFill>
                    <w14:schemeClr w14:val="tx1"/>
                  </w14:solidFill>
                </w14:textFill>
              </w:rPr>
              <w:t>合成树脂工业污染物排放标准</w:t>
            </w:r>
            <w:r>
              <w:rPr>
                <w:rFonts w:hint="default" w:ascii="Times New Roman" w:hAnsi="Times New Roman" w:cs="Times New Roman" w:eastAsiaTheme="minorEastAsia"/>
                <w:b w:val="0"/>
                <w:bCs w:val="0"/>
                <w:color w:val="000000" w:themeColor="text1"/>
                <w:sz w:val="24"/>
                <w:highlight w:val="none"/>
                <w14:textFill>
                  <w14:solidFill>
                    <w14:schemeClr w14:val="tx1"/>
                  </w14:solidFill>
                </w14:textFill>
              </w:rPr>
              <w:t>》</w:t>
            </w:r>
            <w:r>
              <w:rPr>
                <w:rFonts w:hint="eastAsia" w:ascii="Times New Roman" w:hAnsi="Times New Roman" w:cs="Times New Roman" w:eastAsiaTheme="minorEastAsia"/>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highlight w:val="none"/>
                <w14:textFill>
                  <w14:solidFill>
                    <w14:schemeClr w14:val="tx1"/>
                  </w14:solidFill>
                </w14:textFill>
              </w:rPr>
              <w:t>GB</w:t>
            </w:r>
            <w:r>
              <w:rPr>
                <w:rFonts w:hint="default" w:ascii="Times New Roman" w:hAnsi="Times New Roman" w:cs="Times New Roman" w:eastAsiaTheme="minorEastAsia"/>
                <w:b w:val="0"/>
                <w:bCs w:val="0"/>
                <w:color w:val="000000" w:themeColor="text1"/>
                <w:sz w:val="24"/>
                <w:highlight w:val="none"/>
                <w:lang w:val="en-US" w:eastAsia="zh-CN"/>
                <w14:textFill>
                  <w14:solidFill>
                    <w14:schemeClr w14:val="tx1"/>
                  </w14:solidFill>
                </w14:textFill>
              </w:rPr>
              <w:t>31572</w:t>
            </w:r>
            <w:r>
              <w:rPr>
                <w:rFonts w:hint="default" w:ascii="Times New Roman" w:hAnsi="Times New Roman" w:cs="Times New Roman" w:eastAsiaTheme="minorEastAsia"/>
                <w:b w:val="0"/>
                <w:bCs w:val="0"/>
                <w:color w:val="000000" w:themeColor="text1"/>
                <w:sz w:val="24"/>
                <w:highlight w:val="none"/>
                <w14:textFill>
                  <w14:solidFill>
                    <w14:schemeClr w14:val="tx1"/>
                  </w14:solidFill>
                </w14:textFill>
              </w:rPr>
              <w:t>-</w:t>
            </w:r>
            <w:r>
              <w:rPr>
                <w:rFonts w:hint="default" w:ascii="Times New Roman" w:hAnsi="Times New Roman" w:cs="Times New Roman" w:eastAsiaTheme="minorEastAsia"/>
                <w:b w:val="0"/>
                <w:bCs w:val="0"/>
                <w:color w:val="000000" w:themeColor="text1"/>
                <w:sz w:val="24"/>
                <w:highlight w:val="none"/>
                <w:lang w:val="en-US" w:eastAsia="zh-CN"/>
                <w14:textFill>
                  <w14:solidFill>
                    <w14:schemeClr w14:val="tx1"/>
                  </w14:solidFill>
                </w14:textFill>
              </w:rPr>
              <w:t>2015</w:t>
            </w:r>
            <w:r>
              <w:rPr>
                <w:rFonts w:hint="eastAsia" w:cs="Times New Roman" w:eastAsiaTheme="minorEastAsia"/>
                <w:b w:val="0"/>
                <w:bCs w:val="0"/>
                <w:color w:val="000000" w:themeColor="text1"/>
                <w:sz w:val="24"/>
                <w:highlight w:val="none"/>
                <w:lang w:eastAsia="zh-CN"/>
                <w14:textFill>
                  <w14:solidFill>
                    <w14:schemeClr w14:val="tx1"/>
                  </w14:solidFill>
                </w14:textFill>
              </w:rPr>
              <w:t>及2024年修改单</w:t>
            </w:r>
            <w:r>
              <w:rPr>
                <w:rFonts w:hint="eastAsia" w:ascii="Times New Roman" w:hAnsi="Times New Roman" w:cs="Times New Roman" w:eastAsiaTheme="minorEastAsia"/>
                <w:b w:val="0"/>
                <w:bCs w:val="0"/>
                <w:color w:val="000000" w:themeColor="text1"/>
                <w:sz w:val="24"/>
                <w:highlight w:val="none"/>
                <w:lang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highlight w:val="none"/>
                <w:lang w:val="en-US" w:eastAsia="zh-CN"/>
                <w14:textFill>
                  <w14:solidFill>
                    <w14:schemeClr w14:val="tx1"/>
                  </w14:solidFill>
                </w14:textFill>
              </w:rPr>
              <w:t>5.4.2中排气筒高度应按环境影响评价要求确定，且至少不低于15m</w:t>
            </w:r>
            <w:r>
              <w:rPr>
                <w:rFonts w:hint="eastAsia" w:ascii="Times New Roman" w:hAnsi="Times New Roman" w:cs="Times New Roman" w:eastAsiaTheme="minorEastAsia"/>
                <w:b w:val="0"/>
                <w:bCs w:val="0"/>
                <w:color w:val="000000" w:themeColor="text1"/>
                <w:sz w:val="24"/>
                <w:highlight w:val="none"/>
                <w:lang w:eastAsia="zh-CN"/>
                <w14:textFill>
                  <w14:solidFill>
                    <w14:schemeClr w14:val="tx1"/>
                  </w14:solidFill>
                </w14:textFill>
              </w:rPr>
              <w:t>”，本项目有机废气经处理后通过</w:t>
            </w:r>
            <w:r>
              <w:rPr>
                <w:rFonts w:hint="eastAsia" w:cs="Times New Roman" w:eastAsiaTheme="minorEastAsia"/>
                <w:b w:val="0"/>
                <w:bCs w:val="0"/>
                <w:color w:val="000000" w:themeColor="text1"/>
                <w:sz w:val="24"/>
                <w:highlight w:val="none"/>
                <w:lang w:val="en-US" w:eastAsia="zh-CN"/>
                <w14:textFill>
                  <w14:solidFill>
                    <w14:schemeClr w14:val="tx1"/>
                  </w14:solidFill>
                </w14:textFill>
              </w:rPr>
              <w:t>1根15m高排气筒DA002</w:t>
            </w:r>
            <w:r>
              <w:rPr>
                <w:rFonts w:hint="eastAsia" w:ascii="Times New Roman" w:hAnsi="Times New Roman" w:cs="Times New Roman" w:eastAsiaTheme="minorEastAsia"/>
                <w:b w:val="0"/>
                <w:bCs w:val="0"/>
                <w:color w:val="000000" w:themeColor="text1"/>
                <w:sz w:val="24"/>
                <w:highlight w:val="none"/>
                <w:lang w:val="en-US" w:eastAsia="zh-CN"/>
                <w14:textFill>
                  <w14:solidFill>
                    <w14:schemeClr w14:val="tx1"/>
                  </w14:solidFill>
                </w14:textFill>
              </w:rPr>
              <w:t>排放，排气筒高度满足相关要求。</w:t>
            </w:r>
          </w:p>
          <w:p w14:paraId="37D22229">
            <w:pPr>
              <w:pStyle w:val="51"/>
              <w:pageBreakBefore w:val="0"/>
              <w:kinsoku/>
              <w:overflowPunct/>
              <w:topLinePunct w:val="0"/>
              <w:bidi w:val="0"/>
              <w:ind w:left="0" w:leftChars="0" w:right="0" w:firstLine="482"/>
              <w:rPr>
                <w:color w:val="000000" w:themeColor="text1"/>
                <w14:textFill>
                  <w14:solidFill>
                    <w14:schemeClr w14:val="tx1"/>
                  </w14:solidFill>
                </w14:textFill>
              </w:rPr>
            </w:pPr>
            <w:r>
              <w:rPr>
                <w:rFonts w:hint="eastAsia"/>
                <w:b/>
                <w:bCs/>
                <w:color w:val="000000" w:themeColor="text1"/>
                <w:lang w:eastAsia="zh-CN"/>
                <w14:textFill>
                  <w14:solidFill>
                    <w14:schemeClr w14:val="tx1"/>
                  </w14:solidFill>
                </w14:textFill>
              </w:rPr>
              <w:t>③</w:t>
            </w:r>
            <w:r>
              <w:rPr>
                <w:rFonts w:hint="eastAsia"/>
                <w:b/>
                <w:bCs/>
                <w:color w:val="000000" w:themeColor="text1"/>
                <w14:textFill>
                  <w14:solidFill>
                    <w14:schemeClr w14:val="tx1"/>
                  </w14:solidFill>
                </w14:textFill>
              </w:rPr>
              <w:t>无组织废气</w:t>
            </w:r>
          </w:p>
          <w:p w14:paraId="47ED8E57">
            <w:pPr>
              <w:keepNext w:val="0"/>
              <w:keepLines w:val="0"/>
              <w:pageBreakBefore w:val="0"/>
              <w:widowControl/>
              <w:suppressLineNumbers w:val="0"/>
              <w:tabs>
                <w:tab w:val="left" w:pos="4830"/>
              </w:tabs>
              <w:kinsoku/>
              <w:wordWrap/>
              <w:overflowPunct/>
              <w:topLinePunct w:val="0"/>
              <w:autoSpaceDE/>
              <w:autoSpaceDN/>
              <w:bidi w:val="0"/>
              <w:adjustRightInd/>
              <w:snapToGrid/>
              <w:spacing w:line="360" w:lineRule="auto"/>
              <w:ind w:firstLine="482" w:firstLineChars="200"/>
              <w:jc w:val="left"/>
              <w:textAlignment w:val="auto"/>
              <w:rPr>
                <w:rFonts w:hint="eastAsia" w:cs="Times New Roman"/>
                <w:b/>
                <w:bCs/>
                <w:color w:val="000000" w:themeColor="text1"/>
                <w:kern w:val="0"/>
                <w:sz w:val="24"/>
                <w:szCs w:val="24"/>
                <w:lang w:val="en-US" w:eastAsia="zh-CN" w:bidi="ar"/>
                <w14:textFill>
                  <w14:solidFill>
                    <w14:schemeClr w14:val="tx1"/>
                  </w14:solidFill>
                </w14:textFill>
              </w:rPr>
            </w:pPr>
            <w:r>
              <w:rPr>
                <w:rFonts w:hint="eastAsia" w:cs="Times New Roman"/>
                <w:b/>
                <w:bCs/>
                <w:color w:val="000000" w:themeColor="text1"/>
                <w:kern w:val="0"/>
                <w:sz w:val="24"/>
                <w:szCs w:val="24"/>
                <w:lang w:val="en-US" w:eastAsia="zh-CN" w:bidi="ar"/>
                <w14:textFill>
                  <w14:solidFill>
                    <w14:schemeClr w14:val="tx1"/>
                  </w14:solidFill>
                </w14:textFill>
              </w:rPr>
              <w:t>1）厂界无组织</w:t>
            </w:r>
          </w:p>
          <w:p w14:paraId="53C7F58E">
            <w:pPr>
              <w:keepNext w:val="0"/>
              <w:keepLines w:val="0"/>
              <w:pageBreakBefore w:val="0"/>
              <w:widowControl w:val="0"/>
              <w:tabs>
                <w:tab w:val="left" w:pos="483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项目厂界无组织废气中</w:t>
            </w:r>
            <w:r>
              <w:rPr>
                <w:rFonts w:hint="eastAsia" w:cs="Times New Roman" w:eastAsiaTheme="minorEastAsia"/>
                <w:color w:val="000000" w:themeColor="text1"/>
                <w:sz w:val="24"/>
                <w:highlight w:val="none"/>
                <w:lang w:val="en-US" w:eastAsia="zh-CN"/>
                <w14:textFill>
                  <w14:solidFill>
                    <w14:schemeClr w14:val="tx1"/>
                  </w14:solidFill>
                </w14:textFill>
              </w:rPr>
              <w:t>颗粒物、甲苯、</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非甲烷总烃执行《合成树脂工业污染物排放标准》（GB31572-2015含2024年修改单）表9标准限值，苯乙烯、臭气浓度</w:t>
            </w:r>
            <w:r>
              <w:rPr>
                <w:rFonts w:hint="default" w:ascii="Times New Roman" w:hAnsi="Times New Roman" w:cs="Times New Roman" w:eastAsiaTheme="minorEastAsia"/>
                <w:color w:val="000000" w:themeColor="text1"/>
                <w:sz w:val="24"/>
                <w:highlight w:val="none"/>
                <w:lang w:val="zh-CN" w:eastAsia="zh-CN"/>
                <w14:textFill>
                  <w14:solidFill>
                    <w14:schemeClr w14:val="tx1"/>
                  </w14:solidFill>
                </w14:textFill>
              </w:rPr>
              <w:t>排放执行《恶臭污染物排放标准》（GB14554-93）</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表1中二级</w:t>
            </w:r>
            <w:r>
              <w:rPr>
                <w:rFonts w:hint="default" w:ascii="Times New Roman" w:hAnsi="Times New Roman" w:cs="Times New Roman" w:eastAsiaTheme="minorEastAsia"/>
                <w:color w:val="000000" w:themeColor="text1"/>
                <w:sz w:val="24"/>
                <w:highlight w:val="none"/>
                <w:lang w:val="zh-CN" w:eastAsia="zh-CN"/>
                <w14:textFill>
                  <w14:solidFill>
                    <w14:schemeClr w14:val="tx1"/>
                  </w14:solidFill>
                </w14:textFill>
              </w:rPr>
              <w:t>标准</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限值</w:t>
            </w:r>
            <w:r>
              <w:rPr>
                <w:rFonts w:hint="default" w:ascii="Times New Roman" w:hAnsi="Times New Roman" w:cs="Times New Roman" w:eastAsiaTheme="minorEastAsia"/>
                <w:color w:val="000000" w:themeColor="text1"/>
                <w:sz w:val="24"/>
                <w:highlight w:val="none"/>
                <w:lang w:val="zh-CN" w:eastAsia="zh-CN"/>
                <w14:textFill>
                  <w14:solidFill>
                    <w14:schemeClr w14:val="tx1"/>
                  </w14:solidFill>
                </w14:textFill>
              </w:rPr>
              <w:t>要求</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，标准值见下表。</w:t>
            </w:r>
          </w:p>
          <w:p w14:paraId="03545E0B">
            <w:pPr>
              <w:keepNext w:val="0"/>
              <w:keepLines w:val="0"/>
              <w:pageBreakBefore w:val="0"/>
              <w:widowControl/>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表 3-</w:t>
            </w:r>
            <w:r>
              <w:rPr>
                <w:rFonts w:hint="eastAsia" w:ascii="Times New Roman" w:hAnsi="Times New Roman" w:eastAsia="宋体" w:cs="Times New Roman"/>
                <w:b/>
                <w:color w:val="000000" w:themeColor="text1"/>
                <w:kern w:val="2"/>
                <w:sz w:val="21"/>
                <w:szCs w:val="21"/>
                <w:lang w:val="en-US" w:eastAsia="zh-CN" w:bidi="ar-SA"/>
                <w14:textFill>
                  <w14:solidFill>
                    <w14:schemeClr w14:val="tx1"/>
                  </w14:solidFill>
                </w14:textFill>
              </w:rPr>
              <w:t>12</w:t>
            </w: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 xml:space="preserve"> 厂界无组织有机废气排放标准</w:t>
            </w:r>
          </w:p>
          <w:tbl>
            <w:tblPr>
              <w:tblStyle w:val="33"/>
              <w:tblW w:w="4962"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952"/>
              <w:gridCol w:w="3614"/>
              <w:gridCol w:w="2831"/>
            </w:tblGrid>
            <w:tr w14:paraId="4B2EA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62" w:type="pct"/>
                  <w:tcBorders>
                    <w:top w:val="single" w:color="auto" w:sz="4" w:space="0"/>
                    <w:left w:val="single" w:color="auto" w:sz="4" w:space="0"/>
                    <w:right w:val="single" w:color="auto" w:sz="4" w:space="0"/>
                  </w:tcBorders>
                  <w:vAlign w:val="center"/>
                </w:tcPr>
                <w:p w14:paraId="01A2042A">
                  <w:pPr>
                    <w:pStyle w:val="9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污染物</w:t>
                  </w:r>
                </w:p>
              </w:tc>
              <w:tc>
                <w:tcPr>
                  <w:tcW w:w="2151" w:type="pct"/>
                  <w:tcBorders>
                    <w:top w:val="single" w:color="auto" w:sz="4" w:space="0"/>
                    <w:left w:val="single" w:color="auto" w:sz="4" w:space="0"/>
                    <w:bottom w:val="single" w:color="auto" w:sz="4" w:space="0"/>
                    <w:right w:val="single" w:color="auto" w:sz="4" w:space="0"/>
                  </w:tcBorders>
                  <w:vAlign w:val="center"/>
                </w:tcPr>
                <w:p w14:paraId="61B6A90C">
                  <w:pPr>
                    <w:pStyle w:val="9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无组织排放监控浓度限值（mg/m</w:t>
                  </w:r>
                  <w:r>
                    <w:rPr>
                      <w:rFonts w:hint="default" w:ascii="Times New Roman" w:hAnsi="Times New Roman" w:cs="Times New Roman" w:eastAsiaTheme="minorEastAsia"/>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w:t>
                  </w:r>
                </w:p>
              </w:tc>
              <w:tc>
                <w:tcPr>
                  <w:tcW w:w="1685" w:type="pct"/>
                  <w:tcBorders>
                    <w:top w:val="single" w:color="auto" w:sz="4" w:space="0"/>
                    <w:left w:val="single" w:color="auto" w:sz="4" w:space="0"/>
                    <w:right w:val="single" w:color="auto" w:sz="4" w:space="0"/>
                  </w:tcBorders>
                  <w:vAlign w:val="center"/>
                </w:tcPr>
                <w:p w14:paraId="74A39B94">
                  <w:pPr>
                    <w:pStyle w:val="9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标准来源</w:t>
                  </w:r>
                </w:p>
              </w:tc>
            </w:tr>
            <w:tr w14:paraId="2929C2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62" w:type="pct"/>
                  <w:tcBorders>
                    <w:top w:val="single" w:color="auto" w:sz="4" w:space="0"/>
                    <w:left w:val="single" w:color="auto" w:sz="4" w:space="0"/>
                    <w:right w:val="single" w:color="auto" w:sz="4" w:space="0"/>
                  </w:tcBorders>
                  <w:vAlign w:val="center"/>
                </w:tcPr>
                <w:p w14:paraId="31695427">
                  <w:pPr>
                    <w:pStyle w:val="9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非甲烷总烃</w:t>
                  </w:r>
                </w:p>
              </w:tc>
              <w:tc>
                <w:tcPr>
                  <w:tcW w:w="2151" w:type="pct"/>
                  <w:tcBorders>
                    <w:top w:val="single" w:color="auto" w:sz="4" w:space="0"/>
                    <w:left w:val="single" w:color="auto" w:sz="4" w:space="0"/>
                    <w:bottom w:val="single" w:color="auto" w:sz="4" w:space="0"/>
                    <w:right w:val="single" w:color="auto" w:sz="4" w:space="0"/>
                  </w:tcBorders>
                  <w:vAlign w:val="center"/>
                </w:tcPr>
                <w:p w14:paraId="59C099F4">
                  <w:pPr>
                    <w:pStyle w:val="9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4.0</w:t>
                  </w:r>
                </w:p>
              </w:tc>
              <w:tc>
                <w:tcPr>
                  <w:tcW w:w="1685" w:type="pct"/>
                  <w:vMerge w:val="restart"/>
                  <w:tcBorders>
                    <w:top w:val="single" w:color="auto" w:sz="4" w:space="0"/>
                    <w:left w:val="single" w:color="auto" w:sz="4" w:space="0"/>
                    <w:right w:val="single" w:color="auto" w:sz="4" w:space="0"/>
                  </w:tcBorders>
                  <w:vAlign w:val="center"/>
                </w:tcPr>
                <w:p w14:paraId="253E2EF4">
                  <w:pPr>
                    <w:pStyle w:val="9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GB31572-2015《合成树脂工业污染物排放标准》（含2024年修改单）</w:t>
                  </w:r>
                </w:p>
              </w:tc>
            </w:tr>
            <w:tr w14:paraId="139F5B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62" w:type="pct"/>
                  <w:tcBorders>
                    <w:top w:val="single" w:color="auto" w:sz="4" w:space="0"/>
                    <w:left w:val="single" w:color="auto" w:sz="4" w:space="0"/>
                    <w:right w:val="single" w:color="auto" w:sz="4" w:space="0"/>
                  </w:tcBorders>
                  <w:vAlign w:val="center"/>
                </w:tcPr>
                <w:p w14:paraId="71FF6CB0">
                  <w:pPr>
                    <w:pStyle w:val="9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颗粒物</w:t>
                  </w:r>
                </w:p>
              </w:tc>
              <w:tc>
                <w:tcPr>
                  <w:tcW w:w="2151" w:type="pct"/>
                  <w:tcBorders>
                    <w:top w:val="single" w:color="auto" w:sz="4" w:space="0"/>
                    <w:left w:val="single" w:color="auto" w:sz="4" w:space="0"/>
                    <w:bottom w:val="single" w:color="auto" w:sz="4" w:space="0"/>
                    <w:right w:val="single" w:color="auto" w:sz="4" w:space="0"/>
                  </w:tcBorders>
                  <w:vAlign w:val="center"/>
                </w:tcPr>
                <w:p w14:paraId="2F41FFC2">
                  <w:pPr>
                    <w:pStyle w:val="9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1.0</w:t>
                  </w:r>
                </w:p>
              </w:tc>
              <w:tc>
                <w:tcPr>
                  <w:tcW w:w="1685" w:type="pct"/>
                  <w:vMerge w:val="continue"/>
                  <w:tcBorders>
                    <w:left w:val="single" w:color="auto" w:sz="4" w:space="0"/>
                    <w:right w:val="single" w:color="auto" w:sz="4" w:space="0"/>
                  </w:tcBorders>
                  <w:vAlign w:val="center"/>
                </w:tcPr>
                <w:p w14:paraId="4968A89C">
                  <w:pPr>
                    <w:pStyle w:val="9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tc>
            </w:tr>
            <w:tr w14:paraId="0EE10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62" w:type="pct"/>
                  <w:tcBorders>
                    <w:top w:val="single" w:color="auto" w:sz="4" w:space="0"/>
                    <w:left w:val="single" w:color="auto" w:sz="4" w:space="0"/>
                    <w:right w:val="single" w:color="auto" w:sz="4" w:space="0"/>
                  </w:tcBorders>
                  <w:vAlign w:val="center"/>
                </w:tcPr>
                <w:p w14:paraId="557C708A">
                  <w:pPr>
                    <w:pStyle w:val="9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甲苯</w:t>
                  </w:r>
                </w:p>
              </w:tc>
              <w:tc>
                <w:tcPr>
                  <w:tcW w:w="2151" w:type="pct"/>
                  <w:tcBorders>
                    <w:top w:val="single" w:color="auto" w:sz="4" w:space="0"/>
                    <w:left w:val="single" w:color="auto" w:sz="4" w:space="0"/>
                    <w:bottom w:val="single" w:color="auto" w:sz="4" w:space="0"/>
                    <w:right w:val="single" w:color="auto" w:sz="4" w:space="0"/>
                  </w:tcBorders>
                  <w:vAlign w:val="center"/>
                </w:tcPr>
                <w:p w14:paraId="43A68CE9">
                  <w:pPr>
                    <w:pStyle w:val="9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0.8</w:t>
                  </w:r>
                </w:p>
              </w:tc>
              <w:tc>
                <w:tcPr>
                  <w:tcW w:w="1685" w:type="pct"/>
                  <w:vMerge w:val="continue"/>
                  <w:tcBorders>
                    <w:left w:val="single" w:color="auto" w:sz="4" w:space="0"/>
                    <w:right w:val="single" w:color="auto" w:sz="4" w:space="0"/>
                  </w:tcBorders>
                  <w:vAlign w:val="center"/>
                </w:tcPr>
                <w:p w14:paraId="13CE627C">
                  <w:pPr>
                    <w:pStyle w:val="9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tc>
            </w:tr>
            <w:tr w14:paraId="6F5F8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5" w:hRule="atLeast"/>
              </w:trPr>
              <w:tc>
                <w:tcPr>
                  <w:tcW w:w="1162" w:type="pct"/>
                  <w:tcBorders>
                    <w:top w:val="single" w:color="auto" w:sz="4" w:space="0"/>
                    <w:left w:val="single" w:color="auto" w:sz="4" w:space="0"/>
                    <w:bottom w:val="single" w:color="auto" w:sz="4" w:space="0"/>
                    <w:right w:val="single" w:color="auto" w:sz="4" w:space="0"/>
                  </w:tcBorders>
                  <w:vAlign w:val="center"/>
                </w:tcPr>
                <w:p w14:paraId="5E8A8D6B">
                  <w:pPr>
                    <w:pStyle w:val="9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苯乙烯</w:t>
                  </w:r>
                </w:p>
              </w:tc>
              <w:tc>
                <w:tcPr>
                  <w:tcW w:w="2151" w:type="pct"/>
                  <w:tcBorders>
                    <w:top w:val="single" w:color="auto" w:sz="4" w:space="0"/>
                    <w:left w:val="single" w:color="auto" w:sz="4" w:space="0"/>
                    <w:bottom w:val="single" w:color="auto" w:sz="4" w:space="0"/>
                    <w:right w:val="single" w:color="auto" w:sz="4" w:space="0"/>
                  </w:tcBorders>
                  <w:vAlign w:val="center"/>
                </w:tcPr>
                <w:p w14:paraId="00B5CCE8">
                  <w:pPr>
                    <w:pStyle w:val="9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5.0</w:t>
                  </w:r>
                </w:p>
              </w:tc>
              <w:tc>
                <w:tcPr>
                  <w:tcW w:w="1685" w:type="pct"/>
                  <w:vMerge w:val="restart"/>
                  <w:tcBorders>
                    <w:top w:val="single" w:color="auto" w:sz="4" w:space="0"/>
                    <w:left w:val="single" w:color="auto" w:sz="4" w:space="0"/>
                    <w:right w:val="single" w:color="auto" w:sz="4" w:space="0"/>
                  </w:tcBorders>
                  <w:vAlign w:val="center"/>
                </w:tcPr>
                <w:p w14:paraId="730C27FA">
                  <w:pPr>
                    <w:pStyle w:val="9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zh-CN" w:eastAsia="zh-CN"/>
                      <w14:textFill>
                        <w14:solidFill>
                          <w14:schemeClr w14:val="tx1"/>
                        </w14:solidFill>
                      </w14:textFill>
                    </w:rPr>
                    <w:t>《恶臭污染物排放标准》（GB14554-93）</w:t>
                  </w:r>
                </w:p>
              </w:tc>
            </w:tr>
            <w:tr w14:paraId="7183B8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62" w:type="pct"/>
                  <w:tcBorders>
                    <w:top w:val="single" w:color="auto" w:sz="4" w:space="0"/>
                    <w:left w:val="single" w:color="auto" w:sz="4" w:space="0"/>
                    <w:bottom w:val="single" w:color="auto" w:sz="4" w:space="0"/>
                    <w:right w:val="single" w:color="auto" w:sz="4" w:space="0"/>
                  </w:tcBorders>
                  <w:vAlign w:val="center"/>
                </w:tcPr>
                <w:p w14:paraId="1255B98B">
                  <w:pPr>
                    <w:pStyle w:val="9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臭气浓度</w:t>
                  </w:r>
                </w:p>
              </w:tc>
              <w:tc>
                <w:tcPr>
                  <w:tcW w:w="2151" w:type="pct"/>
                  <w:tcBorders>
                    <w:top w:val="single" w:color="auto" w:sz="4" w:space="0"/>
                    <w:left w:val="single" w:color="auto" w:sz="4" w:space="0"/>
                    <w:bottom w:val="single" w:color="auto" w:sz="4" w:space="0"/>
                    <w:right w:val="single" w:color="auto" w:sz="4" w:space="0"/>
                  </w:tcBorders>
                  <w:vAlign w:val="center"/>
                </w:tcPr>
                <w:p w14:paraId="7B498E39">
                  <w:pPr>
                    <w:pStyle w:val="9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20</w:t>
                  </w:r>
                </w:p>
              </w:tc>
              <w:tc>
                <w:tcPr>
                  <w:tcW w:w="1685" w:type="pct"/>
                  <w:vMerge w:val="continue"/>
                  <w:tcBorders>
                    <w:left w:val="single" w:color="auto" w:sz="4" w:space="0"/>
                    <w:bottom w:val="single" w:color="auto" w:sz="4" w:space="0"/>
                    <w:right w:val="single" w:color="auto" w:sz="4" w:space="0"/>
                  </w:tcBorders>
                  <w:vAlign w:val="center"/>
                </w:tcPr>
                <w:p w14:paraId="16E6F5A3">
                  <w:pPr>
                    <w:pStyle w:val="9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tc>
            </w:tr>
          </w:tbl>
          <w:p w14:paraId="7CB9AA4E">
            <w:pPr>
              <w:pageBreakBefore w:val="0"/>
              <w:kinsoku/>
              <w:overflowPunct/>
              <w:topLinePunct w:val="0"/>
              <w:bidi w:val="0"/>
              <w:spacing w:line="360" w:lineRule="auto"/>
              <w:ind w:left="0" w:leftChars="0" w:right="0" w:firstLine="482" w:firstLineChars="200"/>
              <w:rPr>
                <w:b/>
                <w:bCs/>
                <w:color w:val="000000" w:themeColor="text1"/>
                <w:sz w:val="24"/>
                <w:lang w:val="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2</w:t>
            </w:r>
            <w:r>
              <w:rPr>
                <w:rFonts w:hint="eastAsia"/>
                <w:b/>
                <w:bCs/>
                <w:color w:val="000000" w:themeColor="text1"/>
                <w:sz w:val="24"/>
                <w:lang w:val="zh-CN"/>
                <w14:textFill>
                  <w14:solidFill>
                    <w14:schemeClr w14:val="tx1"/>
                  </w14:solidFill>
                </w14:textFill>
              </w:rPr>
              <w:t>）厂区内无组织</w:t>
            </w:r>
          </w:p>
          <w:p w14:paraId="06B57547">
            <w:pPr>
              <w:keepNext w:val="0"/>
              <w:keepLines w:val="0"/>
              <w:pageBreakBefore w:val="0"/>
              <w:widowControl/>
              <w:tabs>
                <w:tab w:val="left" w:pos="483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本项目产生的有机废气以非甲烷总烃计，本项目厂区内非甲烷总烃执行《挥发性有机物无组织排放控制标准》（GB37822-2019）附录 A 厂区内非甲烷总烃无组织排放限值，标准值见下表。</w:t>
            </w:r>
          </w:p>
          <w:p w14:paraId="6901267B">
            <w:pPr>
              <w:pStyle w:val="9"/>
              <w:tabs>
                <w:tab w:val="left" w:pos="4830"/>
              </w:tabs>
              <w:spacing w:before="0" w:after="0" w:line="240" w:lineRule="auto"/>
              <w:ind w:firstLine="0" w:firstLineChars="0"/>
              <w:jc w:val="center"/>
              <w:rPr>
                <w:rFonts w:hint="default" w:ascii="Times New Roman" w:hAnsi="Times New Roman" w:cs="Times New Roman"/>
                <w:b/>
                <w:bCs/>
                <w:color w:val="000000" w:themeColor="text1"/>
                <w:kern w:val="0"/>
                <w:sz w:val="21"/>
                <w:szCs w:val="21"/>
                <w:lang w:bidi="ar"/>
                <w14:textFill>
                  <w14:solidFill>
                    <w14:schemeClr w14:val="tx1"/>
                  </w14:solidFill>
                </w14:textFill>
              </w:rPr>
            </w:pPr>
          </w:p>
          <w:p w14:paraId="3B8AE5BF">
            <w:pPr>
              <w:pStyle w:val="9"/>
              <w:tabs>
                <w:tab w:val="left" w:pos="4830"/>
              </w:tabs>
              <w:spacing w:before="0" w:after="0" w:line="240" w:lineRule="auto"/>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表3-</w:t>
            </w:r>
            <w:r>
              <w:rPr>
                <w:rFonts w:hint="eastAsia" w:ascii="Times New Roman" w:hAnsi="Times New Roman" w:cs="Times New Roman"/>
                <w:b/>
                <w:bCs/>
                <w:color w:val="000000" w:themeColor="text1"/>
                <w:kern w:val="0"/>
                <w:sz w:val="21"/>
                <w:szCs w:val="21"/>
                <w:lang w:val="en-US" w:eastAsia="zh-CN" w:bidi="ar"/>
                <w14:textFill>
                  <w14:solidFill>
                    <w14:schemeClr w14:val="tx1"/>
                  </w14:solidFill>
                </w14:textFill>
              </w:rPr>
              <w:t>13</w:t>
            </w:r>
            <w:r>
              <w:rPr>
                <w:rFonts w:hint="default" w:ascii="Times New Roman" w:hAnsi="Times New Roman" w:cs="Times New Roman"/>
                <w:b/>
                <w:bCs/>
                <w:color w:val="000000" w:themeColor="text1"/>
                <w:kern w:val="0"/>
                <w:sz w:val="21"/>
                <w:szCs w:val="21"/>
                <w:lang w:bidi="ar"/>
                <w14:textFill>
                  <w14:solidFill>
                    <w14:schemeClr w14:val="tx1"/>
                  </w14:solidFill>
                </w14:textFill>
              </w:rPr>
              <w:t xml:space="preserve">  厂区内非甲烷总烃无组织排放限值     单位：mg/m³</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1622"/>
              <w:gridCol w:w="3354"/>
              <w:gridCol w:w="1731"/>
            </w:tblGrid>
            <w:tr w14:paraId="7B5AE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7" w:type="pct"/>
                  <w:vAlign w:val="center"/>
                </w:tcPr>
                <w:p w14:paraId="22EACAEF">
                  <w:pPr>
                    <w:pStyle w:val="9"/>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污染物</w:t>
                  </w:r>
                </w:p>
              </w:tc>
              <w:tc>
                <w:tcPr>
                  <w:tcW w:w="958" w:type="pct"/>
                  <w:vAlign w:val="center"/>
                </w:tcPr>
                <w:p w14:paraId="376E149C">
                  <w:pPr>
                    <w:keepNext w:val="0"/>
                    <w:keepLines w:val="0"/>
                    <w:pageBreakBefore w:val="0"/>
                    <w:widowControl/>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排放限值</w:t>
                  </w:r>
                </w:p>
              </w:tc>
              <w:tc>
                <w:tcPr>
                  <w:tcW w:w="1981" w:type="pct"/>
                  <w:vAlign w:val="center"/>
                </w:tcPr>
                <w:p w14:paraId="7A913F48">
                  <w:pPr>
                    <w:keepNext w:val="0"/>
                    <w:keepLines w:val="0"/>
                    <w:pageBreakBefore w:val="0"/>
                    <w:widowControl/>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限值含义</w:t>
                  </w:r>
                </w:p>
              </w:tc>
              <w:tc>
                <w:tcPr>
                  <w:tcW w:w="1022" w:type="pct"/>
                  <w:vAlign w:val="center"/>
                </w:tcPr>
                <w:p w14:paraId="05EC47F0">
                  <w:pPr>
                    <w:keepNext w:val="0"/>
                    <w:keepLines w:val="0"/>
                    <w:pageBreakBefore w:val="0"/>
                    <w:widowControl/>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无组织排放监控位置</w:t>
                  </w:r>
                </w:p>
              </w:tc>
            </w:tr>
            <w:tr w14:paraId="07B22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7" w:type="pct"/>
                  <w:vMerge w:val="restart"/>
                  <w:vAlign w:val="center"/>
                </w:tcPr>
                <w:p w14:paraId="3B801E9C">
                  <w:pPr>
                    <w:keepNext w:val="0"/>
                    <w:keepLines w:val="0"/>
                    <w:pageBreakBefore w:val="0"/>
                    <w:widowControl/>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非甲烷总烃</w:t>
                  </w:r>
                </w:p>
                <w:p w14:paraId="7067F536">
                  <w:pPr>
                    <w:keepNext w:val="0"/>
                    <w:keepLines w:val="0"/>
                    <w:pageBreakBefore w:val="0"/>
                    <w:widowControl/>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（NMHC）</w:t>
                  </w:r>
                </w:p>
              </w:tc>
              <w:tc>
                <w:tcPr>
                  <w:tcW w:w="958" w:type="pct"/>
                  <w:vAlign w:val="center"/>
                </w:tcPr>
                <w:p w14:paraId="096CA6CC">
                  <w:pPr>
                    <w:pStyle w:val="9"/>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10</w:t>
                  </w:r>
                </w:p>
              </w:tc>
              <w:tc>
                <w:tcPr>
                  <w:tcW w:w="1981" w:type="pct"/>
                  <w:vAlign w:val="center"/>
                </w:tcPr>
                <w:p w14:paraId="17F841A8">
                  <w:pPr>
                    <w:pStyle w:val="9"/>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监控点处1h平均浓度</w:t>
                  </w:r>
                </w:p>
              </w:tc>
              <w:tc>
                <w:tcPr>
                  <w:tcW w:w="1022" w:type="pct"/>
                  <w:vMerge w:val="restart"/>
                  <w:vAlign w:val="center"/>
                </w:tcPr>
                <w:p w14:paraId="5EE63612">
                  <w:pPr>
                    <w:pStyle w:val="9"/>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厂房外设置监控点</w:t>
                  </w:r>
                </w:p>
              </w:tc>
            </w:tr>
            <w:tr w14:paraId="07D63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7" w:type="pct"/>
                  <w:vMerge w:val="continue"/>
                  <w:vAlign w:val="center"/>
                </w:tcPr>
                <w:p w14:paraId="2AEE6C5A">
                  <w:pPr>
                    <w:keepNext w:val="0"/>
                    <w:keepLines w:val="0"/>
                    <w:pageBreakBefore w:val="0"/>
                    <w:widowControl/>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p>
              </w:tc>
              <w:tc>
                <w:tcPr>
                  <w:tcW w:w="958" w:type="pct"/>
                  <w:vAlign w:val="center"/>
                </w:tcPr>
                <w:p w14:paraId="777B6EE5">
                  <w:pPr>
                    <w:pStyle w:val="9"/>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30</w:t>
                  </w:r>
                </w:p>
              </w:tc>
              <w:tc>
                <w:tcPr>
                  <w:tcW w:w="1981" w:type="pct"/>
                  <w:vAlign w:val="center"/>
                </w:tcPr>
                <w:p w14:paraId="3E2E88E2">
                  <w:pPr>
                    <w:pStyle w:val="9"/>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监控点处任意一次浓度限值</w:t>
                  </w:r>
                </w:p>
              </w:tc>
              <w:tc>
                <w:tcPr>
                  <w:tcW w:w="1022" w:type="pct"/>
                  <w:vMerge w:val="continue"/>
                  <w:vAlign w:val="center"/>
                </w:tcPr>
                <w:p w14:paraId="65113C12">
                  <w:pPr>
                    <w:pStyle w:val="9"/>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r>
          </w:tbl>
          <w:p w14:paraId="30019042">
            <w:pPr>
              <w:keepNext w:val="0"/>
              <w:keepLines w:val="0"/>
              <w:pageBreakBefore w:val="0"/>
              <w:widowControl/>
              <w:tabs>
                <w:tab w:val="left" w:pos="4830"/>
              </w:tabs>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eastAsiaTheme="minorEastAsia"/>
                <w:b/>
                <w:bCs/>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lang w:val="en-US" w:eastAsia="zh-CN"/>
                <w14:textFill>
                  <w14:solidFill>
                    <w14:schemeClr w14:val="tx1"/>
                  </w14:solidFill>
                </w14:textFill>
              </w:rPr>
              <w:t>④食堂油烟废气</w:t>
            </w:r>
          </w:p>
          <w:p w14:paraId="379D48F6">
            <w:pPr>
              <w:keepNext w:val="0"/>
              <w:keepLines w:val="0"/>
              <w:pageBreakBefore w:val="0"/>
              <w:widowControl/>
              <w:tabs>
                <w:tab w:val="left" w:pos="4830"/>
              </w:tabs>
              <w:kinsoku/>
              <w:wordWrap/>
              <w:overflowPunct/>
              <w:topLinePunct w:val="0"/>
              <w:autoSpaceDE/>
              <w:autoSpaceDN/>
              <w:bidi w:val="0"/>
              <w:adjustRightInd/>
              <w:snapToGrid/>
              <w:spacing w:line="360" w:lineRule="auto"/>
              <w:ind w:firstLine="480" w:firstLineChars="200"/>
              <w:jc w:val="both"/>
              <w:textAlignment w:val="auto"/>
              <w:rPr>
                <w:b/>
                <w:bCs/>
                <w:color w:val="000000" w:themeColor="text1"/>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项目食堂设置</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个灶头，食堂油烟执行《饮食业油烟排放标准》（GB18483-2001</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小型规模标准</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，详见下表。</w:t>
            </w:r>
          </w:p>
          <w:p w14:paraId="662E7C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 xml:space="preserve">表 </w:t>
            </w:r>
            <w:r>
              <w:rPr>
                <w:rFonts w:hint="eastAsia" w:ascii="Times New Roman" w:hAnsi="Times New Roman" w:eastAsia="宋体" w:cs="Times New Roman"/>
                <w:b/>
                <w:bCs/>
                <w:color w:val="000000" w:themeColor="text1"/>
                <w:kern w:val="0"/>
                <w:sz w:val="21"/>
                <w:szCs w:val="21"/>
                <w:lang w:val="en-US" w:eastAsia="zh-CN" w:bidi="ar"/>
                <w14:textFill>
                  <w14:solidFill>
                    <w14:schemeClr w14:val="tx1"/>
                  </w14:solidFill>
                </w14:textFill>
              </w:rPr>
              <w:t>3</w:t>
            </w: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-1</w:t>
            </w:r>
            <w:r>
              <w:rPr>
                <w:rFonts w:hint="eastAsia" w:ascii="Times New Roman" w:hAnsi="Times New Roman" w:eastAsia="宋体" w:cs="Times New Roman"/>
                <w:b/>
                <w:bCs/>
                <w:color w:val="000000" w:themeColor="text1"/>
                <w:kern w:val="0"/>
                <w:sz w:val="21"/>
                <w:szCs w:val="21"/>
                <w:lang w:val="en-US" w:eastAsia="zh-CN" w:bidi="ar"/>
                <w14:textFill>
                  <w14:solidFill>
                    <w14:schemeClr w14:val="tx1"/>
                  </w14:solidFill>
                </w14:textFill>
              </w:rPr>
              <w:t>4</w:t>
            </w: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 xml:space="preserve">    饮食业油烟排放标准</w:t>
            </w:r>
          </w:p>
          <w:tbl>
            <w:tblPr>
              <w:tblStyle w:val="166"/>
              <w:tblW w:w="499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93"/>
              <w:gridCol w:w="1541"/>
              <w:gridCol w:w="1707"/>
              <w:gridCol w:w="1331"/>
              <w:gridCol w:w="2782"/>
            </w:tblGrid>
            <w:tr w14:paraId="607F2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 w:hRule="atLeast"/>
              </w:trPr>
              <w:tc>
                <w:tcPr>
                  <w:tcW w:w="646" w:type="pct"/>
                  <w:noWrap w:val="0"/>
                  <w:vAlign w:val="center"/>
                </w:tcPr>
                <w:p w14:paraId="5414B83D">
                  <w:pPr>
                    <w:pStyle w:val="9"/>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lang w:bidi="ar"/>
                      <w14:textFill>
                        <w14:solidFill>
                          <w14:schemeClr w14:val="tx1"/>
                        </w14:solidFill>
                      </w14:textFill>
                    </w:rPr>
                    <w:t>规模</w:t>
                  </w:r>
                </w:p>
              </w:tc>
              <w:tc>
                <w:tcPr>
                  <w:tcW w:w="911" w:type="pct"/>
                  <w:noWrap w:val="0"/>
                  <w:vAlign w:val="center"/>
                </w:tcPr>
                <w:p w14:paraId="1A2D908A">
                  <w:pPr>
                    <w:pStyle w:val="9"/>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lang w:bidi="ar"/>
                      <w14:textFill>
                        <w14:solidFill>
                          <w14:schemeClr w14:val="tx1"/>
                        </w14:solidFill>
                      </w14:textFill>
                    </w:rPr>
                    <w:t>基准灶头数</w:t>
                  </w:r>
                </w:p>
              </w:tc>
              <w:tc>
                <w:tcPr>
                  <w:tcW w:w="1009" w:type="pct"/>
                  <w:noWrap w:val="0"/>
                  <w:vAlign w:val="center"/>
                </w:tcPr>
                <w:p w14:paraId="2D57371A">
                  <w:pPr>
                    <w:pStyle w:val="9"/>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lang w:bidi="ar"/>
                      <w14:textFill>
                        <w14:solidFill>
                          <w14:schemeClr w14:val="tx1"/>
                        </w14:solidFill>
                      </w14:textFill>
                    </w:rPr>
                    <w:t>最高允许排放浓度</w:t>
                  </w:r>
                </w:p>
              </w:tc>
              <w:tc>
                <w:tcPr>
                  <w:tcW w:w="787" w:type="pct"/>
                  <w:noWrap w:val="0"/>
                  <w:vAlign w:val="center"/>
                </w:tcPr>
                <w:p w14:paraId="43D40854">
                  <w:pPr>
                    <w:pStyle w:val="9"/>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lang w:bidi="ar"/>
                      <w14:textFill>
                        <w14:solidFill>
                          <w14:schemeClr w14:val="tx1"/>
                        </w14:solidFill>
                      </w14:textFill>
                    </w:rPr>
                    <w:t>净化设施最低去除率</w:t>
                  </w:r>
                </w:p>
              </w:tc>
              <w:tc>
                <w:tcPr>
                  <w:tcW w:w="1645" w:type="pct"/>
                  <w:noWrap w:val="0"/>
                  <w:vAlign w:val="center"/>
                </w:tcPr>
                <w:p w14:paraId="7F8E29FA">
                  <w:pPr>
                    <w:pStyle w:val="9"/>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lang w:bidi="ar"/>
                      <w14:textFill>
                        <w14:solidFill>
                          <w14:schemeClr w14:val="tx1"/>
                        </w14:solidFill>
                      </w14:textFill>
                    </w:rPr>
                    <w:t>执行标准</w:t>
                  </w:r>
                </w:p>
              </w:tc>
            </w:tr>
            <w:tr w14:paraId="12C59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46" w:type="pct"/>
                  <w:noWrap w:val="0"/>
                  <w:vAlign w:val="center"/>
                </w:tcPr>
                <w:p w14:paraId="44C14122">
                  <w:pPr>
                    <w:pStyle w:val="9"/>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bidi="ar"/>
                      <w14:textFill>
                        <w14:solidFill>
                          <w14:schemeClr w14:val="tx1"/>
                        </w14:solidFill>
                      </w14:textFill>
                    </w:rPr>
                    <w:t>小型</w:t>
                  </w:r>
                </w:p>
              </w:tc>
              <w:tc>
                <w:tcPr>
                  <w:tcW w:w="911" w:type="pct"/>
                  <w:noWrap w:val="0"/>
                  <w:vAlign w:val="center"/>
                </w:tcPr>
                <w:p w14:paraId="59DB703B">
                  <w:pPr>
                    <w:pStyle w:val="9"/>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bidi="ar"/>
                      <w14:textFill>
                        <w14:solidFill>
                          <w14:schemeClr w14:val="tx1"/>
                        </w14:solidFill>
                      </w14:textFill>
                    </w:rPr>
                    <w:t>≥1 ，＜3</w:t>
                  </w:r>
                </w:p>
              </w:tc>
              <w:tc>
                <w:tcPr>
                  <w:tcW w:w="1009" w:type="pct"/>
                  <w:noWrap w:val="0"/>
                  <w:vAlign w:val="center"/>
                </w:tcPr>
                <w:p w14:paraId="0277BDCC">
                  <w:pPr>
                    <w:pStyle w:val="9"/>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bidi="ar"/>
                      <w14:textFill>
                        <w14:solidFill>
                          <w14:schemeClr w14:val="tx1"/>
                        </w14:solidFill>
                      </w14:textFill>
                    </w:rPr>
                    <w:t>2.0mg/m³</w:t>
                  </w:r>
                </w:p>
              </w:tc>
              <w:tc>
                <w:tcPr>
                  <w:tcW w:w="787" w:type="pct"/>
                  <w:noWrap w:val="0"/>
                  <w:vAlign w:val="center"/>
                </w:tcPr>
                <w:p w14:paraId="6397AC26">
                  <w:pPr>
                    <w:pStyle w:val="9"/>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bidi="ar"/>
                      <w14:textFill>
                        <w14:solidFill>
                          <w14:schemeClr w14:val="tx1"/>
                        </w14:solidFill>
                      </w14:textFill>
                    </w:rPr>
                    <w:t>60%</w:t>
                  </w:r>
                </w:p>
              </w:tc>
              <w:tc>
                <w:tcPr>
                  <w:tcW w:w="1645" w:type="pct"/>
                  <w:noWrap w:val="0"/>
                  <w:vAlign w:val="center"/>
                </w:tcPr>
                <w:p w14:paraId="482DB92B">
                  <w:pPr>
                    <w:pStyle w:val="9"/>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bidi="ar"/>
                      <w14:textFill>
                        <w14:solidFill>
                          <w14:schemeClr w14:val="tx1"/>
                        </w14:solidFill>
                      </w14:textFill>
                    </w:rPr>
                    <w:t>《饮食业油烟排放标准</w:t>
                  </w:r>
                </w:p>
                <w:p w14:paraId="127FBCDF">
                  <w:pPr>
                    <w:pStyle w:val="9"/>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bidi="ar"/>
                      <w14:textFill>
                        <w14:solidFill>
                          <w14:schemeClr w14:val="tx1"/>
                        </w14:solidFill>
                      </w14:textFill>
                    </w:rPr>
                    <w:t>（试行）》（GB18483-2001）</w:t>
                  </w:r>
                </w:p>
              </w:tc>
            </w:tr>
          </w:tbl>
          <w:p w14:paraId="5BAD813E">
            <w:pPr>
              <w:pStyle w:val="51"/>
              <w:pageBreakBefore w:val="0"/>
              <w:kinsoku/>
              <w:overflowPunct/>
              <w:topLinePunct w:val="0"/>
              <w:bidi w:val="0"/>
              <w:ind w:left="0" w:leftChars="0" w:right="0" w:firstLine="482"/>
              <w:rPr>
                <w:b/>
                <w:bCs/>
                <w:color w:val="000000" w:themeColor="text1"/>
                <w14:textFill>
                  <w14:solidFill>
                    <w14:schemeClr w14:val="tx1"/>
                  </w14:solidFill>
                </w14:textFill>
              </w:rPr>
            </w:pPr>
            <w:r>
              <w:rPr>
                <w:b/>
                <w:bCs/>
                <w:color w:val="000000" w:themeColor="text1"/>
                <w14:textFill>
                  <w14:solidFill>
                    <w14:schemeClr w14:val="tx1"/>
                  </w14:solidFill>
                </w14:textFill>
              </w:rPr>
              <w:t>2、废水</w:t>
            </w:r>
          </w:p>
          <w:p w14:paraId="2CF50E54">
            <w:pPr>
              <w:keepNext w:val="0"/>
              <w:keepLines/>
              <w:pageBreakBefore w:val="0"/>
              <w:kinsoku/>
              <w:overflowPunct/>
              <w:bidi w:val="0"/>
              <w:adjustRightInd/>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项目采取雨污分流制。</w:t>
            </w:r>
            <w:r>
              <w:rPr>
                <w:rFonts w:hint="eastAsia" w:cs="Times New Roman"/>
                <w:color w:val="000000" w:themeColor="text1"/>
                <w:sz w:val="24"/>
                <w:szCs w:val="24"/>
                <w:lang w:val="en-US" w:eastAsia="zh-CN"/>
                <w14:textFill>
                  <w14:solidFill>
                    <w14:schemeClr w14:val="tx1"/>
                  </w14:solidFill>
                </w14:textFill>
              </w:rPr>
              <w:t>雨水经厂区周边现有雨水沟收集后进入周边道路旁雨水沟</w:t>
            </w:r>
            <w:r>
              <w:rPr>
                <w:rFonts w:hint="eastAsia" w:cs="Times New Roman"/>
                <w:color w:val="000000" w:themeColor="text1"/>
                <w:sz w:val="24"/>
                <w:lang w:val="en-US" w:eastAsia="zh-CN"/>
                <w14:textFill>
                  <w14:solidFill>
                    <w14:schemeClr w14:val="tx1"/>
                  </w14:solidFill>
                </w14:textFill>
              </w:rPr>
              <w:t>。</w:t>
            </w:r>
          </w:p>
          <w:p w14:paraId="219A09B6">
            <w:pPr>
              <w:keepNext w:val="0"/>
              <w:keepLines/>
              <w:pageBreakBefore w:val="0"/>
              <w:kinsoku/>
              <w:overflowPunct/>
              <w:bidi w:val="0"/>
              <w:adjustRightInd/>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本项目软水制备废水及生物质锅炉排污水</w:t>
            </w:r>
            <w:r>
              <w:rPr>
                <w:rFonts w:hint="eastAsia" w:cs="Times New Roman"/>
                <w:color w:val="000000" w:themeColor="text1"/>
                <w:sz w:val="24"/>
                <w:szCs w:val="24"/>
                <w:lang w:val="en-US" w:eastAsia="zh-CN"/>
                <w14:textFill>
                  <w14:solidFill>
                    <w14:schemeClr w14:val="tx1"/>
                  </w14:solidFill>
                </w14:textFill>
              </w:rPr>
              <w:t>经收集处理后回用于厂区洒水降尘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，不外排。发泡工段蒸汽冷凝水用于生物质锅炉损耗补充水，不外排。</w:t>
            </w:r>
            <w:r>
              <w:rPr>
                <w:rFonts w:hint="eastAsia" w:cs="Times New Roman"/>
                <w:color w:val="000000" w:themeColor="text1"/>
                <w:sz w:val="24"/>
                <w:szCs w:val="24"/>
                <w:lang w:val="en-US" w:eastAsia="zh-CN"/>
                <w14:textFill>
                  <w14:solidFill>
                    <w14:schemeClr w14:val="tx1"/>
                  </w14:solidFill>
                </w14:textFill>
              </w:rPr>
              <w:t>流化干燥、烘干环节蒸汽自然蒸发</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压模环节蒸汽加热成型后多余蒸汽排出，自然蒸发</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6391683F">
            <w:pPr>
              <w:keepNext w:val="0"/>
              <w:keepLines/>
              <w:pageBreakBefore w:val="0"/>
              <w:kinsoku/>
              <w:overflowPunct/>
              <w:bidi w:val="0"/>
              <w:adjustRightInd/>
              <w:spacing w:line="360" w:lineRule="auto"/>
              <w:ind w:firstLine="480" w:firstLineChars="200"/>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本项目不新增工作人员，因此不新增生活用水。生活污水经化粪池、隔油池处理后</w:t>
            </w:r>
            <w:r>
              <w:rPr>
                <w:rFonts w:hint="eastAsia" w:cs="Times New Roman"/>
                <w:color w:val="000000" w:themeColor="text1"/>
                <w:sz w:val="24"/>
                <w:szCs w:val="24"/>
                <w:lang w:val="en-US" w:eastAsia="zh-CN"/>
                <w14:textFill>
                  <w14:solidFill>
                    <w14:schemeClr w14:val="tx1"/>
                  </w14:solidFill>
                </w14:textFill>
              </w:rPr>
              <w:t>进入新增一体化污水处理设施，处理达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《城市污水再生利用 城市杂用水水质》（GB/T18920-2020）中绿化标准后用于</w:t>
            </w:r>
            <w:r>
              <w:rPr>
                <w:rFonts w:hint="eastAsia" w:cs="Times New Roman"/>
                <w:color w:val="000000" w:themeColor="text1"/>
                <w:sz w:val="24"/>
                <w:szCs w:val="24"/>
                <w:lang w:val="en-US" w:eastAsia="zh-CN"/>
                <w14:textFill>
                  <w14:solidFill>
                    <w14:schemeClr w14:val="tx1"/>
                  </w14:solidFill>
                </w14:textFill>
              </w:rPr>
              <w:t>厂区绿化</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42A2E708">
            <w:pPr>
              <w:pStyle w:val="134"/>
              <w:pageBreakBefore w:val="0"/>
              <w:kinsoku/>
              <w:overflowPunct/>
              <w:topLinePunct w:val="0"/>
              <w:bidi w:val="0"/>
              <w:spacing w:before="0"/>
              <w:ind w:left="0" w:leftChars="0" w:right="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表</w:t>
            </w:r>
            <w:r>
              <w:rPr>
                <w:rFonts w:hint="eastAsia"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 xml:space="preserve"> </w:t>
            </w:r>
            <w:r>
              <w:rPr>
                <w:rFonts w:hint="eastAsia" w:ascii="Times New Roman" w:hAnsi="Times New Roman" w:eastAsia="宋体" w:cs="Times New Roman"/>
                <w:color w:val="000000" w:themeColor="text1"/>
                <w:lang w:eastAsia="zh-CN"/>
                <w14:textFill>
                  <w14:solidFill>
                    <w14:schemeClr w14:val="tx1"/>
                  </w14:solidFill>
                </w14:textFill>
              </w:rPr>
              <w:t>项目生活污水处理</w:t>
            </w:r>
            <w:r>
              <w:rPr>
                <w:rFonts w:ascii="Times New Roman" w:hAnsi="Times New Roman" w:eastAsia="宋体" w:cs="Times New Roman"/>
                <w:color w:val="000000" w:themeColor="text1"/>
                <w14:textFill>
                  <w14:solidFill>
                    <w14:schemeClr w14:val="tx1"/>
                  </w14:solidFill>
                </w14:textFill>
              </w:rPr>
              <w:t>标准</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3583"/>
              <w:gridCol w:w="4020"/>
            </w:tblGrid>
            <w:tr w14:paraId="7CAB4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508" w:type="pct"/>
                  <w:vAlign w:val="center"/>
                </w:tcPr>
                <w:p w14:paraId="36D8D909">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序号</w:t>
                  </w:r>
                </w:p>
              </w:tc>
              <w:tc>
                <w:tcPr>
                  <w:tcW w:w="2116" w:type="pct"/>
                  <w:vAlign w:val="center"/>
                </w:tcPr>
                <w:p w14:paraId="4F2BDCF7">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基本控制项目</w:t>
                  </w:r>
                </w:p>
              </w:tc>
              <w:tc>
                <w:tcPr>
                  <w:tcW w:w="2374" w:type="pct"/>
                  <w:vAlign w:val="center"/>
                </w:tcPr>
                <w:p w14:paraId="2AFCB4D7">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《城市污水再生利用 城市杂用水水质》城市绿化用水标准</w:t>
                  </w:r>
                </w:p>
              </w:tc>
            </w:tr>
            <w:tr w14:paraId="58E5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08" w:type="pct"/>
                  <w:vAlign w:val="center"/>
                </w:tcPr>
                <w:p w14:paraId="1033D0FF">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2116" w:type="pct"/>
                  <w:vAlign w:val="center"/>
                </w:tcPr>
                <w:p w14:paraId="29719E3E">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pH</w:t>
                  </w:r>
                </w:p>
              </w:tc>
              <w:tc>
                <w:tcPr>
                  <w:tcW w:w="2374" w:type="pct"/>
                  <w:vAlign w:val="center"/>
                </w:tcPr>
                <w:p w14:paraId="0C6625FA">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6~9</w:t>
                  </w:r>
                </w:p>
              </w:tc>
            </w:tr>
            <w:tr w14:paraId="3DB75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Align w:val="center"/>
                </w:tcPr>
                <w:p w14:paraId="21541E50">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2116" w:type="pct"/>
                  <w:vAlign w:val="center"/>
                </w:tcPr>
                <w:p w14:paraId="293D649E">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色度（稀释倍数）≤</w:t>
                  </w:r>
                </w:p>
              </w:tc>
              <w:tc>
                <w:tcPr>
                  <w:tcW w:w="2374" w:type="pct"/>
                  <w:vAlign w:val="center"/>
                </w:tcPr>
                <w:p w14:paraId="139CBF9D">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30</w:t>
                  </w:r>
                </w:p>
              </w:tc>
            </w:tr>
            <w:tr w14:paraId="08439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Align w:val="center"/>
                </w:tcPr>
                <w:p w14:paraId="40525F57">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w:t>
                  </w:r>
                </w:p>
              </w:tc>
              <w:tc>
                <w:tcPr>
                  <w:tcW w:w="2116" w:type="pct"/>
                  <w:vAlign w:val="center"/>
                </w:tcPr>
                <w:p w14:paraId="3E543FF3">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嗅</w:t>
                  </w:r>
                </w:p>
              </w:tc>
              <w:tc>
                <w:tcPr>
                  <w:tcW w:w="2374" w:type="pct"/>
                  <w:vAlign w:val="center"/>
                </w:tcPr>
                <w:p w14:paraId="41119439">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无不快感</w:t>
                  </w:r>
                </w:p>
              </w:tc>
            </w:tr>
            <w:tr w14:paraId="11035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Align w:val="center"/>
                </w:tcPr>
                <w:p w14:paraId="05C6B317">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w:t>
                  </w:r>
                </w:p>
              </w:tc>
              <w:tc>
                <w:tcPr>
                  <w:tcW w:w="2116" w:type="pct"/>
                  <w:vAlign w:val="center"/>
                </w:tcPr>
                <w:p w14:paraId="2FFB6B90">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浊度（NTU）≤</w:t>
                  </w:r>
                </w:p>
              </w:tc>
              <w:tc>
                <w:tcPr>
                  <w:tcW w:w="2374" w:type="pct"/>
                  <w:vAlign w:val="center"/>
                </w:tcPr>
                <w:p w14:paraId="148B54B5">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r>
            <w:tr w14:paraId="7213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Align w:val="center"/>
                </w:tcPr>
                <w:p w14:paraId="1B4A9B98">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w:t>
                  </w:r>
                </w:p>
              </w:tc>
              <w:tc>
                <w:tcPr>
                  <w:tcW w:w="2116" w:type="pct"/>
                  <w:vAlign w:val="center"/>
                </w:tcPr>
                <w:p w14:paraId="76A59A39">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五日生化需氧量（BOD5）≤</w:t>
                  </w:r>
                </w:p>
              </w:tc>
              <w:tc>
                <w:tcPr>
                  <w:tcW w:w="2374" w:type="pct"/>
                  <w:vAlign w:val="center"/>
                </w:tcPr>
                <w:p w14:paraId="27910879">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r>
            <w:tr w14:paraId="0003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Align w:val="center"/>
                </w:tcPr>
                <w:p w14:paraId="27F614A9">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w:t>
                  </w:r>
                </w:p>
              </w:tc>
              <w:tc>
                <w:tcPr>
                  <w:tcW w:w="2116" w:type="pct"/>
                  <w:vAlign w:val="center"/>
                </w:tcPr>
                <w:p w14:paraId="4A9B8919">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氨氮（以N计）≤</w:t>
                  </w:r>
                </w:p>
              </w:tc>
              <w:tc>
                <w:tcPr>
                  <w:tcW w:w="2374" w:type="pct"/>
                  <w:vAlign w:val="center"/>
                </w:tcPr>
                <w:p w14:paraId="32E80DF2">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w:t>
                  </w:r>
                </w:p>
              </w:tc>
            </w:tr>
            <w:tr w14:paraId="69CC1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Align w:val="center"/>
                </w:tcPr>
                <w:p w14:paraId="1A06AFE4">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w:t>
                  </w:r>
                </w:p>
              </w:tc>
              <w:tc>
                <w:tcPr>
                  <w:tcW w:w="2116" w:type="pct"/>
                  <w:vAlign w:val="center"/>
                </w:tcPr>
                <w:p w14:paraId="09A00A0E">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阴离子表面活性剂≤</w:t>
                  </w:r>
                </w:p>
              </w:tc>
              <w:tc>
                <w:tcPr>
                  <w:tcW w:w="2374" w:type="pct"/>
                  <w:vAlign w:val="center"/>
                </w:tcPr>
                <w:p w14:paraId="33A0284F">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0.5</w:t>
                  </w:r>
                </w:p>
              </w:tc>
            </w:tr>
            <w:tr w14:paraId="37B0C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Align w:val="center"/>
                </w:tcPr>
                <w:p w14:paraId="6FFDC5F6">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w:t>
                  </w:r>
                </w:p>
              </w:tc>
              <w:tc>
                <w:tcPr>
                  <w:tcW w:w="2116" w:type="pct"/>
                  <w:vAlign w:val="center"/>
                </w:tcPr>
                <w:p w14:paraId="52B33F27">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溶解性总固体≤</w:t>
                  </w:r>
                </w:p>
              </w:tc>
              <w:tc>
                <w:tcPr>
                  <w:tcW w:w="2374" w:type="pct"/>
                  <w:vAlign w:val="center"/>
                </w:tcPr>
                <w:p w14:paraId="39ED3883">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1000</w:t>
                  </w:r>
                </w:p>
              </w:tc>
            </w:tr>
            <w:tr w14:paraId="77151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Align w:val="center"/>
                </w:tcPr>
                <w:p w14:paraId="6ABEFA3B">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w:t>
                  </w:r>
                </w:p>
              </w:tc>
              <w:tc>
                <w:tcPr>
                  <w:tcW w:w="2116" w:type="pct"/>
                  <w:vAlign w:val="center"/>
                </w:tcPr>
                <w:p w14:paraId="0F8AB41A">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溶解氧≥</w:t>
                  </w:r>
                </w:p>
              </w:tc>
              <w:tc>
                <w:tcPr>
                  <w:tcW w:w="2374" w:type="pct"/>
                  <w:vAlign w:val="center"/>
                </w:tcPr>
                <w:p w14:paraId="2C73F8F9">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w:t>
                  </w:r>
                </w:p>
              </w:tc>
            </w:tr>
            <w:tr w14:paraId="6B32F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Align w:val="center"/>
                </w:tcPr>
                <w:p w14:paraId="1C916F62">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w:t>
                  </w:r>
                </w:p>
              </w:tc>
              <w:tc>
                <w:tcPr>
                  <w:tcW w:w="2116" w:type="pct"/>
                  <w:vAlign w:val="center"/>
                </w:tcPr>
                <w:p w14:paraId="0E2CA3EC">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总氯≥</w:t>
                  </w:r>
                </w:p>
              </w:tc>
              <w:tc>
                <w:tcPr>
                  <w:tcW w:w="2374" w:type="pct"/>
                  <w:vAlign w:val="center"/>
                </w:tcPr>
                <w:p w14:paraId="2AA74E1F">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1.0（出厂），0.2管网末端</w:t>
                  </w:r>
                </w:p>
              </w:tc>
            </w:tr>
            <w:tr w14:paraId="48467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Align w:val="center"/>
                </w:tcPr>
                <w:p w14:paraId="51CC7604">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w:t>
                  </w:r>
                </w:p>
              </w:tc>
              <w:tc>
                <w:tcPr>
                  <w:tcW w:w="2116" w:type="pct"/>
                  <w:vAlign w:val="center"/>
                </w:tcPr>
                <w:p w14:paraId="5A21B5CF">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大肠埃希氏菌/（MPN/100mL或CFU/100mL）</w:t>
                  </w:r>
                </w:p>
              </w:tc>
              <w:tc>
                <w:tcPr>
                  <w:tcW w:w="2374" w:type="pct"/>
                  <w:vAlign w:val="center"/>
                </w:tcPr>
                <w:p w14:paraId="54766345">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无</w:t>
                  </w:r>
                </w:p>
              </w:tc>
            </w:tr>
          </w:tbl>
          <w:p w14:paraId="134C79C9">
            <w:pPr>
              <w:pStyle w:val="17"/>
              <w:pageBreakBefore w:val="0"/>
              <w:kinsoku/>
              <w:overflowPunct/>
              <w:topLinePunct w:val="0"/>
              <w:bidi w:val="0"/>
              <w:adjustRightInd w:val="0"/>
              <w:snapToGrid w:val="0"/>
              <w:spacing w:line="336" w:lineRule="auto"/>
              <w:ind w:left="0" w:leftChars="0" w:right="0" w:firstLine="482" w:firstLineChars="200"/>
              <w:rPr>
                <w:rFonts w:ascii="Times New Roman" w:hAnsi="Times New Roman"/>
                <w:b/>
                <w:bCs/>
                <w:color w:val="000000" w:themeColor="text1"/>
                <w:sz w:val="24"/>
                <w14:textFill>
                  <w14:solidFill>
                    <w14:schemeClr w14:val="tx1"/>
                  </w14:solidFill>
                </w14:textFill>
              </w:rPr>
            </w:pPr>
            <w:r>
              <w:rPr>
                <w:rFonts w:ascii="Times New Roman" w:hAnsi="Times New Roman"/>
                <w:b/>
                <w:bCs/>
                <w:color w:val="000000" w:themeColor="text1"/>
                <w:sz w:val="24"/>
                <w14:textFill>
                  <w14:solidFill>
                    <w14:schemeClr w14:val="tx1"/>
                  </w14:solidFill>
                </w14:textFill>
              </w:rPr>
              <w:t>3、噪声</w:t>
            </w:r>
          </w:p>
          <w:p w14:paraId="4515314A">
            <w:pPr>
              <w:pageBreakBefore w:val="0"/>
              <w:kinsoku/>
              <w:overflowPunct/>
              <w:topLinePunct w:val="0"/>
              <w:bidi w:val="0"/>
              <w:adjustRightInd w:val="0"/>
              <w:snapToGrid w:val="0"/>
              <w:spacing w:line="336" w:lineRule="auto"/>
              <w:ind w:left="0" w:leftChars="0" w:right="0"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（1）施工期</w:t>
            </w:r>
          </w:p>
          <w:p w14:paraId="6DF7D9F0">
            <w:pPr>
              <w:pageBreakBefore w:val="0"/>
              <w:kinsoku/>
              <w:overflowPunct/>
              <w:topLinePunct w:val="0"/>
              <w:bidi w:val="0"/>
              <w:adjustRightInd w:val="0"/>
              <w:snapToGrid w:val="0"/>
              <w:spacing w:line="336" w:lineRule="auto"/>
              <w:ind w:left="0" w:leftChars="0" w:right="0"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项目施工期噪声执行</w:t>
            </w:r>
            <w:r>
              <w:rPr>
                <w:color w:val="000000" w:themeColor="text1"/>
                <w:kern w:val="0"/>
                <w:sz w:val="24"/>
                <w14:textFill>
                  <w14:solidFill>
                    <w14:schemeClr w14:val="tx1"/>
                  </w14:solidFill>
                </w14:textFill>
              </w:rPr>
              <w:t>《</w:t>
            </w:r>
            <w:r>
              <w:rPr>
                <w:rFonts w:hint="default" w:ascii="Times New Roman" w:hAnsi="Times New Roman" w:eastAsia="宋体" w:cs="Times New Roman"/>
                <w:color w:val="000000" w:themeColor="text1"/>
                <w:sz w:val="24"/>
                <w:lang w:val="en-US" w:eastAsia="zh-CN" w:bidi="ar"/>
                <w14:textFill>
                  <w14:solidFill>
                    <w14:schemeClr w14:val="tx1"/>
                  </w14:solidFill>
                </w14:textFill>
              </w:rPr>
              <w:fldChar w:fldCharType="begin"/>
            </w:r>
            <w:r>
              <w:rPr>
                <w:rFonts w:hint="default" w:ascii="Times New Roman" w:hAnsi="Times New Roman" w:eastAsia="宋体" w:cs="Times New Roman"/>
                <w:color w:val="000000" w:themeColor="text1"/>
                <w:sz w:val="24"/>
                <w:lang w:val="en-US" w:eastAsia="zh-CN" w:bidi="ar"/>
                <w14:textFill>
                  <w14:solidFill>
                    <w14:schemeClr w14:val="tx1"/>
                  </w14:solidFill>
                </w14:textFill>
              </w:rPr>
              <w:instrText xml:space="preserve"> HYPERLINK "http://www.baidu.com/link?url=vhwy2vNNemhUFriaVGLYYZ2YcrzsoGZk_J4avJx-QKbnaqAcDJ-jLUZCiToC_BFVGn8doOiCltzIzVihhJVV7QMlVAFhiy2HGozLlbspcK88_6Xn49NjVDpvm2-aUORB" \t "https://www.baidu.com/_blank" </w:instrText>
            </w:r>
            <w:r>
              <w:rPr>
                <w:rFonts w:hint="default" w:ascii="Times New Roman" w:hAnsi="Times New Roman" w:eastAsia="宋体" w:cs="Times New Roman"/>
                <w:color w:val="000000" w:themeColor="text1"/>
                <w:sz w:val="24"/>
                <w:lang w:val="en-US" w:eastAsia="zh-CN" w:bidi="ar"/>
                <w14:textFill>
                  <w14:solidFill>
                    <w14:schemeClr w14:val="tx1"/>
                  </w14:solidFill>
                </w14:textFill>
              </w:rPr>
              <w:fldChar w:fldCharType="separate"/>
            </w:r>
            <w:r>
              <w:rPr>
                <w:rFonts w:hint="default" w:ascii="Times New Roman" w:hAnsi="Times New Roman" w:eastAsia="宋体" w:cs="Times New Roman"/>
                <w:color w:val="000000" w:themeColor="text1"/>
                <w:sz w:val="24"/>
                <w:lang w:val="en-US" w:eastAsia="zh-CN" w:bidi="ar"/>
                <w14:textFill>
                  <w14:solidFill>
                    <w14:schemeClr w14:val="tx1"/>
                  </w14:solidFill>
                </w14:textFill>
              </w:rPr>
              <w:t>建筑施工噪声排放标准</w:t>
            </w:r>
            <w:r>
              <w:rPr>
                <w:rFonts w:hint="default" w:ascii="Times New Roman" w:hAnsi="Times New Roman" w:eastAsia="宋体" w:cs="Times New Roman"/>
                <w:color w:val="000000" w:themeColor="text1"/>
                <w:sz w:val="24"/>
                <w:lang w:val="en-US" w:eastAsia="zh-CN" w:bidi="ar"/>
                <w14:textFill>
                  <w14:solidFill>
                    <w14:schemeClr w14:val="tx1"/>
                  </w14:solidFill>
                </w14:textFill>
              </w:rPr>
              <w:fldChar w:fldCharType="end"/>
            </w:r>
            <w:r>
              <w:rPr>
                <w:color w:val="000000" w:themeColor="text1"/>
                <w:kern w:val="0"/>
                <w:sz w:val="24"/>
                <w14:textFill>
                  <w14:solidFill>
                    <w14:schemeClr w14:val="tx1"/>
                  </w14:solidFill>
                </w14:textFill>
              </w:rPr>
              <w:t>》（GB12523-20</w:t>
            </w:r>
            <w:r>
              <w:rPr>
                <w:rFonts w:hint="eastAsia"/>
                <w:color w:val="000000" w:themeColor="text1"/>
                <w:kern w:val="0"/>
                <w:sz w:val="24"/>
                <w:lang w:val="en-US" w:eastAsia="zh-CN"/>
                <w14:textFill>
                  <w14:solidFill>
                    <w14:schemeClr w14:val="tx1"/>
                  </w14:solidFill>
                </w14:textFill>
              </w:rPr>
              <w:t>25</w:t>
            </w:r>
            <w:r>
              <w:rPr>
                <w:color w:val="000000" w:themeColor="text1"/>
                <w:kern w:val="0"/>
                <w:sz w:val="24"/>
                <w14:textFill>
                  <w14:solidFill>
                    <w14:schemeClr w14:val="tx1"/>
                  </w14:solidFill>
                </w14:textFill>
              </w:rPr>
              <w:t>）标准限值见表。</w:t>
            </w:r>
          </w:p>
          <w:p w14:paraId="32D66206">
            <w:pPr>
              <w:pStyle w:val="52"/>
              <w:pageBreakBefore w:val="0"/>
              <w:kinsoku/>
              <w:overflowPunct/>
              <w:topLinePunct w:val="0"/>
              <w:bidi w:val="0"/>
              <w:spacing w:before="0"/>
              <w:ind w:left="0" w:leftChars="0" w:right="0"/>
              <w:rPr>
                <w:color w:val="000000" w:themeColor="text1"/>
                <w14:textFill>
                  <w14:solidFill>
                    <w14:schemeClr w14:val="tx1"/>
                  </w14:solidFill>
                </w14:textFill>
              </w:rPr>
            </w:pPr>
            <w:r>
              <w:rPr>
                <w:color w:val="000000" w:themeColor="text1"/>
                <w14:textFill>
                  <w14:solidFill>
                    <w14:schemeClr w14:val="tx1"/>
                  </w14:solidFill>
                </w14:textFill>
              </w:rPr>
              <w:t>表3-1</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 xml:space="preserve">  建筑施工噪声排放标准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单位：dB（A）</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3"/>
              <w:gridCol w:w="1636"/>
              <w:gridCol w:w="1454"/>
              <w:gridCol w:w="3790"/>
            </w:tblGrid>
            <w:tr w14:paraId="7710D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935" w:type="pct"/>
                  <w:vAlign w:val="center"/>
                </w:tcPr>
                <w:p w14:paraId="704F897B">
                  <w:pPr>
                    <w:pStyle w:val="32"/>
                    <w:pageBreakBefore w:val="0"/>
                    <w:kinsoku/>
                    <w:overflowPunct/>
                    <w:topLinePunct w:val="0"/>
                    <w:bidi w:val="0"/>
                    <w:spacing w:after="0"/>
                    <w:ind w:left="0" w:leftChars="0" w:right="0"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环境要素</w:t>
                  </w:r>
                </w:p>
              </w:tc>
              <w:tc>
                <w:tcPr>
                  <w:tcW w:w="1825" w:type="pct"/>
                  <w:gridSpan w:val="2"/>
                  <w:vAlign w:val="center"/>
                </w:tcPr>
                <w:p w14:paraId="4FA2EC28">
                  <w:pPr>
                    <w:pStyle w:val="32"/>
                    <w:pageBreakBefore w:val="0"/>
                    <w:kinsoku/>
                    <w:overflowPunct/>
                    <w:topLinePunct w:val="0"/>
                    <w:bidi w:val="0"/>
                    <w:spacing w:after="0"/>
                    <w:ind w:left="0" w:leftChars="0" w:right="0"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标准值</w:t>
                  </w:r>
                </w:p>
              </w:tc>
              <w:tc>
                <w:tcPr>
                  <w:tcW w:w="2238" w:type="pct"/>
                  <w:vAlign w:val="center"/>
                </w:tcPr>
                <w:p w14:paraId="1411B87B">
                  <w:pPr>
                    <w:pStyle w:val="32"/>
                    <w:pageBreakBefore w:val="0"/>
                    <w:kinsoku/>
                    <w:overflowPunct/>
                    <w:topLinePunct w:val="0"/>
                    <w:bidi w:val="0"/>
                    <w:spacing w:after="0"/>
                    <w:ind w:left="0" w:leftChars="0" w:right="0"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标准来源</w:t>
                  </w:r>
                </w:p>
              </w:tc>
            </w:tr>
            <w:tr w14:paraId="1652D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935" w:type="pct"/>
                  <w:vMerge w:val="restart"/>
                  <w:vAlign w:val="center"/>
                </w:tcPr>
                <w:p w14:paraId="7BBBEB39">
                  <w:pPr>
                    <w:pStyle w:val="32"/>
                    <w:pageBreakBefore w:val="0"/>
                    <w:kinsoku/>
                    <w:overflowPunct/>
                    <w:topLinePunct w:val="0"/>
                    <w:bidi w:val="0"/>
                    <w:spacing w:after="0"/>
                    <w:ind w:left="0" w:leftChars="0" w:right="0" w:firstLine="0" w:firstLineChars="0"/>
                    <w:jc w:val="center"/>
                    <w:rPr>
                      <w:bCs/>
                      <w:color w:val="000000" w:themeColor="text1"/>
                      <w14:textFill>
                        <w14:solidFill>
                          <w14:schemeClr w14:val="tx1"/>
                        </w14:solidFill>
                      </w14:textFill>
                    </w:rPr>
                  </w:pPr>
                  <w:r>
                    <w:rPr>
                      <w:bCs/>
                      <w:color w:val="000000" w:themeColor="text1"/>
                      <w14:textFill>
                        <w14:solidFill>
                          <w14:schemeClr w14:val="tx1"/>
                        </w14:solidFill>
                      </w14:textFill>
                    </w:rPr>
                    <w:t>噪声</w:t>
                  </w:r>
                </w:p>
              </w:tc>
              <w:tc>
                <w:tcPr>
                  <w:tcW w:w="966" w:type="pct"/>
                  <w:vAlign w:val="center"/>
                </w:tcPr>
                <w:p w14:paraId="1B4986AE">
                  <w:pPr>
                    <w:pStyle w:val="32"/>
                    <w:pageBreakBefore w:val="0"/>
                    <w:kinsoku/>
                    <w:overflowPunct/>
                    <w:topLinePunct w:val="0"/>
                    <w:bidi w:val="0"/>
                    <w:spacing w:after="0"/>
                    <w:ind w:left="0" w:leftChars="0" w:right="0" w:firstLine="0" w:firstLineChars="0"/>
                    <w:jc w:val="center"/>
                    <w:rPr>
                      <w:bCs/>
                      <w:color w:val="000000" w:themeColor="text1"/>
                      <w14:textFill>
                        <w14:solidFill>
                          <w14:schemeClr w14:val="tx1"/>
                        </w14:solidFill>
                      </w14:textFill>
                    </w:rPr>
                  </w:pPr>
                  <w:r>
                    <w:rPr>
                      <w:bCs/>
                      <w:color w:val="000000" w:themeColor="text1"/>
                      <w14:textFill>
                        <w14:solidFill>
                          <w14:schemeClr w14:val="tx1"/>
                        </w14:solidFill>
                      </w14:textFill>
                    </w:rPr>
                    <w:t>昼间</w:t>
                  </w:r>
                </w:p>
              </w:tc>
              <w:tc>
                <w:tcPr>
                  <w:tcW w:w="858" w:type="pct"/>
                  <w:vAlign w:val="center"/>
                </w:tcPr>
                <w:p w14:paraId="58C007D6">
                  <w:pPr>
                    <w:pStyle w:val="32"/>
                    <w:pageBreakBefore w:val="0"/>
                    <w:kinsoku/>
                    <w:overflowPunct/>
                    <w:topLinePunct w:val="0"/>
                    <w:bidi w:val="0"/>
                    <w:spacing w:after="0"/>
                    <w:ind w:left="0" w:leftChars="0" w:right="0" w:firstLine="0" w:firstLineChars="0"/>
                    <w:jc w:val="center"/>
                    <w:rPr>
                      <w:bCs/>
                      <w:color w:val="000000" w:themeColor="text1"/>
                      <w14:textFill>
                        <w14:solidFill>
                          <w14:schemeClr w14:val="tx1"/>
                        </w14:solidFill>
                      </w14:textFill>
                    </w:rPr>
                  </w:pPr>
                  <w:r>
                    <w:rPr>
                      <w:bCs/>
                      <w:color w:val="000000" w:themeColor="text1"/>
                      <w14:textFill>
                        <w14:solidFill>
                          <w14:schemeClr w14:val="tx1"/>
                        </w14:solidFill>
                      </w14:textFill>
                    </w:rPr>
                    <w:t>夜间</w:t>
                  </w:r>
                </w:p>
              </w:tc>
              <w:tc>
                <w:tcPr>
                  <w:tcW w:w="2238" w:type="pct"/>
                  <w:vMerge w:val="restart"/>
                  <w:vAlign w:val="center"/>
                </w:tcPr>
                <w:p w14:paraId="17DB6A16">
                  <w:pPr>
                    <w:pStyle w:val="32"/>
                    <w:pageBreakBefore w:val="0"/>
                    <w:kinsoku/>
                    <w:overflowPunct/>
                    <w:topLinePunct w:val="0"/>
                    <w:bidi w:val="0"/>
                    <w:spacing w:after="0"/>
                    <w:ind w:left="0" w:leftChars="0" w:right="0" w:firstLine="0" w:firstLineChars="0"/>
                    <w:jc w:val="center"/>
                    <w:rPr>
                      <w:bCs/>
                      <w:color w:val="000000" w:themeColor="text1"/>
                      <w14:textFill>
                        <w14:solidFill>
                          <w14:schemeClr w14:val="tx1"/>
                        </w14:solidFill>
                      </w14:textFill>
                    </w:rPr>
                  </w:pPr>
                  <w:r>
                    <w:rPr>
                      <w:bCs/>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fldChar w:fldCharType="begin"/>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instrText xml:space="preserve"> HYPERLINK "http://www.baidu.com/link?url=vhwy2vNNemhUFriaVGLYYZ2YcrzsoGZk_J4avJx-QKbnaqAcDJ-jLUZCiToC_BFVGn8doOiCltzIzVihhJVV7QMlVAFhiy2HGozLlbspcK88_6Xn49NjVDpvm2-aUORB" \t "https://www.baidu.com/_blank" </w:instrText>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建筑施工噪声排放标准</w:t>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fldChar w:fldCharType="end"/>
                  </w:r>
                  <w:r>
                    <w:rPr>
                      <w:bCs/>
                      <w:color w:val="000000" w:themeColor="text1"/>
                      <w:sz w:val="21"/>
                      <w:szCs w:val="21"/>
                      <w14:textFill>
                        <w14:solidFill>
                          <w14:schemeClr w14:val="tx1"/>
                        </w14:solidFill>
                      </w14:textFill>
                    </w:rPr>
                    <w:t>》（</w:t>
                  </w:r>
                  <w:r>
                    <w:rPr>
                      <w:bCs/>
                      <w:color w:val="000000" w:themeColor="text1"/>
                      <w:kern w:val="0"/>
                      <w:sz w:val="21"/>
                      <w:szCs w:val="21"/>
                      <w14:textFill>
                        <w14:solidFill>
                          <w14:schemeClr w14:val="tx1"/>
                        </w14:solidFill>
                      </w14:textFill>
                    </w:rPr>
                    <w:t>GB12523－20</w:t>
                  </w:r>
                  <w:r>
                    <w:rPr>
                      <w:rFonts w:hint="eastAsia"/>
                      <w:bCs/>
                      <w:color w:val="000000" w:themeColor="text1"/>
                      <w:kern w:val="0"/>
                      <w:sz w:val="21"/>
                      <w:szCs w:val="21"/>
                      <w:lang w:val="en-US" w:eastAsia="zh-CN"/>
                      <w14:textFill>
                        <w14:solidFill>
                          <w14:schemeClr w14:val="tx1"/>
                        </w14:solidFill>
                      </w14:textFill>
                    </w:rPr>
                    <w:t>25</w:t>
                  </w:r>
                  <w:r>
                    <w:rPr>
                      <w:bCs/>
                      <w:color w:val="000000" w:themeColor="text1"/>
                      <w:sz w:val="21"/>
                      <w:szCs w:val="21"/>
                      <w14:textFill>
                        <w14:solidFill>
                          <w14:schemeClr w14:val="tx1"/>
                        </w14:solidFill>
                      </w14:textFill>
                    </w:rPr>
                    <w:t>）表1中</w:t>
                  </w:r>
                  <w:r>
                    <w:rPr>
                      <w:bCs/>
                      <w:color w:val="000000" w:themeColor="text1"/>
                      <w14:textFill>
                        <w14:solidFill>
                          <w14:schemeClr w14:val="tx1"/>
                        </w14:solidFill>
                      </w14:textFill>
                    </w:rPr>
                    <w:t>排放限值</w:t>
                  </w:r>
                </w:p>
              </w:tc>
            </w:tr>
            <w:tr w14:paraId="22D5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935" w:type="pct"/>
                  <w:vMerge w:val="continue"/>
                  <w:vAlign w:val="center"/>
                </w:tcPr>
                <w:p w14:paraId="1BEDA2E3">
                  <w:pPr>
                    <w:pStyle w:val="32"/>
                    <w:pageBreakBefore w:val="0"/>
                    <w:kinsoku/>
                    <w:overflowPunct/>
                    <w:topLinePunct w:val="0"/>
                    <w:bidi w:val="0"/>
                    <w:spacing w:after="0"/>
                    <w:ind w:left="0" w:leftChars="0" w:right="0" w:firstLine="0" w:firstLineChars="0"/>
                    <w:jc w:val="center"/>
                    <w:rPr>
                      <w:bCs/>
                      <w:color w:val="000000" w:themeColor="text1"/>
                      <w14:textFill>
                        <w14:solidFill>
                          <w14:schemeClr w14:val="tx1"/>
                        </w14:solidFill>
                      </w14:textFill>
                    </w:rPr>
                  </w:pPr>
                </w:p>
              </w:tc>
              <w:tc>
                <w:tcPr>
                  <w:tcW w:w="966" w:type="pct"/>
                  <w:vAlign w:val="center"/>
                </w:tcPr>
                <w:p w14:paraId="44311E11">
                  <w:pPr>
                    <w:pStyle w:val="32"/>
                    <w:pageBreakBefore w:val="0"/>
                    <w:kinsoku/>
                    <w:overflowPunct/>
                    <w:topLinePunct w:val="0"/>
                    <w:bidi w:val="0"/>
                    <w:spacing w:after="0"/>
                    <w:ind w:left="0" w:leftChars="0" w:right="0" w:firstLine="0" w:firstLineChars="0"/>
                    <w:jc w:val="center"/>
                    <w:rPr>
                      <w:bCs/>
                      <w:color w:val="000000" w:themeColor="text1"/>
                      <w14:textFill>
                        <w14:solidFill>
                          <w14:schemeClr w14:val="tx1"/>
                        </w14:solidFill>
                      </w14:textFill>
                    </w:rPr>
                  </w:pPr>
                  <w:r>
                    <w:rPr>
                      <w:bCs/>
                      <w:color w:val="000000" w:themeColor="text1"/>
                      <w14:textFill>
                        <w14:solidFill>
                          <w14:schemeClr w14:val="tx1"/>
                        </w14:solidFill>
                      </w14:textFill>
                    </w:rPr>
                    <w:t>70</w:t>
                  </w:r>
                </w:p>
              </w:tc>
              <w:tc>
                <w:tcPr>
                  <w:tcW w:w="858" w:type="pct"/>
                  <w:vAlign w:val="center"/>
                </w:tcPr>
                <w:p w14:paraId="502AC439">
                  <w:pPr>
                    <w:pStyle w:val="32"/>
                    <w:pageBreakBefore w:val="0"/>
                    <w:kinsoku/>
                    <w:overflowPunct/>
                    <w:topLinePunct w:val="0"/>
                    <w:bidi w:val="0"/>
                    <w:spacing w:after="0"/>
                    <w:ind w:left="0" w:leftChars="0" w:right="0" w:firstLine="0" w:firstLineChars="0"/>
                    <w:jc w:val="center"/>
                    <w:rPr>
                      <w:bCs/>
                      <w:color w:val="000000" w:themeColor="text1"/>
                      <w14:textFill>
                        <w14:solidFill>
                          <w14:schemeClr w14:val="tx1"/>
                        </w14:solidFill>
                      </w14:textFill>
                    </w:rPr>
                  </w:pPr>
                  <w:r>
                    <w:rPr>
                      <w:bCs/>
                      <w:color w:val="000000" w:themeColor="text1"/>
                      <w14:textFill>
                        <w14:solidFill>
                          <w14:schemeClr w14:val="tx1"/>
                        </w14:solidFill>
                      </w14:textFill>
                    </w:rPr>
                    <w:t>55</w:t>
                  </w:r>
                </w:p>
              </w:tc>
              <w:tc>
                <w:tcPr>
                  <w:tcW w:w="2238" w:type="pct"/>
                  <w:vMerge w:val="continue"/>
                  <w:vAlign w:val="center"/>
                </w:tcPr>
                <w:p w14:paraId="18EBEB58">
                  <w:pPr>
                    <w:pStyle w:val="32"/>
                    <w:pageBreakBefore w:val="0"/>
                    <w:kinsoku/>
                    <w:overflowPunct/>
                    <w:topLinePunct w:val="0"/>
                    <w:bidi w:val="0"/>
                    <w:spacing w:after="0"/>
                    <w:ind w:left="0" w:leftChars="0" w:right="0" w:firstLine="0" w:firstLineChars="0"/>
                    <w:jc w:val="center"/>
                    <w:rPr>
                      <w:bCs/>
                      <w:color w:val="000000" w:themeColor="text1"/>
                      <w:sz w:val="24"/>
                      <w14:textFill>
                        <w14:solidFill>
                          <w14:schemeClr w14:val="tx1"/>
                        </w14:solidFill>
                      </w14:textFill>
                    </w:rPr>
                  </w:pPr>
                </w:p>
              </w:tc>
            </w:tr>
          </w:tbl>
          <w:p w14:paraId="2A7BFB33">
            <w:pPr>
              <w:pageBreakBefore w:val="0"/>
              <w:kinsoku/>
              <w:overflowPunct/>
              <w:topLinePunct w:val="0"/>
              <w:bidi w:val="0"/>
              <w:adjustRightInd w:val="0"/>
              <w:snapToGrid w:val="0"/>
              <w:spacing w:line="336" w:lineRule="auto"/>
              <w:ind w:left="0" w:leftChars="0" w:right="0"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（2）运营期</w:t>
            </w:r>
          </w:p>
          <w:p w14:paraId="438454F6">
            <w:pPr>
              <w:pageBreakBefore w:val="0"/>
              <w:kinsoku/>
              <w:overflowPunct/>
              <w:topLinePunct w:val="0"/>
              <w:bidi w:val="0"/>
              <w:adjustRightInd w:val="0"/>
              <w:snapToGrid w:val="0"/>
              <w:spacing w:line="336" w:lineRule="auto"/>
              <w:ind w:left="0" w:leftChars="0" w:right="0" w:firstLine="480" w:firstLineChars="200"/>
              <w:jc w:val="left"/>
              <w:rPr>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本项目位于峨山县双江街道办事处峨山县文邦包装制品有限公司内，属于</w:t>
            </w:r>
            <w:r>
              <w:rPr>
                <w:rFonts w:hint="eastAsia" w:cs="Times New Roman"/>
                <w:color w:val="000000" w:themeColor="text1"/>
                <w:sz w:val="24"/>
                <w:szCs w:val="24"/>
                <w:lang w:val="en-US" w:eastAsia="zh-CN"/>
                <w14:textFill>
                  <w14:solidFill>
                    <w14:schemeClr w14:val="tx1"/>
                  </w14:solidFill>
                </w14:textFill>
              </w:rPr>
              <w:t>云南红塔产业园区研和片区双小地块</w:t>
            </w:r>
            <w:r>
              <w:rPr>
                <w:rFonts w:hint="eastAsia"/>
                <w:color w:val="000000" w:themeColor="text1"/>
                <w:kern w:val="0"/>
                <w:sz w:val="24"/>
                <w:lang w:eastAsia="zh-CN"/>
                <w14:textFill>
                  <w14:solidFill>
                    <w14:schemeClr w14:val="tx1"/>
                  </w14:solidFill>
                </w14:textFill>
              </w:rPr>
              <w:t>，</w:t>
            </w:r>
            <w:r>
              <w:rPr>
                <w:color w:val="000000" w:themeColor="text1"/>
                <w:kern w:val="0"/>
                <w:sz w:val="24"/>
                <w14:textFill>
                  <w14:solidFill>
                    <w14:schemeClr w14:val="tx1"/>
                  </w14:solidFill>
                </w14:textFill>
              </w:rPr>
              <w:t>项目营运期噪声排放执行《工业企业厂界环境噪声排放标准》（GB12348-2008）</w:t>
            </w:r>
            <w:r>
              <w:rPr>
                <w:rFonts w:hint="eastAsia"/>
                <w:color w:val="000000" w:themeColor="text1"/>
                <w:kern w:val="0"/>
                <w:sz w:val="24"/>
                <w:lang w:val="en-US" w:eastAsia="zh-CN"/>
                <w14:textFill>
                  <w14:solidFill>
                    <w14:schemeClr w14:val="tx1"/>
                  </w14:solidFill>
                </w14:textFill>
              </w:rPr>
              <w:t>3</w:t>
            </w:r>
            <w:r>
              <w:rPr>
                <w:color w:val="000000" w:themeColor="text1"/>
                <w:kern w:val="0"/>
                <w:sz w:val="24"/>
                <w14:textFill>
                  <w14:solidFill>
                    <w14:schemeClr w14:val="tx1"/>
                  </w14:solidFill>
                </w14:textFill>
              </w:rPr>
              <w:t>类标准，</w:t>
            </w:r>
            <w:r>
              <w:rPr>
                <w:rFonts w:hint="eastAsia"/>
                <w:color w:val="000000" w:themeColor="text1"/>
                <w:kern w:val="0"/>
                <w:sz w:val="24"/>
                <w:lang w:eastAsia="zh-CN"/>
                <w14:textFill>
                  <w14:solidFill>
                    <w14:schemeClr w14:val="tx1"/>
                  </w14:solidFill>
                </w14:textFill>
              </w:rPr>
              <w:t>东侧执行</w:t>
            </w:r>
            <w:r>
              <w:rPr>
                <w:rFonts w:hint="eastAsia"/>
                <w:color w:val="000000" w:themeColor="text1"/>
                <w:kern w:val="0"/>
                <w:sz w:val="24"/>
                <w:lang w:val="en-US" w:eastAsia="zh-CN"/>
                <w14:textFill>
                  <w14:solidFill>
                    <w14:schemeClr w14:val="tx1"/>
                  </w14:solidFill>
                </w14:textFill>
              </w:rPr>
              <w:t>4类标准。</w:t>
            </w:r>
            <w:r>
              <w:rPr>
                <w:color w:val="000000" w:themeColor="text1"/>
                <w:kern w:val="0"/>
                <w:sz w:val="24"/>
                <w14:textFill>
                  <w14:solidFill>
                    <w14:schemeClr w14:val="tx1"/>
                  </w14:solidFill>
                </w14:textFill>
              </w:rPr>
              <w:t>标准限值详见表。</w:t>
            </w:r>
          </w:p>
          <w:p w14:paraId="3757C6D2">
            <w:pPr>
              <w:pStyle w:val="52"/>
              <w:pageBreakBefore w:val="0"/>
              <w:kinsoku/>
              <w:overflowPunct/>
              <w:topLinePunct w:val="0"/>
              <w:bidi w:val="0"/>
              <w:spacing w:before="0"/>
              <w:ind w:left="0" w:leftChars="0" w:right="0"/>
              <w:rPr>
                <w:color w:val="000000" w:themeColor="text1"/>
                <w14:textFill>
                  <w14:solidFill>
                    <w14:schemeClr w14:val="tx1"/>
                  </w14:solidFill>
                </w14:textFill>
              </w:rPr>
            </w:pPr>
            <w:r>
              <w:rPr>
                <w:color w:val="000000" w:themeColor="text1"/>
                <w14:textFill>
                  <w14:solidFill>
                    <w14:schemeClr w14:val="tx1"/>
                  </w14:solidFill>
                </w14:textFill>
              </w:rPr>
              <w:t>表3-1</w:t>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t xml:space="preserve">  工业企业厂界环境噪声排放标准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单位：dB（A）</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8"/>
              <w:gridCol w:w="2894"/>
              <w:gridCol w:w="2314"/>
            </w:tblGrid>
            <w:tr w14:paraId="1BA08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8" w:type="dxa"/>
                  <w:vMerge w:val="restart"/>
                  <w:vAlign w:val="center"/>
                </w:tcPr>
                <w:p w14:paraId="1AAFF382">
                  <w:pPr>
                    <w:pageBreakBefore w:val="0"/>
                    <w:tabs>
                      <w:tab w:val="left" w:pos="0"/>
                    </w:tabs>
                    <w:kinsoku/>
                    <w:overflowPunct/>
                    <w:topLinePunct w:val="0"/>
                    <w:bidi w:val="0"/>
                    <w:adjustRightInd w:val="0"/>
                    <w:snapToGrid w:val="0"/>
                    <w:ind w:left="0" w:leftChars="0" w:right="0"/>
                    <w:jc w:val="center"/>
                    <w:rPr>
                      <w:b/>
                      <w:color w:val="000000" w:themeColor="text1"/>
                      <w:kern w:val="21"/>
                      <w:szCs w:val="21"/>
                      <w14:textFill>
                        <w14:solidFill>
                          <w14:schemeClr w14:val="tx1"/>
                        </w14:solidFill>
                      </w14:textFill>
                    </w:rPr>
                  </w:pPr>
                  <w:r>
                    <w:rPr>
                      <w:b/>
                      <w:color w:val="000000" w:themeColor="text1"/>
                      <w:kern w:val="21"/>
                      <w:szCs w:val="21"/>
                      <w14:textFill>
                        <w14:solidFill>
                          <w14:schemeClr w14:val="tx1"/>
                        </w14:solidFill>
                      </w14:textFill>
                    </w:rPr>
                    <w:t>类别</w:t>
                  </w:r>
                </w:p>
              </w:tc>
              <w:tc>
                <w:tcPr>
                  <w:tcW w:w="5176" w:type="dxa"/>
                  <w:gridSpan w:val="2"/>
                  <w:vAlign w:val="center"/>
                </w:tcPr>
                <w:p w14:paraId="4AC1404D">
                  <w:pPr>
                    <w:pageBreakBefore w:val="0"/>
                    <w:tabs>
                      <w:tab w:val="left" w:pos="0"/>
                    </w:tabs>
                    <w:kinsoku/>
                    <w:overflowPunct/>
                    <w:topLinePunct w:val="0"/>
                    <w:bidi w:val="0"/>
                    <w:adjustRightInd w:val="0"/>
                    <w:snapToGrid w:val="0"/>
                    <w:ind w:left="0" w:leftChars="0" w:right="0"/>
                    <w:jc w:val="center"/>
                    <w:rPr>
                      <w:b/>
                      <w:color w:val="000000" w:themeColor="text1"/>
                      <w:kern w:val="21"/>
                      <w:szCs w:val="21"/>
                      <w14:textFill>
                        <w14:solidFill>
                          <w14:schemeClr w14:val="tx1"/>
                        </w14:solidFill>
                      </w14:textFill>
                    </w:rPr>
                  </w:pPr>
                  <w:r>
                    <w:rPr>
                      <w:b/>
                      <w:color w:val="000000" w:themeColor="text1"/>
                      <w:kern w:val="21"/>
                      <w:szCs w:val="21"/>
                      <w14:textFill>
                        <w14:solidFill>
                          <w14:schemeClr w14:val="tx1"/>
                        </w14:solidFill>
                      </w14:textFill>
                    </w:rPr>
                    <w:t>时段</w:t>
                  </w:r>
                </w:p>
              </w:tc>
            </w:tr>
            <w:tr w14:paraId="6FCE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8" w:type="dxa"/>
                  <w:vMerge w:val="continue"/>
                  <w:vAlign w:val="center"/>
                </w:tcPr>
                <w:p w14:paraId="70051B00">
                  <w:pPr>
                    <w:pageBreakBefore w:val="0"/>
                    <w:tabs>
                      <w:tab w:val="left" w:pos="0"/>
                    </w:tabs>
                    <w:kinsoku/>
                    <w:overflowPunct/>
                    <w:topLinePunct w:val="0"/>
                    <w:bidi w:val="0"/>
                    <w:adjustRightInd w:val="0"/>
                    <w:snapToGrid w:val="0"/>
                    <w:ind w:left="0" w:leftChars="0" w:right="0"/>
                    <w:jc w:val="center"/>
                    <w:rPr>
                      <w:b/>
                      <w:color w:val="000000" w:themeColor="text1"/>
                      <w:kern w:val="21"/>
                      <w:szCs w:val="21"/>
                      <w14:textFill>
                        <w14:solidFill>
                          <w14:schemeClr w14:val="tx1"/>
                        </w14:solidFill>
                      </w14:textFill>
                    </w:rPr>
                  </w:pPr>
                </w:p>
              </w:tc>
              <w:tc>
                <w:tcPr>
                  <w:tcW w:w="2876" w:type="dxa"/>
                  <w:vAlign w:val="center"/>
                </w:tcPr>
                <w:p w14:paraId="21549725">
                  <w:pPr>
                    <w:pageBreakBefore w:val="0"/>
                    <w:tabs>
                      <w:tab w:val="left" w:pos="0"/>
                    </w:tabs>
                    <w:kinsoku/>
                    <w:overflowPunct/>
                    <w:topLinePunct w:val="0"/>
                    <w:bidi w:val="0"/>
                    <w:adjustRightInd w:val="0"/>
                    <w:snapToGrid w:val="0"/>
                    <w:ind w:left="0" w:leftChars="0" w:right="0"/>
                    <w:jc w:val="center"/>
                    <w:rPr>
                      <w:b/>
                      <w:color w:val="000000" w:themeColor="text1"/>
                      <w:kern w:val="21"/>
                      <w:szCs w:val="21"/>
                      <w14:textFill>
                        <w14:solidFill>
                          <w14:schemeClr w14:val="tx1"/>
                        </w14:solidFill>
                      </w14:textFill>
                    </w:rPr>
                  </w:pPr>
                  <w:r>
                    <w:rPr>
                      <w:b/>
                      <w:color w:val="000000" w:themeColor="text1"/>
                      <w:kern w:val="21"/>
                      <w:szCs w:val="21"/>
                      <w14:textFill>
                        <w14:solidFill>
                          <w14:schemeClr w14:val="tx1"/>
                        </w14:solidFill>
                      </w14:textFill>
                    </w:rPr>
                    <w:t>昼间</w:t>
                  </w:r>
                </w:p>
              </w:tc>
              <w:tc>
                <w:tcPr>
                  <w:tcW w:w="2300" w:type="dxa"/>
                  <w:vAlign w:val="center"/>
                </w:tcPr>
                <w:p w14:paraId="5457F18F">
                  <w:pPr>
                    <w:pageBreakBefore w:val="0"/>
                    <w:tabs>
                      <w:tab w:val="left" w:pos="0"/>
                    </w:tabs>
                    <w:kinsoku/>
                    <w:overflowPunct/>
                    <w:topLinePunct w:val="0"/>
                    <w:bidi w:val="0"/>
                    <w:adjustRightInd w:val="0"/>
                    <w:snapToGrid w:val="0"/>
                    <w:ind w:left="0" w:leftChars="0" w:right="0"/>
                    <w:jc w:val="center"/>
                    <w:rPr>
                      <w:b/>
                      <w:color w:val="000000" w:themeColor="text1"/>
                      <w:kern w:val="21"/>
                      <w:szCs w:val="21"/>
                      <w14:textFill>
                        <w14:solidFill>
                          <w14:schemeClr w14:val="tx1"/>
                        </w14:solidFill>
                      </w14:textFill>
                    </w:rPr>
                  </w:pPr>
                  <w:r>
                    <w:rPr>
                      <w:b/>
                      <w:color w:val="000000" w:themeColor="text1"/>
                      <w:kern w:val="21"/>
                      <w:szCs w:val="21"/>
                      <w14:textFill>
                        <w14:solidFill>
                          <w14:schemeClr w14:val="tx1"/>
                        </w14:solidFill>
                      </w14:textFill>
                    </w:rPr>
                    <w:t>夜间</w:t>
                  </w:r>
                </w:p>
              </w:tc>
            </w:tr>
            <w:tr w14:paraId="2EA23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8" w:type="dxa"/>
                  <w:vAlign w:val="center"/>
                </w:tcPr>
                <w:p w14:paraId="636BA324">
                  <w:pPr>
                    <w:pageBreakBefore w:val="0"/>
                    <w:tabs>
                      <w:tab w:val="left" w:pos="0"/>
                    </w:tabs>
                    <w:kinsoku/>
                    <w:overflowPunct/>
                    <w:topLinePunct w:val="0"/>
                    <w:bidi w:val="0"/>
                    <w:adjustRightInd w:val="0"/>
                    <w:snapToGrid w:val="0"/>
                    <w:ind w:left="0" w:leftChars="0" w:right="0"/>
                    <w:jc w:val="center"/>
                    <w:rPr>
                      <w:bCs/>
                      <w:color w:val="000000" w:themeColor="text1"/>
                      <w:kern w:val="21"/>
                      <w:szCs w:val="21"/>
                      <w14:textFill>
                        <w14:solidFill>
                          <w14:schemeClr w14:val="tx1"/>
                        </w14:solidFill>
                      </w14:textFill>
                    </w:rPr>
                  </w:pPr>
                  <w:r>
                    <w:rPr>
                      <w:rFonts w:hint="eastAsia"/>
                      <w:bCs/>
                      <w:color w:val="000000" w:themeColor="text1"/>
                      <w:kern w:val="21"/>
                      <w:szCs w:val="21"/>
                      <w:lang w:val="en-US" w:eastAsia="zh-CN"/>
                      <w14:textFill>
                        <w14:solidFill>
                          <w14:schemeClr w14:val="tx1"/>
                        </w14:solidFill>
                      </w14:textFill>
                    </w:rPr>
                    <w:t>3</w:t>
                  </w:r>
                  <w:r>
                    <w:rPr>
                      <w:bCs/>
                      <w:color w:val="000000" w:themeColor="text1"/>
                      <w:kern w:val="21"/>
                      <w:szCs w:val="21"/>
                      <w14:textFill>
                        <w14:solidFill>
                          <w14:schemeClr w14:val="tx1"/>
                        </w14:solidFill>
                      </w14:textFill>
                    </w:rPr>
                    <w:t>类</w:t>
                  </w:r>
                </w:p>
              </w:tc>
              <w:tc>
                <w:tcPr>
                  <w:tcW w:w="2876" w:type="dxa"/>
                  <w:vAlign w:val="center"/>
                </w:tcPr>
                <w:p w14:paraId="62295313">
                  <w:pPr>
                    <w:pageBreakBefore w:val="0"/>
                    <w:tabs>
                      <w:tab w:val="left" w:pos="0"/>
                    </w:tabs>
                    <w:kinsoku/>
                    <w:overflowPunct/>
                    <w:topLinePunct w:val="0"/>
                    <w:bidi w:val="0"/>
                    <w:adjustRightInd w:val="0"/>
                    <w:snapToGrid w:val="0"/>
                    <w:ind w:left="0" w:leftChars="0" w:right="0"/>
                    <w:jc w:val="center"/>
                    <w:rPr>
                      <w:rFonts w:hint="default" w:eastAsia="宋体"/>
                      <w:bCs/>
                      <w:color w:val="000000" w:themeColor="text1"/>
                      <w:kern w:val="21"/>
                      <w:szCs w:val="21"/>
                      <w:lang w:val="en-US" w:eastAsia="zh-CN"/>
                      <w14:textFill>
                        <w14:solidFill>
                          <w14:schemeClr w14:val="tx1"/>
                        </w14:solidFill>
                      </w14:textFill>
                    </w:rPr>
                  </w:pPr>
                  <w:r>
                    <w:rPr>
                      <w:rFonts w:hint="eastAsia"/>
                      <w:bCs/>
                      <w:color w:val="000000" w:themeColor="text1"/>
                      <w:kern w:val="21"/>
                      <w:szCs w:val="21"/>
                      <w:lang w:val="en-US" w:eastAsia="zh-CN"/>
                      <w14:textFill>
                        <w14:solidFill>
                          <w14:schemeClr w14:val="tx1"/>
                        </w14:solidFill>
                      </w14:textFill>
                    </w:rPr>
                    <w:t>65</w:t>
                  </w:r>
                </w:p>
              </w:tc>
              <w:tc>
                <w:tcPr>
                  <w:tcW w:w="2300" w:type="dxa"/>
                  <w:vAlign w:val="center"/>
                </w:tcPr>
                <w:p w14:paraId="2CFDE549">
                  <w:pPr>
                    <w:pageBreakBefore w:val="0"/>
                    <w:tabs>
                      <w:tab w:val="left" w:pos="0"/>
                    </w:tabs>
                    <w:kinsoku/>
                    <w:overflowPunct/>
                    <w:topLinePunct w:val="0"/>
                    <w:bidi w:val="0"/>
                    <w:adjustRightInd w:val="0"/>
                    <w:snapToGrid w:val="0"/>
                    <w:ind w:left="0" w:leftChars="0" w:right="0"/>
                    <w:jc w:val="center"/>
                    <w:rPr>
                      <w:rFonts w:hint="eastAsia" w:eastAsia="宋体"/>
                      <w:bCs/>
                      <w:color w:val="000000" w:themeColor="text1"/>
                      <w:kern w:val="21"/>
                      <w:szCs w:val="21"/>
                      <w:lang w:eastAsia="zh-CN"/>
                      <w14:textFill>
                        <w14:solidFill>
                          <w14:schemeClr w14:val="tx1"/>
                        </w14:solidFill>
                      </w14:textFill>
                    </w:rPr>
                  </w:pPr>
                  <w:r>
                    <w:rPr>
                      <w:rFonts w:hint="eastAsia"/>
                      <w:bCs/>
                      <w:color w:val="000000" w:themeColor="text1"/>
                      <w:kern w:val="21"/>
                      <w:szCs w:val="21"/>
                      <w14:textFill>
                        <w14:solidFill>
                          <w14:schemeClr w14:val="tx1"/>
                        </w14:solidFill>
                      </w14:textFill>
                    </w:rPr>
                    <w:t>5</w:t>
                  </w:r>
                  <w:r>
                    <w:rPr>
                      <w:rFonts w:hint="eastAsia"/>
                      <w:bCs/>
                      <w:color w:val="000000" w:themeColor="text1"/>
                      <w:kern w:val="21"/>
                      <w:szCs w:val="21"/>
                      <w:lang w:val="en-US" w:eastAsia="zh-CN"/>
                      <w14:textFill>
                        <w14:solidFill>
                          <w14:schemeClr w14:val="tx1"/>
                        </w14:solidFill>
                      </w14:textFill>
                    </w:rPr>
                    <w:t>5</w:t>
                  </w:r>
                </w:p>
              </w:tc>
            </w:tr>
            <w:tr w14:paraId="40589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8" w:type="dxa"/>
                  <w:vAlign w:val="center"/>
                </w:tcPr>
                <w:p w14:paraId="7F59943F">
                  <w:pPr>
                    <w:pageBreakBefore w:val="0"/>
                    <w:tabs>
                      <w:tab w:val="left" w:pos="0"/>
                    </w:tabs>
                    <w:kinsoku/>
                    <w:overflowPunct/>
                    <w:topLinePunct w:val="0"/>
                    <w:bidi w:val="0"/>
                    <w:adjustRightInd w:val="0"/>
                    <w:snapToGrid w:val="0"/>
                    <w:ind w:left="0" w:leftChars="0" w:right="0"/>
                    <w:jc w:val="center"/>
                    <w:rPr>
                      <w:rFonts w:hint="default"/>
                      <w:bCs/>
                      <w:color w:val="000000" w:themeColor="text1"/>
                      <w:kern w:val="21"/>
                      <w:szCs w:val="21"/>
                      <w:lang w:val="en-US" w:eastAsia="zh-CN"/>
                      <w14:textFill>
                        <w14:solidFill>
                          <w14:schemeClr w14:val="tx1"/>
                        </w14:solidFill>
                      </w14:textFill>
                    </w:rPr>
                  </w:pPr>
                  <w:r>
                    <w:rPr>
                      <w:rFonts w:hint="eastAsia"/>
                      <w:bCs/>
                      <w:color w:val="000000" w:themeColor="text1"/>
                      <w:kern w:val="21"/>
                      <w:szCs w:val="21"/>
                      <w:lang w:val="en-US" w:eastAsia="zh-CN"/>
                      <w14:textFill>
                        <w14:solidFill>
                          <w14:schemeClr w14:val="tx1"/>
                        </w14:solidFill>
                      </w14:textFill>
                    </w:rPr>
                    <w:t>4类</w:t>
                  </w:r>
                </w:p>
              </w:tc>
              <w:tc>
                <w:tcPr>
                  <w:tcW w:w="2876" w:type="dxa"/>
                  <w:vAlign w:val="center"/>
                </w:tcPr>
                <w:p w14:paraId="6E94F5FA">
                  <w:pPr>
                    <w:pageBreakBefore w:val="0"/>
                    <w:tabs>
                      <w:tab w:val="left" w:pos="0"/>
                    </w:tabs>
                    <w:kinsoku/>
                    <w:overflowPunct/>
                    <w:topLinePunct w:val="0"/>
                    <w:bidi w:val="0"/>
                    <w:adjustRightInd w:val="0"/>
                    <w:snapToGrid w:val="0"/>
                    <w:ind w:left="0" w:leftChars="0" w:right="0"/>
                    <w:jc w:val="center"/>
                    <w:rPr>
                      <w:rFonts w:hint="default"/>
                      <w:bCs/>
                      <w:color w:val="000000" w:themeColor="text1"/>
                      <w:kern w:val="21"/>
                      <w:szCs w:val="21"/>
                      <w:lang w:val="en-US" w:eastAsia="zh-CN"/>
                      <w14:textFill>
                        <w14:solidFill>
                          <w14:schemeClr w14:val="tx1"/>
                        </w14:solidFill>
                      </w14:textFill>
                    </w:rPr>
                  </w:pPr>
                  <w:r>
                    <w:rPr>
                      <w:rFonts w:hint="eastAsia"/>
                      <w:bCs/>
                      <w:color w:val="000000" w:themeColor="text1"/>
                      <w:kern w:val="21"/>
                      <w:szCs w:val="21"/>
                      <w:lang w:val="en-US" w:eastAsia="zh-CN"/>
                      <w14:textFill>
                        <w14:solidFill>
                          <w14:schemeClr w14:val="tx1"/>
                        </w14:solidFill>
                      </w14:textFill>
                    </w:rPr>
                    <w:t>70</w:t>
                  </w:r>
                </w:p>
              </w:tc>
              <w:tc>
                <w:tcPr>
                  <w:tcW w:w="2300" w:type="dxa"/>
                  <w:vAlign w:val="center"/>
                </w:tcPr>
                <w:p w14:paraId="0DB8844B">
                  <w:pPr>
                    <w:pageBreakBefore w:val="0"/>
                    <w:tabs>
                      <w:tab w:val="left" w:pos="0"/>
                    </w:tabs>
                    <w:kinsoku/>
                    <w:overflowPunct/>
                    <w:topLinePunct w:val="0"/>
                    <w:bidi w:val="0"/>
                    <w:adjustRightInd w:val="0"/>
                    <w:snapToGrid w:val="0"/>
                    <w:ind w:left="0" w:leftChars="0" w:right="0"/>
                    <w:jc w:val="center"/>
                    <w:rPr>
                      <w:rFonts w:hint="default" w:eastAsia="宋体"/>
                      <w:bCs/>
                      <w:color w:val="000000" w:themeColor="text1"/>
                      <w:kern w:val="21"/>
                      <w:szCs w:val="21"/>
                      <w:lang w:val="en-US" w:eastAsia="zh-CN"/>
                      <w14:textFill>
                        <w14:solidFill>
                          <w14:schemeClr w14:val="tx1"/>
                        </w14:solidFill>
                      </w14:textFill>
                    </w:rPr>
                  </w:pPr>
                  <w:r>
                    <w:rPr>
                      <w:rFonts w:hint="eastAsia"/>
                      <w:bCs/>
                      <w:color w:val="000000" w:themeColor="text1"/>
                      <w:kern w:val="21"/>
                      <w:szCs w:val="21"/>
                      <w:lang w:val="en-US" w:eastAsia="zh-CN"/>
                      <w14:textFill>
                        <w14:solidFill>
                          <w14:schemeClr w14:val="tx1"/>
                        </w14:solidFill>
                      </w14:textFill>
                    </w:rPr>
                    <w:t>55</w:t>
                  </w:r>
                </w:p>
              </w:tc>
            </w:tr>
          </w:tbl>
          <w:p w14:paraId="1B60C4DE">
            <w:pPr>
              <w:pStyle w:val="17"/>
              <w:pageBreakBefore w:val="0"/>
              <w:kinsoku/>
              <w:overflowPunct/>
              <w:topLinePunct w:val="0"/>
              <w:bidi w:val="0"/>
              <w:adjustRightInd w:val="0"/>
              <w:snapToGrid w:val="0"/>
              <w:spacing w:line="360" w:lineRule="auto"/>
              <w:ind w:left="0" w:leftChars="0" w:right="0" w:firstLine="482" w:firstLineChars="200"/>
              <w:rPr>
                <w:rFonts w:ascii="Times New Roman" w:hAnsi="Times New Roman"/>
                <w:b/>
                <w:bCs/>
                <w:color w:val="000000" w:themeColor="text1"/>
                <w:sz w:val="24"/>
                <w14:textFill>
                  <w14:solidFill>
                    <w14:schemeClr w14:val="tx1"/>
                  </w14:solidFill>
                </w14:textFill>
              </w:rPr>
            </w:pPr>
            <w:r>
              <w:rPr>
                <w:rFonts w:ascii="Times New Roman" w:hAnsi="Times New Roman"/>
                <w:b/>
                <w:bCs/>
                <w:color w:val="000000" w:themeColor="text1"/>
                <w:sz w:val="24"/>
                <w14:textFill>
                  <w14:solidFill>
                    <w14:schemeClr w14:val="tx1"/>
                  </w14:solidFill>
                </w14:textFill>
              </w:rPr>
              <w:t>4、固废</w:t>
            </w:r>
          </w:p>
          <w:p w14:paraId="21C67EAA">
            <w:pPr>
              <w:pStyle w:val="17"/>
              <w:pageBreakBefore w:val="0"/>
              <w:kinsoku/>
              <w:overflowPunct/>
              <w:topLinePunct w:val="0"/>
              <w:bidi w:val="0"/>
              <w:snapToGrid w:val="0"/>
              <w:spacing w:line="360" w:lineRule="auto"/>
              <w:ind w:left="0" w:leftChars="0" w:right="0" w:firstLine="480" w:firstLineChars="200"/>
              <w:rPr>
                <w:rFonts w:hint="eastAsia" w:ascii="Times New Roman" w:hAnsi="Times New Roman" w:eastAsia="宋体" w:cs="Times New Roman"/>
                <w:color w:val="000000" w:themeColor="text1"/>
                <w:sz w:val="24"/>
                <w:lang w:val="zh-CN"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一般固体废物按照相关要求妥善处置，项目产生的生产固废执行《一般固体废物分类与代码》（</w:t>
            </w:r>
            <w:r>
              <w:rPr>
                <w:rFonts w:hint="default" w:ascii="Times New Roman" w:hAnsi="Times New Roman" w:eastAsia="宋体" w:cs="Times New Roman"/>
                <w:color w:val="000000" w:themeColor="text1"/>
                <w:sz w:val="24"/>
                <w:lang w:val="en-US" w:eastAsia="zh-CN"/>
                <w14:textFill>
                  <w14:solidFill>
                    <w14:schemeClr w14:val="tx1"/>
                  </w14:solidFill>
                </w14:textFill>
              </w:rPr>
              <w:t>GB/T39198-2020</w:t>
            </w:r>
            <w:r>
              <w:rPr>
                <w:rFonts w:hint="eastAsia" w:ascii="Times New Roman" w:hAnsi="Times New Roman" w:eastAsia="宋体" w:cs="Times New Roman"/>
                <w:color w:val="000000" w:themeColor="text1"/>
                <w:sz w:val="24"/>
                <w:lang w:val="en-US" w:eastAsia="zh-CN"/>
                <w14:textFill>
                  <w14:solidFill>
                    <w14:schemeClr w14:val="tx1"/>
                  </w14:solidFill>
                </w14:textFill>
              </w:rPr>
              <w:t>）；贮存执行《一般工业固体废物贮存和填埋污染控制标准》（GB18599-2020）。</w:t>
            </w:r>
          </w:p>
          <w:p w14:paraId="2169C641">
            <w:pPr>
              <w:pStyle w:val="17"/>
              <w:pageBreakBefore w:val="0"/>
              <w:kinsoku/>
              <w:overflowPunct/>
              <w:topLinePunct w:val="0"/>
              <w:bidi w:val="0"/>
              <w:snapToGrid w:val="0"/>
              <w:spacing w:line="360" w:lineRule="auto"/>
              <w:ind w:left="0" w:leftChars="0" w:right="0" w:firstLine="480" w:firstLineChars="200"/>
              <w:rPr>
                <w:rFonts w:hint="eastAsia" w:ascii="Times New Roman" w:hAnsi="Times New Roman" w:eastAsia="宋体"/>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危险废物按《国家危险废物名录（</w:t>
            </w:r>
            <w:r>
              <w:rPr>
                <w:rFonts w:hint="default" w:ascii="Times New Roman" w:hAnsi="Times New Roman" w:eastAsia="宋体" w:cs="Times New Roman"/>
                <w:color w:val="000000" w:themeColor="text1"/>
                <w:sz w:val="24"/>
                <w:lang w:val="en-US" w:eastAsia="zh-CN"/>
                <w14:textFill>
                  <w14:solidFill>
                    <w14:schemeClr w14:val="tx1"/>
                  </w14:solidFill>
                </w14:textFill>
              </w:rPr>
              <w:t>202</w:t>
            </w:r>
            <w:r>
              <w:rPr>
                <w:rFonts w:hint="eastAsia" w:ascii="Times New Roman" w:hAnsi="Times New Roman" w:eastAsia="宋体" w:cs="Times New Roman"/>
                <w:color w:val="000000" w:themeColor="text1"/>
                <w:sz w:val="24"/>
                <w:lang w:val="en-US" w:eastAsia="zh-CN"/>
                <w14:textFill>
                  <w14:solidFill>
                    <w14:schemeClr w14:val="tx1"/>
                  </w14:solidFill>
                </w14:textFill>
              </w:rPr>
              <w:t>5版）》进行分类；危险废物暂存执行《危险废物贮存污染控制标准》（</w:t>
            </w:r>
            <w:r>
              <w:rPr>
                <w:rFonts w:hint="default" w:ascii="Times New Roman" w:hAnsi="Times New Roman" w:eastAsia="宋体" w:cs="Times New Roman"/>
                <w:color w:val="000000" w:themeColor="text1"/>
                <w:sz w:val="24"/>
                <w:lang w:val="en-US" w:eastAsia="zh-CN"/>
                <w14:textFill>
                  <w14:solidFill>
                    <w14:schemeClr w14:val="tx1"/>
                  </w14:solidFill>
                </w14:textFill>
              </w:rPr>
              <w:t>GB18597-2023</w:t>
            </w:r>
            <w:r>
              <w:rPr>
                <w:rFonts w:hint="eastAsia" w:ascii="Times New Roman" w:hAnsi="Times New Roman" w:eastAsia="宋体" w:cs="Times New Roman"/>
                <w:color w:val="000000" w:themeColor="text1"/>
                <w:sz w:val="24"/>
                <w:lang w:val="en-US" w:eastAsia="zh-CN"/>
                <w14:textFill>
                  <w14:solidFill>
                    <w14:schemeClr w14:val="tx1"/>
                  </w14:solidFill>
                </w14:textFill>
              </w:rPr>
              <w:t>）；危险废物转移执行《危险废物转移管理办法》（</w:t>
            </w:r>
            <w:r>
              <w:rPr>
                <w:rFonts w:hint="default" w:ascii="Times New Roman" w:hAnsi="Times New Roman" w:eastAsia="宋体" w:cs="Times New Roman"/>
                <w:color w:val="000000" w:themeColor="text1"/>
                <w:sz w:val="24"/>
                <w:lang w:val="en-US" w:eastAsia="zh-CN"/>
                <w14:textFill>
                  <w14:solidFill>
                    <w14:schemeClr w14:val="tx1"/>
                  </w14:solidFill>
                </w14:textFill>
              </w:rPr>
              <w:t>2022.1.1</w:t>
            </w:r>
            <w:r>
              <w:rPr>
                <w:rFonts w:hint="eastAsia" w:ascii="Times New Roman" w:hAnsi="Times New Roman" w:eastAsia="宋体" w:cs="Times New Roman"/>
                <w:color w:val="000000" w:themeColor="text1"/>
                <w:sz w:val="24"/>
                <w:lang w:val="en-US" w:eastAsia="zh-CN"/>
                <w14:textFill>
                  <w14:solidFill>
                    <w14:schemeClr w14:val="tx1"/>
                  </w14:solidFill>
                </w14:textFill>
              </w:rPr>
              <w:t>）；危险废物台账执行《危险废物管理计划和管理台账制定技术导则》（</w:t>
            </w:r>
            <w:r>
              <w:rPr>
                <w:rFonts w:hint="eastAsia" w:ascii="Times New Roman" w:hAnsi="Times New Roman" w:cs="Times New Roman"/>
                <w:color w:val="000000" w:themeColor="text1"/>
                <w:sz w:val="24"/>
                <w:lang w:val="en-US" w:eastAsia="zh-CN"/>
                <w14:textFill>
                  <w14:solidFill>
                    <w14:schemeClr w14:val="tx1"/>
                  </w14:solidFill>
                </w14:textFill>
              </w:rPr>
              <w:t xml:space="preserve">HJ </w:t>
            </w:r>
            <w:r>
              <w:rPr>
                <w:rFonts w:hint="default" w:ascii="Times New Roman" w:hAnsi="Times New Roman" w:eastAsia="宋体" w:cs="Times New Roman"/>
                <w:color w:val="000000" w:themeColor="text1"/>
                <w:sz w:val="24"/>
                <w:lang w:val="en-US" w:eastAsia="zh-CN"/>
                <w14:textFill>
                  <w14:solidFill>
                    <w14:schemeClr w14:val="tx1"/>
                  </w14:solidFill>
                </w14:textFill>
              </w:rPr>
              <w:t>1259-2022</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危废贮存库</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各标识标牌的制作参照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《危险废物识别标志设置技术规范</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（GB1276-2022）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执行</w:t>
            </w:r>
            <w:r>
              <w:rPr>
                <w:rFonts w:ascii="Times New Roman" w:hAnsi="Times New Roman"/>
                <w:color w:val="000000" w:themeColor="text1"/>
                <w:sz w:val="24"/>
                <w:lang w:val="zh-CN"/>
                <w14:textFill>
                  <w14:solidFill>
                    <w14:schemeClr w14:val="tx1"/>
                  </w14:solidFill>
                </w14:textFill>
              </w:rPr>
              <w:t>。</w:t>
            </w:r>
          </w:p>
        </w:tc>
      </w:tr>
      <w:tr w14:paraId="31A8B7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vAlign w:val="center"/>
          </w:tcPr>
          <w:p w14:paraId="728D49D3">
            <w:pPr>
              <w:pageBreakBefore w:val="0"/>
              <w:kinsoku/>
              <w:overflowPunct/>
              <w:topLinePunct w:val="0"/>
              <w:bidi w:val="0"/>
              <w:adjustRightInd w:val="0"/>
              <w:snapToGrid w:val="0"/>
              <w:ind w:left="0" w:leftChars="0" w:right="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总量</w:t>
            </w:r>
          </w:p>
          <w:p w14:paraId="6BA2CBEA">
            <w:pPr>
              <w:pageBreakBefore w:val="0"/>
              <w:kinsoku/>
              <w:overflowPunct/>
              <w:topLinePunct w:val="0"/>
              <w:bidi w:val="0"/>
              <w:adjustRightInd w:val="0"/>
              <w:snapToGrid w:val="0"/>
              <w:ind w:left="0" w:leftChars="0" w:right="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控制</w:t>
            </w:r>
          </w:p>
          <w:p w14:paraId="392A475E">
            <w:pPr>
              <w:pageBreakBefore w:val="0"/>
              <w:kinsoku/>
              <w:overflowPunct/>
              <w:topLinePunct w:val="0"/>
              <w:bidi w:val="0"/>
              <w:adjustRightInd w:val="0"/>
              <w:snapToGrid w:val="0"/>
              <w:ind w:left="0" w:leftChars="0" w:right="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指标</w:t>
            </w:r>
          </w:p>
        </w:tc>
        <w:tc>
          <w:tcPr>
            <w:tcW w:w="8321" w:type="dxa"/>
            <w:vAlign w:val="center"/>
          </w:tcPr>
          <w:p w14:paraId="50656F1B">
            <w:pPr>
              <w:keepNext w:val="0"/>
              <w:keepLines w:val="0"/>
              <w:pageBreakBefore w:val="0"/>
              <w:kinsoku/>
              <w:wordWrap/>
              <w:overflowPunct/>
              <w:topLinePunct w:val="0"/>
              <w:autoSpaceDE/>
              <w:autoSpaceDN/>
              <w:bidi w:val="0"/>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根据</w:t>
            </w:r>
            <w:r>
              <w:rPr>
                <w:rFonts w:hint="default" w:ascii="Times New Roman" w:hAnsi="Times New Roman" w:eastAsia="宋体" w:cs="Times New Roman"/>
                <w:color w:val="000000" w:themeColor="text1"/>
                <w:sz w:val="24"/>
                <w:szCs w:val="24"/>
                <w14:textFill>
                  <w14:solidFill>
                    <w14:schemeClr w14:val="tx1"/>
                  </w14:solidFill>
                </w14:textFill>
              </w:rPr>
              <w:t>本项目的具体情况，结合国家污染物排放总量控制原则，建议本项目</w:t>
            </w:r>
            <w:r>
              <w:rPr>
                <w:rFonts w:hint="eastAsia" w:ascii="Times New Roman" w:hAnsi="Times New Roman" w:eastAsia="宋体" w:cs="Times New Roman"/>
                <w:color w:val="000000" w:themeColor="text1"/>
                <w:sz w:val="24"/>
                <w:szCs w:val="24"/>
                <w:lang w:eastAsia="zh-CN"/>
                <w14:textFill>
                  <w14:solidFill>
                    <w14:schemeClr w14:val="tx1"/>
                  </w14:solidFill>
                </w14:textFill>
              </w:rPr>
              <w:t>的</w:t>
            </w:r>
            <w:r>
              <w:rPr>
                <w:rFonts w:hint="default" w:ascii="Times New Roman" w:hAnsi="Times New Roman" w:eastAsia="宋体" w:cs="Times New Roman"/>
                <w:color w:val="000000" w:themeColor="text1"/>
                <w:sz w:val="24"/>
                <w:szCs w:val="24"/>
                <w14:textFill>
                  <w14:solidFill>
                    <w14:schemeClr w14:val="tx1"/>
                  </w14:solidFill>
                </w14:textFill>
              </w:rPr>
              <w:t>总量控制指标如下</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3F404968">
            <w:pPr>
              <w:pageBreakBefore w:val="0"/>
              <w:kinsoku/>
              <w:overflowPunct/>
              <w:topLinePunct w:val="0"/>
              <w:bidi w:val="0"/>
              <w:adjustRightInd w:val="0"/>
              <w:snapToGrid w:val="0"/>
              <w:spacing w:line="348" w:lineRule="auto"/>
              <w:ind w:left="0" w:leftChars="0" w:right="0"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1、废气</w:t>
            </w:r>
          </w:p>
          <w:p w14:paraId="3F3AD3A2">
            <w:pPr>
              <w:pageBreakBefore w:val="0"/>
              <w:kinsoku/>
              <w:overflowPunct/>
              <w:topLinePunct w:val="0"/>
              <w:bidi w:val="0"/>
              <w:spacing w:line="360" w:lineRule="auto"/>
              <w:ind w:left="0" w:leftChars="0" w:right="0" w:firstLine="484" w:firstLineChars="202"/>
              <w:rPr>
                <w:rFonts w:hint="eastAsia" w:ascii="宋体" w:hAnsi="宋体" w:cs="宋体"/>
                <w:b/>
                <w:bCs/>
                <w:i w:val="0"/>
                <w:iCs w:val="0"/>
                <w:caps w:val="0"/>
                <w:color w:val="000000" w:themeColor="text1"/>
                <w:spacing w:val="0"/>
                <w:sz w:val="21"/>
                <w:szCs w:val="21"/>
                <w:shd w:val="clear" w:fill="FFFFFF"/>
                <w:lang w:val="en-US" w:eastAsia="zh-CN"/>
                <w14:textFill>
                  <w14:solidFill>
                    <w14:schemeClr w14:val="tx1"/>
                  </w14:solidFill>
                </w14:textFill>
              </w:rPr>
            </w:pPr>
            <w:r>
              <w:rPr>
                <w:b w:val="0"/>
                <w:bCs w:val="0"/>
                <w:color w:val="000000" w:themeColor="text1"/>
                <w:sz w:val="24"/>
                <w14:textFill>
                  <w14:solidFill>
                    <w14:schemeClr w14:val="tx1"/>
                  </w14:solidFill>
                </w14:textFill>
              </w:rPr>
              <w:t>废气：</w:t>
            </w:r>
            <w:r>
              <w:rPr>
                <w:rFonts w:hint="default" w:ascii="Times New Roman" w:hAnsi="Times New Roman" w:cs="Times New Roman" w:eastAsiaTheme="minorEastAsia"/>
                <w:bCs/>
                <w:color w:val="000000" w:themeColor="text1"/>
                <w:sz w:val="24"/>
                <w:szCs w:val="24"/>
                <w:highlight w:val="none"/>
                <w:shd w:val="clear" w:color="auto" w:fill="auto"/>
                <w:lang w:val="en-US" w:eastAsia="zh-CN"/>
                <w14:textFill>
                  <w14:solidFill>
                    <w14:schemeClr w14:val="tx1"/>
                  </w14:solidFill>
                </w14:textFill>
              </w:rPr>
              <w:t>根据工程分析核算，运行期间将排放非甲烷总烃</w:t>
            </w:r>
            <w:r>
              <w:rPr>
                <w:rFonts w:hint="eastAsia" w:ascii="Times New Roman" w:hAnsi="Times New Roman" w:cs="Times New Roman" w:eastAsiaTheme="minorEastAsia"/>
                <w:bCs/>
                <w:color w:val="000000" w:themeColor="text1"/>
                <w:sz w:val="24"/>
                <w:szCs w:val="24"/>
                <w:highlight w:val="none"/>
                <w:shd w:val="clear" w:color="auto" w:fill="auto"/>
                <w:lang w:val="en-US" w:eastAsia="zh-CN"/>
                <w14:textFill>
                  <w14:solidFill>
                    <w14:schemeClr w14:val="tx1"/>
                  </w14:solidFill>
                </w14:textFill>
              </w:rPr>
              <w:t>、</w:t>
            </w:r>
            <w:r>
              <w:rPr>
                <w:rFonts w:hint="default" w:ascii="Times New Roman" w:hAnsi="Times New Roman" w:cs="Times New Roman" w:eastAsiaTheme="minorEastAsia"/>
                <w:bCs/>
                <w:color w:val="000000" w:themeColor="text1"/>
                <w:sz w:val="24"/>
                <w:szCs w:val="24"/>
                <w:highlight w:val="none"/>
                <w:shd w:val="clear" w:color="auto" w:fill="auto"/>
                <w:lang w:val="en-US" w:eastAsia="zh-CN"/>
                <w14:textFill>
                  <w14:solidFill>
                    <w14:schemeClr w14:val="tx1"/>
                  </w14:solidFill>
                </w14:textFill>
              </w:rPr>
              <w:t>甲苯、乙苯、苯乙烯、</w:t>
            </w:r>
            <w:r>
              <w:rPr>
                <w:rFonts w:hint="eastAsia" w:ascii="Times New Roman" w:hAnsi="Times New Roman" w:cs="Times New Roman" w:eastAsiaTheme="minorEastAsia"/>
                <w:bCs/>
                <w:color w:val="000000" w:themeColor="text1"/>
                <w:sz w:val="24"/>
                <w:szCs w:val="24"/>
                <w:highlight w:val="none"/>
                <w:shd w:val="clear" w:color="auto" w:fill="auto"/>
                <w:lang w:val="en-US" w:eastAsia="zh-CN"/>
                <w14:textFill>
                  <w14:solidFill>
                    <w14:schemeClr w14:val="tx1"/>
                  </w14:solidFill>
                </w14:textFill>
              </w:rPr>
              <w:t>颗粒物、二氧化硫、氮氧化物</w:t>
            </w:r>
            <w:r>
              <w:rPr>
                <w:rFonts w:hint="default" w:ascii="Times New Roman" w:hAnsi="Times New Roman" w:cs="Times New Roman" w:eastAsiaTheme="minorEastAsia"/>
                <w:bCs/>
                <w:color w:val="000000" w:themeColor="text1"/>
                <w:sz w:val="24"/>
                <w:szCs w:val="24"/>
                <w:highlight w:val="none"/>
                <w:shd w:val="clear" w:color="auto" w:fill="auto"/>
                <w:lang w:val="en-US" w:eastAsia="zh-CN"/>
                <w14:textFill>
                  <w14:solidFill>
                    <w14:schemeClr w14:val="tx1"/>
                  </w14:solidFill>
                </w14:textFill>
              </w:rPr>
              <w:t>。</w:t>
            </w:r>
            <w:r>
              <w:rPr>
                <w:rFonts w:hint="eastAsia" w:cs="Times New Roman" w:eastAsiaTheme="minorEastAsia"/>
                <w:bCs/>
                <w:color w:val="000000" w:themeColor="text1"/>
                <w:sz w:val="24"/>
                <w:szCs w:val="24"/>
                <w:highlight w:val="none"/>
                <w:shd w:val="clear" w:color="auto" w:fill="auto"/>
                <w:lang w:val="en-US" w:eastAsia="zh-CN"/>
                <w14:textFill>
                  <w14:solidFill>
                    <w14:schemeClr w14:val="tx1"/>
                  </w14:solidFill>
                </w14:textFill>
              </w:rPr>
              <w:t>污染物排放详见下表。</w:t>
            </w:r>
          </w:p>
          <w:p w14:paraId="09993BB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bCs/>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cs="Times New Roman"/>
                <w:b/>
                <w:bCs/>
                <w:i w:val="0"/>
                <w:iCs w:val="0"/>
                <w:caps w:val="0"/>
                <w:color w:val="000000" w:themeColor="text1"/>
                <w:spacing w:val="0"/>
                <w:sz w:val="21"/>
                <w:szCs w:val="21"/>
                <w:shd w:val="clear" w:fill="FFFFFF"/>
                <w:lang w:val="en-US" w:eastAsia="zh-CN"/>
                <w14:textFill>
                  <w14:solidFill>
                    <w14:schemeClr w14:val="tx1"/>
                  </w14:solidFill>
                </w14:textFill>
              </w:rPr>
              <w:t>表3-18 污染物排放一览表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2"/>
              <w:gridCol w:w="2117"/>
              <w:gridCol w:w="2117"/>
              <w:gridCol w:w="2117"/>
            </w:tblGrid>
            <w:tr w14:paraId="4D22F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8" w:type="pct"/>
                  <w:vAlign w:val="center"/>
                </w:tcPr>
                <w:p w14:paraId="2316E97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b/>
                      <w:bCs/>
                      <w:color w:val="000000" w:themeColor="text1"/>
                      <w:sz w:val="21"/>
                      <w:szCs w:val="21"/>
                      <w:vertAlign w:val="baseline"/>
                      <w:lang w:eastAsia="zh-CN"/>
                      <w14:textFill>
                        <w14:solidFill>
                          <w14:schemeClr w14:val="tx1"/>
                        </w14:solidFill>
                      </w14:textFill>
                    </w:rPr>
                  </w:pPr>
                  <w:r>
                    <w:rPr>
                      <w:rFonts w:hint="eastAsia"/>
                      <w:b/>
                      <w:bCs/>
                      <w:color w:val="000000" w:themeColor="text1"/>
                      <w:sz w:val="21"/>
                      <w:szCs w:val="21"/>
                      <w:vertAlign w:val="baseline"/>
                      <w:lang w:eastAsia="zh-CN"/>
                      <w14:textFill>
                        <w14:solidFill>
                          <w14:schemeClr w14:val="tx1"/>
                        </w14:solidFill>
                      </w14:textFill>
                    </w:rPr>
                    <w:t>污染物</w:t>
                  </w:r>
                </w:p>
              </w:tc>
              <w:tc>
                <w:tcPr>
                  <w:tcW w:w="1250" w:type="pct"/>
                  <w:vAlign w:val="center"/>
                </w:tcPr>
                <w:p w14:paraId="2E37EA1B">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b/>
                      <w:bCs/>
                      <w:color w:val="000000" w:themeColor="text1"/>
                      <w:sz w:val="21"/>
                      <w:szCs w:val="21"/>
                      <w:vertAlign w:val="baseline"/>
                      <w:lang w:eastAsia="zh-CN"/>
                      <w14:textFill>
                        <w14:solidFill>
                          <w14:schemeClr w14:val="tx1"/>
                        </w14:solidFill>
                      </w14:textFill>
                    </w:rPr>
                  </w:pPr>
                  <w:r>
                    <w:rPr>
                      <w:rFonts w:hint="eastAsia"/>
                      <w:b/>
                      <w:bCs/>
                      <w:color w:val="000000" w:themeColor="text1"/>
                      <w:sz w:val="21"/>
                      <w:szCs w:val="21"/>
                      <w:vertAlign w:val="baseline"/>
                      <w:lang w:eastAsia="zh-CN"/>
                      <w14:textFill>
                        <w14:solidFill>
                          <w14:schemeClr w14:val="tx1"/>
                        </w14:solidFill>
                      </w14:textFill>
                    </w:rPr>
                    <w:t>排放量</w:t>
                  </w:r>
                  <w:r>
                    <w:rPr>
                      <w:rFonts w:hint="eastAsia" w:ascii="Times New Roman" w:hAnsi="Times New Roman" w:eastAsia="宋体" w:cs="Times New Roman"/>
                      <w:b/>
                      <w:bCs/>
                      <w:snapToGrid w:val="0"/>
                      <w:color w:val="000000" w:themeColor="text1"/>
                      <w:kern w:val="21"/>
                      <w:sz w:val="20"/>
                      <w:szCs w:val="20"/>
                      <w:lang w:val="en-US" w:eastAsia="zh-CN"/>
                      <w14:textFill>
                        <w14:solidFill>
                          <w14:schemeClr w14:val="tx1"/>
                        </w14:solidFill>
                      </w14:textFill>
                    </w:rPr>
                    <w:t>t/a</w:t>
                  </w:r>
                </w:p>
              </w:tc>
              <w:tc>
                <w:tcPr>
                  <w:tcW w:w="1250" w:type="pct"/>
                  <w:vAlign w:val="center"/>
                </w:tcPr>
                <w:p w14:paraId="05C7F68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b/>
                      <w:bCs/>
                      <w:color w:val="000000" w:themeColor="text1"/>
                      <w:sz w:val="21"/>
                      <w:szCs w:val="21"/>
                      <w:vertAlign w:val="baseline"/>
                      <w:lang w:eastAsia="zh-CN"/>
                      <w14:textFill>
                        <w14:solidFill>
                          <w14:schemeClr w14:val="tx1"/>
                        </w14:solidFill>
                      </w14:textFill>
                    </w:rPr>
                  </w:pPr>
                  <w:r>
                    <w:rPr>
                      <w:rFonts w:hint="eastAsia"/>
                      <w:b/>
                      <w:bCs/>
                      <w:color w:val="000000" w:themeColor="text1"/>
                      <w:sz w:val="21"/>
                      <w:szCs w:val="21"/>
                      <w:vertAlign w:val="baseline"/>
                      <w:lang w:eastAsia="zh-CN"/>
                      <w14:textFill>
                        <w14:solidFill>
                          <w14:schemeClr w14:val="tx1"/>
                        </w14:solidFill>
                      </w14:textFill>
                    </w:rPr>
                    <w:t>有组织排放量</w:t>
                  </w:r>
                  <w:r>
                    <w:rPr>
                      <w:rFonts w:hint="eastAsia" w:ascii="Times New Roman" w:hAnsi="Times New Roman" w:eastAsia="宋体" w:cs="Times New Roman"/>
                      <w:b/>
                      <w:bCs/>
                      <w:snapToGrid w:val="0"/>
                      <w:color w:val="000000" w:themeColor="text1"/>
                      <w:kern w:val="21"/>
                      <w:sz w:val="20"/>
                      <w:szCs w:val="20"/>
                      <w:lang w:val="en-US" w:eastAsia="zh-CN"/>
                      <w14:textFill>
                        <w14:solidFill>
                          <w14:schemeClr w14:val="tx1"/>
                        </w14:solidFill>
                      </w14:textFill>
                    </w:rPr>
                    <w:t>t/a</w:t>
                  </w:r>
                </w:p>
              </w:tc>
              <w:tc>
                <w:tcPr>
                  <w:tcW w:w="1250" w:type="pct"/>
                  <w:vAlign w:val="center"/>
                </w:tcPr>
                <w:p w14:paraId="6F6713E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b/>
                      <w:bCs/>
                      <w:color w:val="000000" w:themeColor="text1"/>
                      <w:sz w:val="21"/>
                      <w:szCs w:val="21"/>
                      <w:vertAlign w:val="baseline"/>
                      <w:lang w:eastAsia="zh-CN"/>
                      <w14:textFill>
                        <w14:solidFill>
                          <w14:schemeClr w14:val="tx1"/>
                        </w14:solidFill>
                      </w14:textFill>
                    </w:rPr>
                  </w:pPr>
                  <w:r>
                    <w:rPr>
                      <w:rFonts w:hint="eastAsia"/>
                      <w:b/>
                      <w:bCs/>
                      <w:color w:val="000000" w:themeColor="text1"/>
                      <w:sz w:val="21"/>
                      <w:szCs w:val="21"/>
                      <w:vertAlign w:val="baseline"/>
                      <w:lang w:eastAsia="zh-CN"/>
                      <w14:textFill>
                        <w14:solidFill>
                          <w14:schemeClr w14:val="tx1"/>
                        </w14:solidFill>
                      </w14:textFill>
                    </w:rPr>
                    <w:t>无组织排放量</w:t>
                  </w:r>
                  <w:r>
                    <w:rPr>
                      <w:rFonts w:hint="eastAsia" w:ascii="Times New Roman" w:hAnsi="Times New Roman" w:eastAsia="宋体" w:cs="Times New Roman"/>
                      <w:b/>
                      <w:bCs/>
                      <w:snapToGrid w:val="0"/>
                      <w:color w:val="000000" w:themeColor="text1"/>
                      <w:kern w:val="21"/>
                      <w:sz w:val="20"/>
                      <w:szCs w:val="20"/>
                      <w:lang w:val="en-US" w:eastAsia="zh-CN"/>
                      <w14:textFill>
                        <w14:solidFill>
                          <w14:schemeClr w14:val="tx1"/>
                        </w14:solidFill>
                      </w14:textFill>
                    </w:rPr>
                    <w:t>t/a</w:t>
                  </w:r>
                </w:p>
              </w:tc>
            </w:tr>
            <w:tr w14:paraId="396DA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pct"/>
                  <w:vAlign w:val="center"/>
                </w:tcPr>
                <w:p w14:paraId="4B0CC4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非甲烷总烃</w:t>
                  </w:r>
                </w:p>
              </w:tc>
              <w:tc>
                <w:tcPr>
                  <w:tcW w:w="1250" w:type="pct"/>
                  <w:vAlign w:val="center"/>
                </w:tcPr>
                <w:p w14:paraId="588B5828">
                  <w:pPr>
                    <w:keepNext w:val="0"/>
                    <w:pageBreakBefore w:val="0"/>
                    <w:widowControl/>
                    <w:overflowPunct/>
                    <w:topLinePunct w:val="0"/>
                    <w:bidi w:val="0"/>
                    <w:adjustRightInd/>
                    <w:snapToGrid/>
                    <w:jc w:val="center"/>
                    <w:textAlignment w:val="center"/>
                    <w:rPr>
                      <w:rFonts w:hint="eastAsia" w:eastAsia="宋体"/>
                      <w:b w:val="0"/>
                      <w:bCs w:val="0"/>
                      <w:color w:val="000000" w:themeColor="text1"/>
                      <w:sz w:val="21"/>
                      <w:szCs w:val="21"/>
                      <w:vertAlign w:val="baseline"/>
                      <w:lang w:val="en-US" w:eastAsia="zh-CN"/>
                      <w14:textFill>
                        <w14:solidFill>
                          <w14:schemeClr w14:val="tx1"/>
                        </w14:solidFill>
                      </w14:textFill>
                    </w:rPr>
                  </w:pPr>
                  <w:r>
                    <w:rPr>
                      <w:rFonts w:hint="eastAsia" w:eastAsia="宋体"/>
                      <w:b w:val="0"/>
                      <w:bCs w:val="0"/>
                      <w:color w:val="000000" w:themeColor="text1"/>
                      <w:sz w:val="21"/>
                      <w:szCs w:val="21"/>
                      <w:vertAlign w:val="baseline"/>
                      <w:lang w:val="en-US" w:eastAsia="zh-CN"/>
                      <w14:textFill>
                        <w14:solidFill>
                          <w14:schemeClr w14:val="tx1"/>
                        </w14:solidFill>
                      </w14:textFill>
                    </w:rPr>
                    <w:t>0.1044</w:t>
                  </w:r>
                </w:p>
              </w:tc>
              <w:tc>
                <w:tcPr>
                  <w:tcW w:w="2117" w:type="dxa"/>
                  <w:vAlign w:val="center"/>
                </w:tcPr>
                <w:p w14:paraId="0BB0AF04">
                  <w:pPr>
                    <w:keepNext w:val="0"/>
                    <w:pageBreakBefore w:val="0"/>
                    <w:widowControl/>
                    <w:overflowPunct/>
                    <w:topLinePunct w:val="0"/>
                    <w:bidi w:val="0"/>
                    <w:adjustRightInd/>
                    <w:snapToGrid/>
                    <w:jc w:val="center"/>
                    <w:textAlignment w:val="center"/>
                    <w:rPr>
                      <w:rFonts w:hint="eastAsia" w:eastAsia="宋体"/>
                      <w:b w:val="0"/>
                      <w:bCs w:val="0"/>
                      <w:color w:val="000000" w:themeColor="text1"/>
                      <w:sz w:val="21"/>
                      <w:szCs w:val="21"/>
                      <w:vertAlign w:val="baseline"/>
                      <w:lang w:val="en-US" w:eastAsia="zh-CN"/>
                      <w14:textFill>
                        <w14:solidFill>
                          <w14:schemeClr w14:val="tx1"/>
                        </w14:solidFill>
                      </w14:textFill>
                    </w:rPr>
                  </w:pPr>
                  <w:r>
                    <w:rPr>
                      <w:rFonts w:hint="eastAsia" w:eastAsia="宋体"/>
                      <w:b w:val="0"/>
                      <w:bCs w:val="0"/>
                      <w:color w:val="000000" w:themeColor="text1"/>
                      <w:sz w:val="21"/>
                      <w:szCs w:val="21"/>
                      <w:vertAlign w:val="baseline"/>
                      <w:lang w:val="en-US" w:eastAsia="zh-CN"/>
                      <w14:textFill>
                        <w14:solidFill>
                          <w14:schemeClr w14:val="tx1"/>
                        </w14:solidFill>
                      </w14:textFill>
                    </w:rPr>
                    <w:t>0.0408</w:t>
                  </w:r>
                </w:p>
              </w:tc>
              <w:tc>
                <w:tcPr>
                  <w:tcW w:w="1250" w:type="pct"/>
                  <w:vAlign w:val="center"/>
                </w:tcPr>
                <w:p w14:paraId="496CFF93">
                  <w:pPr>
                    <w:keepNext w:val="0"/>
                    <w:pageBreakBefore w:val="0"/>
                    <w:widowControl/>
                    <w:overflowPunct/>
                    <w:topLinePunct w:val="0"/>
                    <w:bidi w:val="0"/>
                    <w:adjustRightInd/>
                    <w:snapToGrid/>
                    <w:jc w:val="center"/>
                    <w:textAlignment w:val="center"/>
                    <w:rPr>
                      <w:rFonts w:hint="eastAsia" w:eastAsia="宋体"/>
                      <w:b w:val="0"/>
                      <w:bCs w:val="0"/>
                      <w:color w:val="000000" w:themeColor="text1"/>
                      <w:sz w:val="21"/>
                      <w:szCs w:val="21"/>
                      <w:vertAlign w:val="baseline"/>
                      <w:lang w:val="en-US" w:eastAsia="zh-CN"/>
                      <w14:textFill>
                        <w14:solidFill>
                          <w14:schemeClr w14:val="tx1"/>
                        </w14:solidFill>
                      </w14:textFill>
                    </w:rPr>
                  </w:pPr>
                  <w:r>
                    <w:rPr>
                      <w:rFonts w:hint="eastAsia" w:eastAsia="宋体"/>
                      <w:b w:val="0"/>
                      <w:bCs w:val="0"/>
                      <w:color w:val="000000" w:themeColor="text1"/>
                      <w:sz w:val="21"/>
                      <w:szCs w:val="21"/>
                      <w:vertAlign w:val="baseline"/>
                      <w:lang w:val="en-US" w:eastAsia="zh-CN"/>
                      <w14:textFill>
                        <w14:solidFill>
                          <w14:schemeClr w14:val="tx1"/>
                        </w14:solidFill>
                      </w14:textFill>
                    </w:rPr>
                    <w:t>0.0636</w:t>
                  </w:r>
                </w:p>
              </w:tc>
            </w:tr>
            <w:tr w14:paraId="1AAD8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pct"/>
                  <w:vAlign w:val="center"/>
                </w:tcPr>
                <w:p w14:paraId="49DBBB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甲苯</w:t>
                  </w:r>
                </w:p>
              </w:tc>
              <w:tc>
                <w:tcPr>
                  <w:tcW w:w="1250" w:type="pct"/>
                  <w:vAlign w:val="center"/>
                </w:tcPr>
                <w:p w14:paraId="02C9609A">
                  <w:pPr>
                    <w:keepNext w:val="0"/>
                    <w:pageBreakBefore w:val="0"/>
                    <w:widowControl/>
                    <w:overflowPunct/>
                    <w:topLinePunct w:val="0"/>
                    <w:bidi w:val="0"/>
                    <w:adjustRightInd/>
                    <w:snapToGrid/>
                    <w:jc w:val="center"/>
                    <w:textAlignment w:val="center"/>
                    <w:rPr>
                      <w:rFonts w:hint="eastAsia" w:eastAsia="宋体"/>
                      <w:b w:val="0"/>
                      <w:bCs w:val="0"/>
                      <w:color w:val="000000" w:themeColor="text1"/>
                      <w:sz w:val="21"/>
                      <w:szCs w:val="21"/>
                      <w:vertAlign w:val="baseline"/>
                      <w:lang w:val="en-US" w:eastAsia="zh-CN"/>
                      <w14:textFill>
                        <w14:solidFill>
                          <w14:schemeClr w14:val="tx1"/>
                        </w14:solidFill>
                      </w14:textFill>
                    </w:rPr>
                  </w:pPr>
                  <w:r>
                    <w:rPr>
                      <w:rFonts w:hint="default" w:eastAsia="宋体"/>
                      <w:b w:val="0"/>
                      <w:bCs w:val="0"/>
                      <w:color w:val="000000" w:themeColor="text1"/>
                      <w:sz w:val="21"/>
                      <w:szCs w:val="21"/>
                      <w:vertAlign w:val="baseline"/>
                      <w:lang w:val="en-US" w:eastAsia="zh-CN"/>
                      <w14:textFill>
                        <w14:solidFill>
                          <w14:schemeClr w14:val="tx1"/>
                        </w14:solidFill>
                      </w14:textFill>
                    </w:rPr>
                    <w:t>0.0003168</w:t>
                  </w:r>
                </w:p>
              </w:tc>
              <w:tc>
                <w:tcPr>
                  <w:tcW w:w="2117" w:type="dxa"/>
                  <w:vAlign w:val="center"/>
                </w:tcPr>
                <w:p w14:paraId="4840EE9D">
                  <w:pPr>
                    <w:keepNext w:val="0"/>
                    <w:pageBreakBefore w:val="0"/>
                    <w:widowControl/>
                    <w:overflowPunct/>
                    <w:topLinePunct w:val="0"/>
                    <w:bidi w:val="0"/>
                    <w:adjustRightInd/>
                    <w:snapToGrid/>
                    <w:jc w:val="center"/>
                    <w:textAlignment w:val="center"/>
                    <w:rPr>
                      <w:rFonts w:hint="eastAsia" w:eastAsia="宋体"/>
                      <w:b w:val="0"/>
                      <w:bCs w:val="0"/>
                      <w:color w:val="000000" w:themeColor="text1"/>
                      <w:sz w:val="21"/>
                      <w:szCs w:val="21"/>
                      <w:vertAlign w:val="baseline"/>
                      <w:lang w:val="en-US" w:eastAsia="zh-CN"/>
                      <w14:textFill>
                        <w14:solidFill>
                          <w14:schemeClr w14:val="tx1"/>
                        </w14:solidFill>
                      </w14:textFill>
                    </w:rPr>
                  </w:pPr>
                  <w:r>
                    <w:rPr>
                      <w:rFonts w:hint="eastAsia" w:eastAsia="宋体"/>
                      <w:b w:val="0"/>
                      <w:bCs w:val="0"/>
                      <w:color w:val="000000" w:themeColor="text1"/>
                      <w:sz w:val="21"/>
                      <w:szCs w:val="21"/>
                      <w:vertAlign w:val="baseline"/>
                      <w:lang w:val="en-US" w:eastAsia="zh-CN"/>
                      <w14:textFill>
                        <w14:solidFill>
                          <w14:schemeClr w14:val="tx1"/>
                        </w14:solidFill>
                      </w14:textFill>
                    </w:rPr>
                    <w:t>0.000132</w:t>
                  </w:r>
                </w:p>
              </w:tc>
              <w:tc>
                <w:tcPr>
                  <w:tcW w:w="1250" w:type="pct"/>
                  <w:vAlign w:val="center"/>
                </w:tcPr>
                <w:p w14:paraId="55B6F350">
                  <w:pPr>
                    <w:keepNext w:val="0"/>
                    <w:pageBreakBefore w:val="0"/>
                    <w:widowControl/>
                    <w:overflowPunct/>
                    <w:topLinePunct w:val="0"/>
                    <w:bidi w:val="0"/>
                    <w:adjustRightInd/>
                    <w:snapToGrid/>
                    <w:jc w:val="center"/>
                    <w:textAlignment w:val="center"/>
                    <w:rPr>
                      <w:rFonts w:hint="eastAsia" w:eastAsia="宋体"/>
                      <w:b w:val="0"/>
                      <w:bCs w:val="0"/>
                      <w:color w:val="000000" w:themeColor="text1"/>
                      <w:sz w:val="21"/>
                      <w:szCs w:val="21"/>
                      <w:vertAlign w:val="baseline"/>
                      <w:lang w:val="en-US" w:eastAsia="zh-CN"/>
                      <w14:textFill>
                        <w14:solidFill>
                          <w14:schemeClr w14:val="tx1"/>
                        </w14:solidFill>
                      </w14:textFill>
                    </w:rPr>
                  </w:pPr>
                  <w:r>
                    <w:rPr>
                      <w:rFonts w:hint="eastAsia" w:eastAsia="宋体"/>
                      <w:b w:val="0"/>
                      <w:bCs w:val="0"/>
                      <w:color w:val="000000" w:themeColor="text1"/>
                      <w:sz w:val="21"/>
                      <w:szCs w:val="21"/>
                      <w:vertAlign w:val="baseline"/>
                      <w:lang w:val="en-US" w:eastAsia="zh-CN"/>
                      <w14:textFill>
                        <w14:solidFill>
                          <w14:schemeClr w14:val="tx1"/>
                        </w14:solidFill>
                      </w14:textFill>
                    </w:rPr>
                    <w:t>0.0001848</w:t>
                  </w:r>
                </w:p>
              </w:tc>
            </w:tr>
            <w:tr w14:paraId="5E842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pct"/>
                  <w:vAlign w:val="center"/>
                </w:tcPr>
                <w:p w14:paraId="2516FA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乙苯</w:t>
                  </w:r>
                </w:p>
              </w:tc>
              <w:tc>
                <w:tcPr>
                  <w:tcW w:w="1250" w:type="pct"/>
                  <w:vAlign w:val="center"/>
                </w:tcPr>
                <w:p w14:paraId="03611C76">
                  <w:pPr>
                    <w:keepNext w:val="0"/>
                    <w:pageBreakBefore w:val="0"/>
                    <w:widowControl/>
                    <w:overflowPunct/>
                    <w:topLinePunct w:val="0"/>
                    <w:bidi w:val="0"/>
                    <w:adjustRightInd/>
                    <w:snapToGrid/>
                    <w:jc w:val="center"/>
                    <w:textAlignment w:val="center"/>
                    <w:rPr>
                      <w:rFonts w:hint="eastAsia" w:eastAsia="宋体"/>
                      <w:b w:val="0"/>
                      <w:bCs w:val="0"/>
                      <w:color w:val="000000" w:themeColor="text1"/>
                      <w:sz w:val="21"/>
                      <w:szCs w:val="21"/>
                      <w:vertAlign w:val="baseline"/>
                      <w:lang w:val="en-US" w:eastAsia="zh-CN"/>
                      <w14:textFill>
                        <w14:solidFill>
                          <w14:schemeClr w14:val="tx1"/>
                        </w14:solidFill>
                      </w14:textFill>
                    </w:rPr>
                  </w:pPr>
                  <w:r>
                    <w:rPr>
                      <w:rFonts w:hint="default" w:eastAsia="宋体"/>
                      <w:b w:val="0"/>
                      <w:bCs w:val="0"/>
                      <w:color w:val="000000" w:themeColor="text1"/>
                      <w:sz w:val="21"/>
                      <w:szCs w:val="21"/>
                      <w:vertAlign w:val="baseline"/>
                      <w:lang w:val="en-US" w:eastAsia="zh-CN"/>
                      <w14:textFill>
                        <w14:solidFill>
                          <w14:schemeClr w14:val="tx1"/>
                        </w14:solidFill>
                      </w14:textFill>
                    </w:rPr>
                    <w:t>0.0002592</w:t>
                  </w:r>
                </w:p>
              </w:tc>
              <w:tc>
                <w:tcPr>
                  <w:tcW w:w="2117" w:type="dxa"/>
                  <w:vAlign w:val="center"/>
                </w:tcPr>
                <w:p w14:paraId="2DFA724B">
                  <w:pPr>
                    <w:keepNext w:val="0"/>
                    <w:pageBreakBefore w:val="0"/>
                    <w:widowControl/>
                    <w:overflowPunct/>
                    <w:topLinePunct w:val="0"/>
                    <w:bidi w:val="0"/>
                    <w:adjustRightInd/>
                    <w:snapToGrid/>
                    <w:jc w:val="center"/>
                    <w:textAlignment w:val="center"/>
                    <w:rPr>
                      <w:rFonts w:hint="eastAsia" w:eastAsia="宋体"/>
                      <w:b w:val="0"/>
                      <w:bCs w:val="0"/>
                      <w:color w:val="000000" w:themeColor="text1"/>
                      <w:sz w:val="21"/>
                      <w:szCs w:val="21"/>
                      <w:vertAlign w:val="baseline"/>
                      <w:lang w:val="en-US" w:eastAsia="zh-CN"/>
                      <w14:textFill>
                        <w14:solidFill>
                          <w14:schemeClr w14:val="tx1"/>
                        </w14:solidFill>
                      </w14:textFill>
                    </w:rPr>
                  </w:pPr>
                  <w:r>
                    <w:rPr>
                      <w:rFonts w:hint="eastAsia" w:eastAsia="宋体"/>
                      <w:b w:val="0"/>
                      <w:bCs w:val="0"/>
                      <w:color w:val="000000" w:themeColor="text1"/>
                      <w:sz w:val="21"/>
                      <w:szCs w:val="21"/>
                      <w:vertAlign w:val="baseline"/>
                      <w:lang w:val="en-US" w:eastAsia="zh-CN"/>
                      <w14:textFill>
                        <w14:solidFill>
                          <w14:schemeClr w14:val="tx1"/>
                        </w14:solidFill>
                      </w14:textFill>
                    </w:rPr>
                    <w:t>0.000108</w:t>
                  </w:r>
                </w:p>
              </w:tc>
              <w:tc>
                <w:tcPr>
                  <w:tcW w:w="1250" w:type="pct"/>
                  <w:vAlign w:val="center"/>
                </w:tcPr>
                <w:p w14:paraId="4C0F41E8">
                  <w:pPr>
                    <w:keepNext w:val="0"/>
                    <w:pageBreakBefore w:val="0"/>
                    <w:widowControl/>
                    <w:overflowPunct/>
                    <w:topLinePunct w:val="0"/>
                    <w:bidi w:val="0"/>
                    <w:adjustRightInd/>
                    <w:snapToGrid/>
                    <w:jc w:val="center"/>
                    <w:textAlignment w:val="center"/>
                    <w:rPr>
                      <w:rFonts w:hint="eastAsia" w:eastAsia="宋体"/>
                      <w:b w:val="0"/>
                      <w:bCs w:val="0"/>
                      <w:color w:val="000000" w:themeColor="text1"/>
                      <w:sz w:val="21"/>
                      <w:szCs w:val="21"/>
                      <w:vertAlign w:val="baseline"/>
                      <w:lang w:val="en-US" w:eastAsia="zh-CN"/>
                      <w14:textFill>
                        <w14:solidFill>
                          <w14:schemeClr w14:val="tx1"/>
                        </w14:solidFill>
                      </w14:textFill>
                    </w:rPr>
                  </w:pPr>
                  <w:r>
                    <w:rPr>
                      <w:rFonts w:hint="eastAsia" w:eastAsia="宋体"/>
                      <w:b w:val="0"/>
                      <w:bCs w:val="0"/>
                      <w:color w:val="000000" w:themeColor="text1"/>
                      <w:sz w:val="21"/>
                      <w:szCs w:val="21"/>
                      <w:vertAlign w:val="baseline"/>
                      <w:lang w:val="en-US" w:eastAsia="zh-CN"/>
                      <w14:textFill>
                        <w14:solidFill>
                          <w14:schemeClr w14:val="tx1"/>
                        </w14:solidFill>
                      </w14:textFill>
                    </w:rPr>
                    <w:t>0.0001512</w:t>
                  </w:r>
                </w:p>
              </w:tc>
            </w:tr>
            <w:tr w14:paraId="0C0C8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pct"/>
                  <w:vAlign w:val="center"/>
                </w:tcPr>
                <w:p w14:paraId="2C5A3A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苯乙烯</w:t>
                  </w:r>
                </w:p>
              </w:tc>
              <w:tc>
                <w:tcPr>
                  <w:tcW w:w="1250" w:type="pct"/>
                  <w:vAlign w:val="center"/>
                </w:tcPr>
                <w:p w14:paraId="609FC1AB">
                  <w:pPr>
                    <w:keepNext w:val="0"/>
                    <w:pageBreakBefore w:val="0"/>
                    <w:widowControl/>
                    <w:overflowPunct/>
                    <w:topLinePunct w:val="0"/>
                    <w:bidi w:val="0"/>
                    <w:adjustRightInd/>
                    <w:snapToGrid/>
                    <w:jc w:val="center"/>
                    <w:textAlignment w:val="center"/>
                    <w:rPr>
                      <w:rFonts w:hint="eastAsia" w:eastAsia="宋体"/>
                      <w:b w:val="0"/>
                      <w:bCs w:val="0"/>
                      <w:color w:val="000000" w:themeColor="text1"/>
                      <w:sz w:val="21"/>
                      <w:szCs w:val="21"/>
                      <w:vertAlign w:val="baseline"/>
                      <w:lang w:val="en-US" w:eastAsia="zh-CN"/>
                      <w14:textFill>
                        <w14:solidFill>
                          <w14:schemeClr w14:val="tx1"/>
                        </w14:solidFill>
                      </w14:textFill>
                    </w:rPr>
                  </w:pPr>
                  <w:r>
                    <w:rPr>
                      <w:rFonts w:hint="default" w:eastAsia="宋体"/>
                      <w:b w:val="0"/>
                      <w:bCs w:val="0"/>
                      <w:color w:val="000000" w:themeColor="text1"/>
                      <w:sz w:val="21"/>
                      <w:szCs w:val="21"/>
                      <w:vertAlign w:val="baseline"/>
                      <w:lang w:val="en-US" w:eastAsia="zh-CN"/>
                      <w14:textFill>
                        <w14:solidFill>
                          <w14:schemeClr w14:val="tx1"/>
                        </w14:solidFill>
                      </w14:textFill>
                    </w:rPr>
                    <w:t>0.0072</w:t>
                  </w:r>
                </w:p>
              </w:tc>
              <w:tc>
                <w:tcPr>
                  <w:tcW w:w="2117" w:type="dxa"/>
                  <w:vAlign w:val="center"/>
                </w:tcPr>
                <w:p w14:paraId="408E1B5A">
                  <w:pPr>
                    <w:keepNext w:val="0"/>
                    <w:pageBreakBefore w:val="0"/>
                    <w:widowControl/>
                    <w:overflowPunct/>
                    <w:topLinePunct w:val="0"/>
                    <w:bidi w:val="0"/>
                    <w:adjustRightInd/>
                    <w:snapToGrid/>
                    <w:jc w:val="center"/>
                    <w:textAlignment w:val="center"/>
                    <w:rPr>
                      <w:rFonts w:hint="eastAsia" w:eastAsia="宋体"/>
                      <w:b w:val="0"/>
                      <w:bCs w:val="0"/>
                      <w:color w:val="000000" w:themeColor="text1"/>
                      <w:sz w:val="21"/>
                      <w:szCs w:val="21"/>
                      <w:vertAlign w:val="baseline"/>
                      <w:lang w:val="en-US" w:eastAsia="zh-CN"/>
                      <w14:textFill>
                        <w14:solidFill>
                          <w14:schemeClr w14:val="tx1"/>
                        </w14:solidFill>
                      </w14:textFill>
                    </w:rPr>
                  </w:pPr>
                  <w:r>
                    <w:rPr>
                      <w:rFonts w:hint="eastAsia" w:eastAsia="宋体"/>
                      <w:b w:val="0"/>
                      <w:bCs w:val="0"/>
                      <w:color w:val="000000" w:themeColor="text1"/>
                      <w:sz w:val="21"/>
                      <w:szCs w:val="21"/>
                      <w:vertAlign w:val="baseline"/>
                      <w:lang w:val="en-US" w:eastAsia="zh-CN"/>
                      <w14:textFill>
                        <w14:solidFill>
                          <w14:schemeClr w14:val="tx1"/>
                        </w14:solidFill>
                      </w14:textFill>
                    </w:rPr>
                    <w:t>0.0036</w:t>
                  </w:r>
                </w:p>
              </w:tc>
              <w:tc>
                <w:tcPr>
                  <w:tcW w:w="1250" w:type="pct"/>
                  <w:shd w:val="clear" w:color="auto" w:fill="auto"/>
                  <w:vAlign w:val="center"/>
                </w:tcPr>
                <w:p w14:paraId="63D5CAF6">
                  <w:pPr>
                    <w:keepNext w:val="0"/>
                    <w:pageBreakBefore w:val="0"/>
                    <w:widowControl/>
                    <w:overflowPunct/>
                    <w:topLinePunct w:val="0"/>
                    <w:bidi w:val="0"/>
                    <w:adjustRightInd/>
                    <w:snapToGrid/>
                    <w:jc w:val="center"/>
                    <w:textAlignment w:val="center"/>
                    <w:rPr>
                      <w:rFonts w:hint="eastAsia" w:eastAsia="宋体"/>
                      <w:b w:val="0"/>
                      <w:bCs w:val="0"/>
                      <w:color w:val="000000" w:themeColor="text1"/>
                      <w:sz w:val="21"/>
                      <w:szCs w:val="21"/>
                      <w:vertAlign w:val="baseline"/>
                      <w:lang w:val="en-US" w:eastAsia="zh-CN"/>
                      <w14:textFill>
                        <w14:solidFill>
                          <w14:schemeClr w14:val="tx1"/>
                        </w14:solidFill>
                      </w14:textFill>
                    </w:rPr>
                  </w:pPr>
                  <w:r>
                    <w:rPr>
                      <w:rFonts w:hint="default" w:eastAsia="宋体"/>
                      <w:b w:val="0"/>
                      <w:bCs w:val="0"/>
                      <w:color w:val="000000" w:themeColor="text1"/>
                      <w:sz w:val="21"/>
                      <w:szCs w:val="21"/>
                      <w:vertAlign w:val="baseline"/>
                      <w:lang w:val="en-US" w:eastAsia="zh-CN"/>
                      <w14:textFill>
                        <w14:solidFill>
                          <w14:schemeClr w14:val="tx1"/>
                        </w14:solidFill>
                      </w14:textFill>
                    </w:rPr>
                    <w:t>0.0036</w:t>
                  </w:r>
                </w:p>
              </w:tc>
            </w:tr>
            <w:tr w14:paraId="4D5C2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pct"/>
                  <w:vAlign w:val="center"/>
                </w:tcPr>
                <w:p w14:paraId="7FBA3B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颗粒物</w:t>
                  </w:r>
                </w:p>
              </w:tc>
              <w:tc>
                <w:tcPr>
                  <w:tcW w:w="2117" w:type="dxa"/>
                  <w:shd w:val="clear" w:color="auto" w:fill="auto"/>
                  <w:vAlign w:val="center"/>
                </w:tcPr>
                <w:p w14:paraId="3FDE8127">
                  <w:pPr>
                    <w:keepNext w:val="0"/>
                    <w:pageBreakBefore w:val="0"/>
                    <w:widowControl/>
                    <w:overflowPunct/>
                    <w:topLinePunct w:val="0"/>
                    <w:bidi w:val="0"/>
                    <w:adjustRightInd/>
                    <w:snapToGrid/>
                    <w:jc w:val="center"/>
                    <w:textAlignment w:val="center"/>
                    <w:rPr>
                      <w:rFonts w:hint="eastAsia" w:eastAsia="宋体"/>
                      <w:b w:val="0"/>
                      <w:bCs w:val="0"/>
                      <w:color w:val="000000" w:themeColor="text1"/>
                      <w:sz w:val="21"/>
                      <w:szCs w:val="21"/>
                      <w:vertAlign w:val="baseline"/>
                      <w:lang w:val="en-US" w:eastAsia="zh-CN"/>
                      <w14:textFill>
                        <w14:solidFill>
                          <w14:schemeClr w14:val="tx1"/>
                        </w14:solidFill>
                      </w14:textFill>
                    </w:rPr>
                  </w:pPr>
                  <w:r>
                    <w:rPr>
                      <w:rFonts w:hint="eastAsia" w:eastAsia="宋体"/>
                      <w:b w:val="0"/>
                      <w:bCs w:val="0"/>
                      <w:color w:val="000000" w:themeColor="text1"/>
                      <w:sz w:val="21"/>
                      <w:szCs w:val="21"/>
                      <w:vertAlign w:val="baseline"/>
                      <w:lang w:val="en-US" w:eastAsia="zh-CN"/>
                      <w14:textFill>
                        <w14:solidFill>
                          <w14:schemeClr w14:val="tx1"/>
                        </w14:solidFill>
                      </w14:textFill>
                    </w:rPr>
                    <w:t>0.049</w:t>
                  </w:r>
                  <w:r>
                    <w:rPr>
                      <w:rFonts w:hint="eastAsia"/>
                      <w:color w:val="000000" w:themeColor="text1"/>
                      <w:lang w:val="en-US" w:eastAsia="zh-CN"/>
                      <w14:textFill>
                        <w14:solidFill>
                          <w14:schemeClr w14:val="tx1"/>
                        </w14:solidFill>
                      </w14:textFill>
                    </w:rPr>
                    <w:t>4</w:t>
                  </w:r>
                </w:p>
              </w:tc>
              <w:tc>
                <w:tcPr>
                  <w:tcW w:w="1250" w:type="pct"/>
                  <w:vAlign w:val="center"/>
                </w:tcPr>
                <w:p w14:paraId="454C405A">
                  <w:pPr>
                    <w:keepNext w:val="0"/>
                    <w:pageBreakBefore w:val="0"/>
                    <w:widowControl/>
                    <w:overflowPunct/>
                    <w:topLinePunct w:val="0"/>
                    <w:bidi w:val="0"/>
                    <w:adjustRightInd/>
                    <w:snapToGrid/>
                    <w:jc w:val="center"/>
                    <w:textAlignment w:val="center"/>
                    <w:rPr>
                      <w:rFonts w:hint="eastAsia" w:eastAsia="宋体"/>
                      <w:b w:val="0"/>
                      <w:bCs w:val="0"/>
                      <w:color w:val="000000" w:themeColor="text1"/>
                      <w:sz w:val="21"/>
                      <w:szCs w:val="21"/>
                      <w:vertAlign w:val="baseline"/>
                      <w:lang w:val="en-US" w:eastAsia="zh-CN"/>
                      <w14:textFill>
                        <w14:solidFill>
                          <w14:schemeClr w14:val="tx1"/>
                        </w14:solidFill>
                      </w14:textFill>
                    </w:rPr>
                  </w:pPr>
                  <w:r>
                    <w:rPr>
                      <w:rFonts w:hint="eastAsia" w:eastAsia="宋体"/>
                      <w:b w:val="0"/>
                      <w:bCs w:val="0"/>
                      <w:color w:val="000000" w:themeColor="text1"/>
                      <w:sz w:val="21"/>
                      <w:szCs w:val="21"/>
                      <w:vertAlign w:val="baseline"/>
                      <w:lang w:val="en-US" w:eastAsia="zh-CN"/>
                      <w14:textFill>
                        <w14:solidFill>
                          <w14:schemeClr w14:val="tx1"/>
                        </w14:solidFill>
                      </w14:textFill>
                    </w:rPr>
                    <w:t>0.049</w:t>
                  </w:r>
                  <w:r>
                    <w:rPr>
                      <w:rFonts w:hint="eastAsia"/>
                      <w:color w:val="000000" w:themeColor="text1"/>
                      <w:lang w:val="en-US" w:eastAsia="zh-CN"/>
                      <w14:textFill>
                        <w14:solidFill>
                          <w14:schemeClr w14:val="tx1"/>
                        </w14:solidFill>
                      </w14:textFill>
                    </w:rPr>
                    <w:t>4</w:t>
                  </w:r>
                </w:p>
              </w:tc>
              <w:tc>
                <w:tcPr>
                  <w:tcW w:w="1250" w:type="pct"/>
                  <w:vAlign w:val="center"/>
                </w:tcPr>
                <w:p w14:paraId="32DC9658">
                  <w:pPr>
                    <w:keepNext w:val="0"/>
                    <w:pageBreakBefore w:val="0"/>
                    <w:widowControl/>
                    <w:overflowPunct/>
                    <w:topLinePunct w:val="0"/>
                    <w:bidi w:val="0"/>
                    <w:adjustRightInd/>
                    <w:snapToGrid/>
                    <w:jc w:val="center"/>
                    <w:textAlignment w:val="center"/>
                    <w:rPr>
                      <w:rFonts w:hint="eastAsia" w:eastAsia="宋体"/>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w:t>
                  </w:r>
                </w:p>
              </w:tc>
            </w:tr>
            <w:tr w14:paraId="1C8EC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pct"/>
                  <w:vAlign w:val="center"/>
                </w:tcPr>
                <w:p w14:paraId="15C721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二氧化硫</w:t>
                  </w:r>
                </w:p>
              </w:tc>
              <w:tc>
                <w:tcPr>
                  <w:tcW w:w="2117" w:type="dxa"/>
                  <w:vAlign w:val="center"/>
                </w:tcPr>
                <w:p w14:paraId="39AAE515">
                  <w:pPr>
                    <w:keepNext w:val="0"/>
                    <w:pageBreakBefore w:val="0"/>
                    <w:widowControl/>
                    <w:overflowPunct/>
                    <w:topLinePunct w:val="0"/>
                    <w:bidi w:val="0"/>
                    <w:adjustRightInd/>
                    <w:snapToGrid/>
                    <w:jc w:val="center"/>
                    <w:textAlignment w:val="center"/>
                    <w:rPr>
                      <w:rFonts w:hint="eastAsia"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w:t>
                  </w:r>
                  <w:r>
                    <w:rPr>
                      <w:rFonts w:hint="eastAsia" w:cs="Times New Roman"/>
                      <w:color w:val="000000" w:themeColor="text1"/>
                      <w:sz w:val="21"/>
                      <w:szCs w:val="21"/>
                      <w:lang w:val="en-US" w:eastAsia="zh-CN"/>
                      <w14:textFill>
                        <w14:solidFill>
                          <w14:schemeClr w14:val="tx1"/>
                        </w14:solidFill>
                      </w14:textFill>
                    </w:rPr>
                    <w:t>104</w:t>
                  </w:r>
                </w:p>
              </w:tc>
              <w:tc>
                <w:tcPr>
                  <w:tcW w:w="1250" w:type="pct"/>
                  <w:vAlign w:val="center"/>
                </w:tcPr>
                <w:p w14:paraId="5029B2C4">
                  <w:pPr>
                    <w:keepNext w:val="0"/>
                    <w:pageBreakBefore w:val="0"/>
                    <w:widowControl/>
                    <w:overflowPunct/>
                    <w:topLinePunct w:val="0"/>
                    <w:bidi w:val="0"/>
                    <w:adjustRightInd/>
                    <w:snapToGrid/>
                    <w:jc w:val="center"/>
                    <w:textAlignment w:val="center"/>
                    <w:rPr>
                      <w:rFonts w:hint="eastAsia"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w:t>
                  </w:r>
                  <w:r>
                    <w:rPr>
                      <w:rFonts w:hint="eastAsia" w:cs="Times New Roman"/>
                      <w:color w:val="000000" w:themeColor="text1"/>
                      <w:sz w:val="21"/>
                      <w:szCs w:val="21"/>
                      <w:lang w:val="en-US" w:eastAsia="zh-CN"/>
                      <w14:textFill>
                        <w14:solidFill>
                          <w14:schemeClr w14:val="tx1"/>
                        </w14:solidFill>
                      </w14:textFill>
                    </w:rPr>
                    <w:t>104</w:t>
                  </w:r>
                </w:p>
              </w:tc>
              <w:tc>
                <w:tcPr>
                  <w:tcW w:w="1250" w:type="pct"/>
                  <w:vAlign w:val="center"/>
                </w:tcPr>
                <w:p w14:paraId="1268D4CE">
                  <w:pPr>
                    <w:keepNext w:val="0"/>
                    <w:pageBreakBefore w:val="0"/>
                    <w:widowControl/>
                    <w:overflowPunct/>
                    <w:topLinePunct w:val="0"/>
                    <w:bidi w:val="0"/>
                    <w:adjustRightInd/>
                    <w:snapToGrid/>
                    <w:jc w:val="center"/>
                    <w:textAlignment w:val="center"/>
                    <w:rPr>
                      <w:rFonts w:hint="default" w:eastAsia="宋体"/>
                      <w:b w:val="0"/>
                      <w:bCs w:val="0"/>
                      <w:color w:val="000000" w:themeColor="text1"/>
                      <w:sz w:val="21"/>
                      <w:szCs w:val="21"/>
                      <w:vertAlign w:val="baseline"/>
                      <w:lang w:val="en-US" w:eastAsia="zh-CN"/>
                      <w14:textFill>
                        <w14:solidFill>
                          <w14:schemeClr w14:val="tx1"/>
                        </w14:solidFill>
                      </w14:textFill>
                    </w:rPr>
                  </w:pPr>
                  <w:r>
                    <w:rPr>
                      <w:rFonts w:hint="eastAsia" w:eastAsia="宋体"/>
                      <w:b w:val="0"/>
                      <w:bCs w:val="0"/>
                      <w:color w:val="000000" w:themeColor="text1"/>
                      <w:sz w:val="21"/>
                      <w:szCs w:val="21"/>
                      <w:vertAlign w:val="baseline"/>
                      <w:lang w:val="en-US" w:eastAsia="zh-CN"/>
                      <w14:textFill>
                        <w14:solidFill>
                          <w14:schemeClr w14:val="tx1"/>
                        </w14:solidFill>
                      </w14:textFill>
                    </w:rPr>
                    <w:t>/</w:t>
                  </w:r>
                </w:p>
              </w:tc>
            </w:tr>
            <w:tr w14:paraId="204AA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pct"/>
                  <w:vAlign w:val="center"/>
                </w:tcPr>
                <w:p w14:paraId="5442EA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氮氧化物</w:t>
                  </w:r>
                </w:p>
              </w:tc>
              <w:tc>
                <w:tcPr>
                  <w:tcW w:w="2117" w:type="dxa"/>
                  <w:vAlign w:val="center"/>
                </w:tcPr>
                <w:p w14:paraId="288CAEEE">
                  <w:pPr>
                    <w:keepNext w:val="0"/>
                    <w:pageBreakBefore w:val="0"/>
                    <w:widowControl/>
                    <w:overflowPunct/>
                    <w:topLinePunct w:val="0"/>
                    <w:bidi w:val="0"/>
                    <w:adjustRightInd/>
                    <w:snapToGrid/>
                    <w:jc w:val="center"/>
                    <w:textAlignment w:val="center"/>
                    <w:rPr>
                      <w:rFonts w:hint="eastAsia"/>
                      <w:b w:val="0"/>
                      <w:bCs w:val="0"/>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9733</w:t>
                  </w:r>
                </w:p>
              </w:tc>
              <w:tc>
                <w:tcPr>
                  <w:tcW w:w="1250" w:type="pct"/>
                  <w:vAlign w:val="center"/>
                </w:tcPr>
                <w:p w14:paraId="77198A18">
                  <w:pPr>
                    <w:keepNext w:val="0"/>
                    <w:pageBreakBefore w:val="0"/>
                    <w:widowControl/>
                    <w:overflowPunct/>
                    <w:topLinePunct w:val="0"/>
                    <w:bidi w:val="0"/>
                    <w:adjustRightInd/>
                    <w:snapToGrid/>
                    <w:jc w:val="center"/>
                    <w:textAlignment w:val="center"/>
                    <w:rPr>
                      <w:rFonts w:hint="eastAsia"/>
                      <w:b w:val="0"/>
                      <w:bCs w:val="0"/>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9733</w:t>
                  </w:r>
                </w:p>
              </w:tc>
              <w:tc>
                <w:tcPr>
                  <w:tcW w:w="1250" w:type="pct"/>
                  <w:vAlign w:val="center"/>
                </w:tcPr>
                <w:p w14:paraId="30597EE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w:t>
                  </w:r>
                </w:p>
              </w:tc>
            </w:tr>
          </w:tbl>
          <w:p w14:paraId="1B32500A">
            <w:pPr>
              <w:pageBreakBefore w:val="0"/>
              <w:kinsoku/>
              <w:overflowPunct/>
              <w:topLinePunct w:val="0"/>
              <w:bidi w:val="0"/>
              <w:adjustRightInd w:val="0"/>
              <w:snapToGrid w:val="0"/>
              <w:spacing w:line="348" w:lineRule="auto"/>
              <w:ind w:left="0" w:leftChars="0" w:right="0" w:firstLine="480" w:firstLineChars="200"/>
              <w:rPr>
                <w:rFonts w:hint="default" w:eastAsia="宋体"/>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eastAsia="zh-CN"/>
                <w14:textFill>
                  <w14:solidFill>
                    <w14:schemeClr w14:val="tx1"/>
                  </w14:solidFill>
                </w14:textFill>
              </w:rPr>
              <w:t>综上所述，本项目非甲烷总烃排放量为</w:t>
            </w:r>
            <w:r>
              <w:rPr>
                <w:rFonts w:hint="eastAsia"/>
                <w:b w:val="0"/>
                <w:bCs w:val="0"/>
                <w:color w:val="000000" w:themeColor="text1"/>
                <w:sz w:val="24"/>
                <w:lang w:val="en-US" w:eastAsia="zh-CN"/>
                <w14:textFill>
                  <w14:solidFill>
                    <w14:schemeClr w14:val="tx1"/>
                  </w14:solidFill>
                </w14:textFill>
              </w:rPr>
              <w:t>0.1044t/a，甲苯</w:t>
            </w:r>
            <w:r>
              <w:rPr>
                <w:rFonts w:hint="eastAsia"/>
                <w:b w:val="0"/>
                <w:bCs w:val="0"/>
                <w:color w:val="000000" w:themeColor="text1"/>
                <w:sz w:val="24"/>
                <w:lang w:eastAsia="zh-CN"/>
                <w14:textFill>
                  <w14:solidFill>
                    <w14:schemeClr w14:val="tx1"/>
                  </w14:solidFill>
                </w14:textFill>
              </w:rPr>
              <w:t>排放量为</w:t>
            </w:r>
            <w:r>
              <w:rPr>
                <w:rFonts w:hint="eastAsia"/>
                <w:b w:val="0"/>
                <w:bCs w:val="0"/>
                <w:color w:val="000000" w:themeColor="text1"/>
                <w:sz w:val="24"/>
                <w:lang w:val="en-US" w:eastAsia="zh-CN"/>
                <w14:textFill>
                  <w14:solidFill>
                    <w14:schemeClr w14:val="tx1"/>
                  </w14:solidFill>
                </w14:textFill>
              </w:rPr>
              <w:t>0.00003168t/a，乙苯</w:t>
            </w:r>
            <w:r>
              <w:rPr>
                <w:rFonts w:hint="eastAsia"/>
                <w:b w:val="0"/>
                <w:bCs w:val="0"/>
                <w:color w:val="000000" w:themeColor="text1"/>
                <w:sz w:val="24"/>
                <w:lang w:eastAsia="zh-CN"/>
                <w14:textFill>
                  <w14:solidFill>
                    <w14:schemeClr w14:val="tx1"/>
                  </w14:solidFill>
                </w14:textFill>
              </w:rPr>
              <w:t>排放量为</w:t>
            </w:r>
            <w:r>
              <w:rPr>
                <w:rFonts w:hint="eastAsia"/>
                <w:b w:val="0"/>
                <w:bCs w:val="0"/>
                <w:color w:val="000000" w:themeColor="text1"/>
                <w:sz w:val="24"/>
                <w:lang w:val="en-US" w:eastAsia="zh-CN"/>
                <w14:textFill>
                  <w14:solidFill>
                    <w14:schemeClr w14:val="tx1"/>
                  </w14:solidFill>
                </w14:textFill>
              </w:rPr>
              <w:t>0.0002592t/a，苯乙烯</w:t>
            </w:r>
            <w:r>
              <w:rPr>
                <w:rFonts w:hint="eastAsia"/>
                <w:b w:val="0"/>
                <w:bCs w:val="0"/>
                <w:color w:val="000000" w:themeColor="text1"/>
                <w:sz w:val="24"/>
                <w:lang w:eastAsia="zh-CN"/>
                <w14:textFill>
                  <w14:solidFill>
                    <w14:schemeClr w14:val="tx1"/>
                  </w14:solidFill>
                </w14:textFill>
              </w:rPr>
              <w:t>排放量为</w:t>
            </w:r>
            <w:r>
              <w:rPr>
                <w:rFonts w:hint="eastAsia"/>
                <w:b w:val="0"/>
                <w:bCs w:val="0"/>
                <w:color w:val="000000" w:themeColor="text1"/>
                <w:sz w:val="24"/>
                <w:lang w:val="en-US" w:eastAsia="zh-CN"/>
                <w14:textFill>
                  <w14:solidFill>
                    <w14:schemeClr w14:val="tx1"/>
                  </w14:solidFill>
                </w14:textFill>
              </w:rPr>
              <w:t>0.0072t/a，颗粒物排放量为0.0494t/a，二氧化硫</w:t>
            </w:r>
            <w:r>
              <w:rPr>
                <w:rFonts w:hint="eastAsia"/>
                <w:b w:val="0"/>
                <w:bCs w:val="0"/>
                <w:color w:val="000000" w:themeColor="text1"/>
                <w:sz w:val="24"/>
                <w:lang w:eastAsia="zh-CN"/>
                <w14:textFill>
                  <w14:solidFill>
                    <w14:schemeClr w14:val="tx1"/>
                  </w14:solidFill>
                </w14:textFill>
              </w:rPr>
              <w:t>排放量为</w:t>
            </w:r>
            <w:r>
              <w:rPr>
                <w:rFonts w:hint="eastAsia"/>
                <w:b w:val="0"/>
                <w:bCs w:val="0"/>
                <w:color w:val="000000" w:themeColor="text1"/>
                <w:sz w:val="24"/>
                <w:lang w:val="en-US" w:eastAsia="zh-CN"/>
                <w14:textFill>
                  <w14:solidFill>
                    <w14:schemeClr w14:val="tx1"/>
                  </w14:solidFill>
                </w14:textFill>
              </w:rPr>
              <w:t>0.2104t/a，氮氧化物</w:t>
            </w:r>
            <w:r>
              <w:rPr>
                <w:rFonts w:hint="eastAsia"/>
                <w:b w:val="0"/>
                <w:bCs w:val="0"/>
                <w:color w:val="000000" w:themeColor="text1"/>
                <w:sz w:val="24"/>
                <w:lang w:eastAsia="zh-CN"/>
                <w14:textFill>
                  <w14:solidFill>
                    <w14:schemeClr w14:val="tx1"/>
                  </w14:solidFill>
                </w14:textFill>
              </w:rPr>
              <w:t>排放量为</w:t>
            </w:r>
            <w:r>
              <w:rPr>
                <w:rFonts w:hint="eastAsia"/>
                <w:b w:val="0"/>
                <w:bCs w:val="0"/>
                <w:color w:val="000000" w:themeColor="text1"/>
                <w:sz w:val="24"/>
                <w:lang w:val="en-US" w:eastAsia="zh-CN"/>
                <w14:textFill>
                  <w14:solidFill>
                    <w14:schemeClr w14:val="tx1"/>
                  </w14:solidFill>
                </w14:textFill>
              </w:rPr>
              <w:t>0.9733t/a。</w:t>
            </w:r>
          </w:p>
          <w:p w14:paraId="41E40C23">
            <w:pPr>
              <w:pageBreakBefore w:val="0"/>
              <w:kinsoku/>
              <w:overflowPunct/>
              <w:topLinePunct w:val="0"/>
              <w:bidi w:val="0"/>
              <w:adjustRightInd w:val="0"/>
              <w:snapToGrid w:val="0"/>
              <w:spacing w:line="348" w:lineRule="auto"/>
              <w:ind w:left="0" w:leftChars="0" w:right="0" w:firstLine="480" w:firstLineChars="200"/>
              <w:rPr>
                <w:b/>
                <w:bCs/>
                <w:color w:val="000000" w:themeColor="text1"/>
                <w:sz w:val="24"/>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本次总量控制指标设置为非甲烷总烃0.1044t/a，氮氧化物0.9733t/a。</w:t>
            </w:r>
          </w:p>
          <w:p w14:paraId="62F4CFAB">
            <w:pPr>
              <w:pageBreakBefore w:val="0"/>
              <w:kinsoku/>
              <w:overflowPunct/>
              <w:topLinePunct w:val="0"/>
              <w:bidi w:val="0"/>
              <w:adjustRightInd w:val="0"/>
              <w:snapToGrid w:val="0"/>
              <w:spacing w:line="348" w:lineRule="auto"/>
              <w:ind w:left="0" w:leftChars="0" w:right="0"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2、废水</w:t>
            </w:r>
          </w:p>
          <w:p w14:paraId="6F54E1A0">
            <w:pPr>
              <w:keepNext w:val="0"/>
              <w:keepLines/>
              <w:pageBreakBefore w:val="0"/>
              <w:kinsoku/>
              <w:overflowPunct/>
              <w:bidi w:val="0"/>
              <w:adjustRightInd/>
              <w:spacing w:line="360" w:lineRule="auto"/>
              <w:ind w:firstLine="480" w:firstLineChars="200"/>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本项目不新增工作人员，因此不新增生活用水。现有生活污水经化粪池、隔油池处理后</w:t>
            </w:r>
            <w:r>
              <w:rPr>
                <w:rFonts w:hint="eastAsia" w:cs="Times New Roman"/>
                <w:color w:val="000000" w:themeColor="text1"/>
                <w:sz w:val="24"/>
                <w:szCs w:val="24"/>
                <w:lang w:val="en-US" w:eastAsia="zh-CN"/>
                <w14:textFill>
                  <w14:solidFill>
                    <w14:schemeClr w14:val="tx1"/>
                  </w14:solidFill>
                </w14:textFill>
              </w:rPr>
              <w:t>进入新增一体化污水处理设施，处理达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《城市污水再生利用 城市杂用水水质》（GB/T18920-2020）中绿化标准后用于</w:t>
            </w:r>
            <w:r>
              <w:rPr>
                <w:rFonts w:hint="eastAsia" w:cs="Times New Roman"/>
                <w:color w:val="000000" w:themeColor="text1"/>
                <w:sz w:val="24"/>
                <w:szCs w:val="24"/>
                <w:lang w:val="en-US" w:eastAsia="zh-CN"/>
                <w14:textFill>
                  <w14:solidFill>
                    <w14:schemeClr w14:val="tx1"/>
                  </w14:solidFill>
                </w14:textFill>
              </w:rPr>
              <w:t>厂区绿化</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7B056590">
            <w:pPr>
              <w:keepNext w:val="0"/>
              <w:keepLines/>
              <w:pageBreakBefore w:val="0"/>
              <w:kinsoku/>
              <w:overflowPunct/>
              <w:bidi w:val="0"/>
              <w:adjustRightInd/>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本项目软水制备废水及生物质锅炉排污水</w:t>
            </w:r>
            <w:r>
              <w:rPr>
                <w:rFonts w:hint="eastAsia" w:cs="Times New Roman"/>
                <w:color w:val="000000" w:themeColor="text1"/>
                <w:sz w:val="24"/>
                <w:szCs w:val="24"/>
                <w:lang w:val="en-US" w:eastAsia="zh-CN"/>
                <w14:textFill>
                  <w14:solidFill>
                    <w14:schemeClr w14:val="tx1"/>
                  </w14:solidFill>
                </w14:textFill>
              </w:rPr>
              <w:t>经收集处理后回用于厂区洒水降尘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，不外排。发泡工段蒸汽冷凝水用于生物质锅炉损耗补充水，不外排。</w:t>
            </w:r>
            <w:r>
              <w:rPr>
                <w:rFonts w:hint="eastAsia" w:cs="Times New Roman"/>
                <w:color w:val="000000" w:themeColor="text1"/>
                <w:sz w:val="24"/>
                <w:szCs w:val="24"/>
                <w:lang w:val="en-US" w:eastAsia="zh-CN"/>
                <w14:textFill>
                  <w14:solidFill>
                    <w14:schemeClr w14:val="tx1"/>
                  </w14:solidFill>
                </w14:textFill>
              </w:rPr>
              <w:t>流化干燥、烘干环节蒸汽自然蒸发</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压模环节蒸汽加热成型后多余蒸汽排出，自然蒸发</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4AD6BB68">
            <w:pPr>
              <w:keepNext w:val="0"/>
              <w:keepLines/>
              <w:pageBreakBefore w:val="0"/>
              <w:kinsoku/>
              <w:overflowPunct/>
              <w:bidi w:val="0"/>
              <w:adjustRightInd/>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因此，本项目不设总量控制指标。</w:t>
            </w:r>
          </w:p>
          <w:p w14:paraId="42CF6547">
            <w:pPr>
              <w:pageBreakBefore w:val="0"/>
              <w:kinsoku/>
              <w:overflowPunct/>
              <w:topLinePunct w:val="0"/>
              <w:bidi w:val="0"/>
              <w:adjustRightInd w:val="0"/>
              <w:snapToGrid w:val="0"/>
              <w:spacing w:line="348" w:lineRule="auto"/>
              <w:ind w:left="0" w:leftChars="0" w:right="0"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3、固体废物</w:t>
            </w:r>
          </w:p>
          <w:p w14:paraId="3324621F">
            <w:pPr>
              <w:pStyle w:val="51"/>
              <w:pageBreakBefore w:val="0"/>
              <w:kinsoku/>
              <w:overflowPunct/>
              <w:topLinePunct w:val="0"/>
              <w:bidi w:val="0"/>
              <w:ind w:left="0" w:leftChars="0" w:right="0" w:firstLine="480"/>
              <w:rPr>
                <w:color w:val="000000" w:themeColor="text1"/>
                <w14:textFill>
                  <w14:solidFill>
                    <w14:schemeClr w14:val="tx1"/>
                  </w14:solidFill>
                </w14:textFill>
              </w:rPr>
            </w:pPr>
            <w:r>
              <w:rPr>
                <w:color w:val="000000" w:themeColor="text1"/>
                <w14:textFill>
                  <w14:solidFill>
                    <w14:schemeClr w14:val="tx1"/>
                  </w14:solidFill>
                </w14:textFill>
              </w:rPr>
              <w:t>本项目固体废物</w:t>
            </w:r>
            <w:r>
              <w:rPr>
                <w:rFonts w:hint="eastAsia"/>
                <w:color w:val="000000" w:themeColor="text1"/>
                <w:lang w:eastAsia="zh-CN"/>
                <w14:textFill>
                  <w14:solidFill>
                    <w14:schemeClr w14:val="tx1"/>
                  </w14:solidFill>
                </w14:textFill>
              </w:rPr>
              <w:t>均得到了妥善处置，</w:t>
            </w:r>
            <w:r>
              <w:rPr>
                <w:color w:val="000000" w:themeColor="text1"/>
                <w14:textFill>
                  <w14:solidFill>
                    <w14:schemeClr w14:val="tx1"/>
                  </w14:solidFill>
                </w14:textFill>
              </w:rPr>
              <w:t>处置率100%。</w:t>
            </w:r>
          </w:p>
          <w:p w14:paraId="452B0BFA">
            <w:pPr>
              <w:pStyle w:val="14"/>
              <w:pageBreakBefore w:val="0"/>
              <w:kinsoku/>
              <w:overflowPunct/>
              <w:topLinePunct w:val="0"/>
              <w:bidi w:val="0"/>
              <w:spacing w:after="0"/>
              <w:ind w:left="0" w:leftChars="0" w:right="0"/>
              <w:rPr>
                <w:color w:val="000000" w:themeColor="text1"/>
                <w14:textFill>
                  <w14:solidFill>
                    <w14:schemeClr w14:val="tx1"/>
                  </w14:solidFill>
                </w14:textFill>
              </w:rPr>
            </w:pPr>
          </w:p>
          <w:p w14:paraId="5D727B75">
            <w:pPr>
              <w:pStyle w:val="46"/>
              <w:pageBreakBefore w:val="0"/>
              <w:kinsoku/>
              <w:overflowPunct/>
              <w:topLinePunct w:val="0"/>
              <w:bidi w:val="0"/>
              <w:spacing w:before="0" w:after="0"/>
              <w:ind w:left="0" w:leftChars="0" w:right="0"/>
              <w:rPr>
                <w:color w:val="000000" w:themeColor="text1"/>
                <w14:textFill>
                  <w14:solidFill>
                    <w14:schemeClr w14:val="tx1"/>
                  </w14:solidFill>
                </w14:textFill>
              </w:rPr>
            </w:pPr>
          </w:p>
          <w:p w14:paraId="210F974E">
            <w:pPr>
              <w:pageBreakBefore w:val="0"/>
              <w:kinsoku/>
              <w:overflowPunct/>
              <w:topLinePunct w:val="0"/>
              <w:bidi w:val="0"/>
              <w:ind w:left="0" w:leftChars="0" w:right="0"/>
              <w:rPr>
                <w:color w:val="000000" w:themeColor="text1"/>
                <w14:textFill>
                  <w14:solidFill>
                    <w14:schemeClr w14:val="tx1"/>
                  </w14:solidFill>
                </w14:textFill>
              </w:rPr>
            </w:pPr>
          </w:p>
          <w:p w14:paraId="294E2E81">
            <w:pPr>
              <w:pageBreakBefore w:val="0"/>
              <w:kinsoku/>
              <w:overflowPunct/>
              <w:topLinePunct w:val="0"/>
              <w:bidi w:val="0"/>
              <w:adjustRightInd w:val="0"/>
              <w:snapToGrid w:val="0"/>
              <w:spacing w:line="348" w:lineRule="auto"/>
              <w:ind w:left="0" w:leftChars="0" w:right="0"/>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br w:type="textWrapping"/>
            </w:r>
          </w:p>
        </w:tc>
      </w:tr>
    </w:tbl>
    <w:p w14:paraId="5821286A">
      <w:pPr>
        <w:pStyle w:val="46"/>
        <w:pageBreakBefore w:val="0"/>
        <w:kinsoku/>
        <w:overflowPunct/>
        <w:topLinePunct w:val="0"/>
        <w:bidi w:val="0"/>
        <w:spacing w:before="0" w:after="0"/>
        <w:ind w:left="0" w:leftChars="0" w:right="0"/>
        <w:rPr>
          <w:rFonts w:hint="eastAsia"/>
          <w:color w:val="000000" w:themeColor="text1"/>
          <w:lang w:eastAsia="zh-CN"/>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0DF2DF0B">
      <w:pPr>
        <w:pStyle w:val="29"/>
        <w:pageBreakBefore w:val="0"/>
        <w:kinsoku/>
        <w:overflowPunct/>
        <w:topLinePunct w:val="0"/>
        <w:bidi w:val="0"/>
        <w:adjustRightInd w:val="0"/>
        <w:snapToGrid w:val="0"/>
        <w:spacing w:before="0" w:beforeAutospacing="0" w:after="0" w:afterAutospacing="0"/>
        <w:ind w:left="0" w:leftChars="0" w:right="0"/>
        <w:jc w:val="center"/>
        <w:outlineLvl w:val="0"/>
        <w:rPr>
          <w:rFonts w:ascii="Times New Roman" w:hAnsi="Times New Roman"/>
          <w:snapToGrid w:val="0"/>
          <w:color w:val="000000" w:themeColor="text1"/>
          <w:sz w:val="30"/>
          <w:szCs w:val="30"/>
          <w14:textFill>
            <w14:solidFill>
              <w14:schemeClr w14:val="tx1"/>
            </w14:solidFill>
          </w14:textFill>
        </w:rPr>
      </w:pPr>
      <w:bookmarkStart w:id="11" w:name="_Toc6112"/>
      <w:bookmarkStart w:id="12" w:name="_Toc32349"/>
      <w:r>
        <w:rPr>
          <w:rFonts w:ascii="Times New Roman" w:hAnsi="Times New Roman"/>
          <w:b/>
          <w:bCs/>
          <w:snapToGrid w:val="0"/>
          <w:color w:val="000000" w:themeColor="text1"/>
          <w:sz w:val="30"/>
          <w:szCs w:val="30"/>
          <w14:textFill>
            <w14:solidFill>
              <w14:schemeClr w14:val="tx1"/>
            </w14:solidFill>
          </w14:textFill>
        </w:rPr>
        <w:t>四、主要环境影响和保护措施</w:t>
      </w:r>
      <w:bookmarkEnd w:id="11"/>
      <w:bookmarkEnd w:id="12"/>
    </w:p>
    <w:tbl>
      <w:tblPr>
        <w:tblStyle w:val="33"/>
        <w:tblW w:w="891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6"/>
        <w:gridCol w:w="8430"/>
      </w:tblGrid>
      <w:tr w14:paraId="44D936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dxa"/>
            <w:tcMar>
              <w:left w:w="28" w:type="dxa"/>
              <w:right w:w="28" w:type="dxa"/>
            </w:tcMar>
            <w:vAlign w:val="center"/>
          </w:tcPr>
          <w:p w14:paraId="6F72176D">
            <w:pPr>
              <w:pStyle w:val="29"/>
              <w:pageBreakBefore w:val="0"/>
              <w:kinsoku/>
              <w:overflowPunct/>
              <w:topLinePunct w:val="0"/>
              <w:bidi w:val="0"/>
              <w:adjustRightInd w:val="0"/>
              <w:snapToGrid w:val="0"/>
              <w:spacing w:before="0" w:beforeAutospacing="0" w:after="0" w:afterAutospacing="0"/>
              <w:ind w:left="0" w:leftChars="0" w:right="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施工</w:t>
            </w:r>
          </w:p>
          <w:p w14:paraId="68359D08">
            <w:pPr>
              <w:pStyle w:val="29"/>
              <w:pageBreakBefore w:val="0"/>
              <w:kinsoku/>
              <w:overflowPunct/>
              <w:topLinePunct w:val="0"/>
              <w:bidi w:val="0"/>
              <w:adjustRightInd w:val="0"/>
              <w:snapToGrid w:val="0"/>
              <w:spacing w:before="0" w:beforeAutospacing="0" w:after="0" w:afterAutospacing="0"/>
              <w:ind w:left="0" w:leftChars="0" w:right="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期环</w:t>
            </w:r>
          </w:p>
          <w:p w14:paraId="72640991">
            <w:pPr>
              <w:pStyle w:val="29"/>
              <w:pageBreakBefore w:val="0"/>
              <w:kinsoku/>
              <w:overflowPunct/>
              <w:topLinePunct w:val="0"/>
              <w:bidi w:val="0"/>
              <w:adjustRightInd w:val="0"/>
              <w:snapToGrid w:val="0"/>
              <w:spacing w:before="0" w:beforeAutospacing="0" w:after="0" w:afterAutospacing="0"/>
              <w:ind w:left="0" w:leftChars="0" w:right="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境保</w:t>
            </w:r>
          </w:p>
          <w:p w14:paraId="17A9A124">
            <w:pPr>
              <w:pStyle w:val="29"/>
              <w:pageBreakBefore w:val="0"/>
              <w:kinsoku/>
              <w:overflowPunct/>
              <w:topLinePunct w:val="0"/>
              <w:bidi w:val="0"/>
              <w:adjustRightInd w:val="0"/>
              <w:snapToGrid w:val="0"/>
              <w:spacing w:before="0" w:beforeAutospacing="0" w:after="0" w:afterAutospacing="0"/>
              <w:ind w:left="0" w:leftChars="0" w:right="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护措</w:t>
            </w:r>
          </w:p>
          <w:p w14:paraId="76D7ACC4">
            <w:pPr>
              <w:pStyle w:val="29"/>
              <w:pageBreakBefore w:val="0"/>
              <w:kinsoku/>
              <w:overflowPunct/>
              <w:topLinePunct w:val="0"/>
              <w:bidi w:val="0"/>
              <w:adjustRightInd w:val="0"/>
              <w:snapToGrid w:val="0"/>
              <w:spacing w:before="0" w:beforeAutospacing="0" w:after="0" w:afterAutospacing="0"/>
              <w:ind w:left="0" w:leftChars="0" w:right="0"/>
              <w:jc w:val="center"/>
              <w:rPr>
                <w:rFonts w:ascii="Times New Roman" w:hAnsi="Times New Roman"/>
                <w:bCs/>
                <w:color w:val="000000" w:themeColor="text1"/>
                <w:kern w:val="2"/>
                <w:sz w:val="21"/>
                <w:szCs w:val="21"/>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施</w:t>
            </w:r>
          </w:p>
        </w:tc>
        <w:tc>
          <w:tcPr>
            <w:tcW w:w="8430" w:type="dxa"/>
            <w:shd w:val="clear" w:color="auto" w:fill="auto"/>
            <w:vAlign w:val="center"/>
          </w:tcPr>
          <w:p w14:paraId="6A5B2952">
            <w:pPr>
              <w:pageBreakBefore w:val="0"/>
              <w:kinsoku/>
              <w:overflowPunct/>
              <w:topLinePunct w:val="0"/>
              <w:bidi w:val="0"/>
              <w:spacing w:line="360" w:lineRule="auto"/>
              <w:ind w:left="0" w:leftChars="0" w:right="0" w:firstLine="480" w:firstLineChars="200"/>
              <w:jc w:val="left"/>
              <w:rPr>
                <w:rFonts w:hint="eastAsia" w:eastAsia="宋体"/>
                <w:b w:val="0"/>
                <w:bCs/>
                <w:color w:val="000000" w:themeColor="text1"/>
                <w:sz w:val="24"/>
                <w:lang w:val="en-US" w:eastAsia="zh-CN"/>
                <w14:textFill>
                  <w14:solidFill>
                    <w14:schemeClr w14:val="tx1"/>
                  </w14:solidFill>
                </w14:textFill>
              </w:rPr>
            </w:pPr>
            <w:r>
              <w:rPr>
                <w:rFonts w:hint="eastAsia"/>
                <w:b w:val="0"/>
                <w:bCs/>
                <w:color w:val="000000" w:themeColor="text1"/>
                <w:sz w:val="24"/>
                <w:lang w:val="en-US" w:eastAsia="zh-CN"/>
                <w14:textFill>
                  <w14:solidFill>
                    <w14:schemeClr w14:val="tx1"/>
                  </w14:solidFill>
                </w14:textFill>
              </w:rPr>
              <w:t>本项目利用厂区内现有锅炉房进行建设，</w:t>
            </w:r>
            <w:r>
              <w:rPr>
                <w:rFonts w:hint="eastAsia" w:ascii="Times New Roman" w:hAnsi="Times New Roman" w:eastAsia="宋体" w:cs="Times New Roman"/>
                <w:color w:val="000000" w:themeColor="text1"/>
                <w:kern w:val="0"/>
                <w:sz w:val="24"/>
                <w:lang w:eastAsia="zh-CN"/>
                <w14:textFill>
                  <w14:solidFill>
                    <w14:schemeClr w14:val="tx1"/>
                  </w14:solidFill>
                </w14:textFill>
              </w:rPr>
              <w:t>不涉及地基开挖及土建工程，总体工程量不大，施工</w:t>
            </w:r>
            <w:r>
              <w:rPr>
                <w:rFonts w:hint="default" w:ascii="Times New Roman" w:hAnsi="Times New Roman" w:eastAsia="宋体" w:cs="Times New Roman"/>
                <w:color w:val="000000" w:themeColor="text1"/>
                <w:kern w:val="0"/>
                <w:sz w:val="24"/>
                <w14:textFill>
                  <w14:solidFill>
                    <w14:schemeClr w14:val="tx1"/>
                  </w14:solidFill>
                </w14:textFill>
              </w:rPr>
              <w:t>周期</w:t>
            </w:r>
            <w:r>
              <w:rPr>
                <w:rFonts w:hint="eastAsia" w:ascii="Times New Roman" w:hAnsi="Times New Roman" w:eastAsia="宋体" w:cs="Times New Roman"/>
                <w:color w:val="000000" w:themeColor="text1"/>
                <w:kern w:val="0"/>
                <w:sz w:val="24"/>
                <w:lang w:eastAsia="zh-CN"/>
                <w14:textFill>
                  <w14:solidFill>
                    <w14:schemeClr w14:val="tx1"/>
                  </w14:solidFill>
                </w14:textFill>
              </w:rPr>
              <w:t>较短，施工期污染防治措施如下：</w:t>
            </w:r>
          </w:p>
          <w:p w14:paraId="2383DE7E">
            <w:pPr>
              <w:pageBreakBefore w:val="0"/>
              <w:kinsoku/>
              <w:overflowPunct/>
              <w:topLinePunct w:val="0"/>
              <w:bidi w:val="0"/>
              <w:spacing w:line="360" w:lineRule="auto"/>
              <w:ind w:left="0" w:leftChars="0" w:right="0" w:firstLine="482"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1、</w:t>
            </w:r>
            <w:r>
              <w:rPr>
                <w:b/>
                <w:color w:val="000000" w:themeColor="text1"/>
                <w:kern w:val="24"/>
                <w:sz w:val="24"/>
                <w14:textFill>
                  <w14:solidFill>
                    <w14:schemeClr w14:val="tx1"/>
                  </w14:solidFill>
                </w14:textFill>
              </w:rPr>
              <w:t>施工期大气环境保护措施</w:t>
            </w:r>
          </w:p>
          <w:p w14:paraId="79EC4F4D">
            <w:pPr>
              <w:pStyle w:val="31"/>
              <w:pageBreakBefore w:val="0"/>
              <w:kinsoku/>
              <w:overflowPunct/>
              <w:topLinePunct w:val="0"/>
              <w:bidi w:val="0"/>
              <w:snapToGrid/>
              <w:spacing w:after="0" w:line="360" w:lineRule="auto"/>
              <w:ind w:left="0" w:leftChars="0" w:right="0" w:firstLine="480" w:firstLineChars="200"/>
              <w:rPr>
                <w:color w:val="000000" w:themeColor="text1"/>
                <w:kern w:val="2"/>
                <w:sz w:val="24"/>
                <w:szCs w:val="24"/>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施工期间废气主要来源为扬尘和施工机械废气。</w:t>
            </w:r>
            <w:r>
              <w:rPr>
                <w:color w:val="000000" w:themeColor="text1"/>
                <w:kern w:val="2"/>
                <w:sz w:val="24"/>
                <w:szCs w:val="24"/>
                <w14:textFill>
                  <w14:solidFill>
                    <w14:schemeClr w14:val="tx1"/>
                  </w14:solidFill>
                </w14:textFill>
              </w:rPr>
              <w:t>为进一步减小施工扬尘对周围大气环境的影响，环评提出如下对策措施：</w:t>
            </w:r>
          </w:p>
          <w:p w14:paraId="2F06A3E5">
            <w:pPr>
              <w:pStyle w:val="31"/>
              <w:pageBreakBefore w:val="0"/>
              <w:kinsoku/>
              <w:overflowPunct/>
              <w:topLinePunct w:val="0"/>
              <w:bidi w:val="0"/>
              <w:snapToGrid/>
              <w:spacing w:after="0" w:line="360" w:lineRule="auto"/>
              <w:ind w:left="0" w:leftChars="0" w:right="0" w:firstLine="480" w:firstLineChars="200"/>
              <w:rPr>
                <w:rFonts w:hint="eastAsia" w:eastAsia="宋体"/>
                <w:color w:val="000000" w:themeColor="text1"/>
                <w:kern w:val="2"/>
                <w:sz w:val="24"/>
                <w:szCs w:val="24"/>
                <w:lang w:eastAsia="zh-CN"/>
                <w14:textFill>
                  <w14:solidFill>
                    <w14:schemeClr w14:val="tx1"/>
                  </w14:solidFill>
                </w14:textFill>
              </w:rPr>
            </w:pPr>
            <w:r>
              <w:rPr>
                <w:rFonts w:hint="eastAsia"/>
                <w:color w:val="000000" w:themeColor="text1"/>
                <w:kern w:val="2"/>
                <w:sz w:val="24"/>
                <w:szCs w:val="24"/>
                <w14:textFill>
                  <w14:solidFill>
                    <w14:schemeClr w14:val="tx1"/>
                  </w14:solidFill>
                </w14:textFill>
              </w:rPr>
              <w:t>①</w:t>
            </w:r>
            <w:r>
              <w:rPr>
                <w:rFonts w:hint="eastAsia"/>
                <w:color w:val="000000" w:themeColor="text1"/>
                <w:sz w:val="24"/>
                <w:lang w:eastAsia="zh-CN"/>
                <w14:textFill>
                  <w14:solidFill>
                    <w14:schemeClr w14:val="tx1"/>
                  </w14:solidFill>
                </w14:textFill>
              </w:rPr>
              <w:t>及时</w:t>
            </w:r>
            <w:r>
              <w:rPr>
                <w:rFonts w:hint="eastAsia"/>
                <w:color w:val="000000" w:themeColor="text1"/>
                <w:sz w:val="24"/>
                <w14:textFill>
                  <w14:solidFill>
                    <w14:schemeClr w14:val="tx1"/>
                  </w14:solidFill>
                </w14:textFill>
              </w:rPr>
              <w:t>对易起尘物料采取防尘网遮盖、定期洒水降尘的抑尘措施</w:t>
            </w:r>
            <w:r>
              <w:rPr>
                <w:rFonts w:hint="eastAsia"/>
                <w:color w:val="000000" w:themeColor="text1"/>
                <w:kern w:val="2"/>
                <w:sz w:val="24"/>
                <w:szCs w:val="24"/>
                <w:lang w:eastAsia="zh-CN"/>
                <w14:textFill>
                  <w14:solidFill>
                    <w14:schemeClr w14:val="tx1"/>
                  </w14:solidFill>
                </w14:textFill>
              </w:rPr>
              <w:t>。</w:t>
            </w:r>
          </w:p>
          <w:p w14:paraId="51FBB6BE">
            <w:pPr>
              <w:pStyle w:val="31"/>
              <w:pageBreakBefore w:val="0"/>
              <w:kinsoku/>
              <w:overflowPunct/>
              <w:topLinePunct w:val="0"/>
              <w:bidi w:val="0"/>
              <w:snapToGrid/>
              <w:spacing w:after="0" w:line="360" w:lineRule="auto"/>
              <w:ind w:left="0" w:leftChars="0" w:right="0" w:firstLine="480" w:firstLineChars="200"/>
              <w:rPr>
                <w:rFonts w:hint="eastAsia" w:eastAsia="宋体"/>
                <w:color w:val="000000" w:themeColor="text1"/>
                <w:kern w:val="2"/>
                <w:sz w:val="24"/>
                <w:szCs w:val="24"/>
                <w:lang w:eastAsia="zh-CN"/>
                <w14:textFill>
                  <w14:solidFill>
                    <w14:schemeClr w14:val="tx1"/>
                  </w14:solidFill>
                </w14:textFill>
              </w:rPr>
            </w:pPr>
            <w:r>
              <w:rPr>
                <w:rFonts w:hint="eastAsia"/>
                <w:color w:val="000000" w:themeColor="text1"/>
                <w:kern w:val="2"/>
                <w:sz w:val="24"/>
                <w:szCs w:val="24"/>
                <w14:textFill>
                  <w14:solidFill>
                    <w14:schemeClr w14:val="tx1"/>
                  </w14:solidFill>
                </w14:textFill>
              </w:rPr>
              <w:t>②</w:t>
            </w:r>
            <w:r>
              <w:rPr>
                <w:rFonts w:hint="eastAsia"/>
                <w:color w:val="000000" w:themeColor="text1"/>
                <w:sz w:val="24"/>
                <w:lang w:eastAsia="zh-CN"/>
                <w14:textFill>
                  <w14:solidFill>
                    <w14:schemeClr w14:val="tx1"/>
                  </w14:solidFill>
                </w14:textFill>
              </w:rPr>
              <w:t>原有锅炉拆除过程后产生建筑垃圾</w:t>
            </w:r>
            <w:r>
              <w:rPr>
                <w:rFonts w:hint="default" w:ascii="Times New Roman" w:hAnsi="Times New Roman" w:cs="Times New Roman"/>
                <w:color w:val="000000" w:themeColor="text1"/>
                <w14:textFill>
                  <w14:solidFill>
                    <w14:schemeClr w14:val="tx1"/>
                  </w14:solidFill>
                </w14:textFill>
              </w:rPr>
              <w:t>应统一堆放并用篷布遮盖，</w:t>
            </w:r>
            <w:r>
              <w:rPr>
                <w:rFonts w:hint="eastAsia" w:cs="Times New Roman"/>
                <w:color w:val="000000" w:themeColor="text1"/>
                <w:lang w:eastAsia="zh-CN"/>
                <w14:textFill>
                  <w14:solidFill>
                    <w14:schemeClr w14:val="tx1"/>
                  </w14:solidFill>
                </w14:textFill>
              </w:rPr>
              <w:t>并</w:t>
            </w:r>
            <w:r>
              <w:rPr>
                <w:rFonts w:hint="eastAsia"/>
                <w:color w:val="000000" w:themeColor="text1"/>
                <w:sz w:val="24"/>
                <w14:textFill>
                  <w14:solidFill>
                    <w14:schemeClr w14:val="tx1"/>
                  </w14:solidFill>
                </w14:textFill>
              </w:rPr>
              <w:t>及时处理、清运、以减少占地，防止粉尘污染，改善施工场地的环境</w:t>
            </w:r>
            <w:r>
              <w:rPr>
                <w:rFonts w:hint="eastAsia"/>
                <w:color w:val="000000" w:themeColor="text1"/>
                <w:kern w:val="2"/>
                <w:sz w:val="24"/>
                <w:szCs w:val="24"/>
                <w:lang w:eastAsia="zh-CN"/>
                <w14:textFill>
                  <w14:solidFill>
                    <w14:schemeClr w14:val="tx1"/>
                  </w14:solidFill>
                </w14:textFill>
              </w:rPr>
              <w:t>。</w:t>
            </w:r>
            <w:r>
              <w:rPr>
                <w:rFonts w:ascii="Arial" w:hAnsi="Arial" w:eastAsia="Arial" w:cs="Arial"/>
                <w:i w:val="0"/>
                <w:iCs w:val="0"/>
                <w:caps w:val="0"/>
                <w:color w:val="000000" w:themeColor="text1"/>
                <w:spacing w:val="0"/>
                <w:sz w:val="21"/>
                <w:szCs w:val="21"/>
                <w:shd w:val="clear" w:fill="FFFFFF"/>
                <w14:textFill>
                  <w14:solidFill>
                    <w14:schemeClr w14:val="tx1"/>
                  </w14:solidFill>
                </w14:textFill>
              </w:rPr>
              <w:t>‌</w:t>
            </w:r>
          </w:p>
          <w:p w14:paraId="781A344B">
            <w:pPr>
              <w:pStyle w:val="31"/>
              <w:pageBreakBefore w:val="0"/>
              <w:kinsoku/>
              <w:overflowPunct/>
              <w:topLinePunct w:val="0"/>
              <w:bidi w:val="0"/>
              <w:snapToGrid/>
              <w:spacing w:after="0" w:line="360" w:lineRule="auto"/>
              <w:ind w:left="0" w:leftChars="0" w:right="0" w:firstLine="480" w:firstLineChars="2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③设备安装过程中</w:t>
            </w:r>
            <w:r>
              <w:rPr>
                <w:rFonts w:hint="eastAsia"/>
                <w:color w:val="000000" w:themeColor="text1"/>
                <w:sz w:val="24"/>
                <w:lang w:val="en-US" w:eastAsia="zh-CN"/>
                <w14:textFill>
                  <w14:solidFill>
                    <w14:schemeClr w14:val="tx1"/>
                  </w14:solidFill>
                </w14:textFill>
              </w:rPr>
              <w:t>焊接烟气采取加强通风扩散和施工人员防护的措施。</w:t>
            </w:r>
          </w:p>
          <w:p w14:paraId="10FF0C6B">
            <w:pPr>
              <w:pStyle w:val="31"/>
              <w:pageBreakBefore w:val="0"/>
              <w:kinsoku/>
              <w:overflowPunct/>
              <w:topLinePunct w:val="0"/>
              <w:bidi w:val="0"/>
              <w:snapToGrid/>
              <w:spacing w:after="0" w:line="360" w:lineRule="auto"/>
              <w:ind w:left="0" w:leftChars="0" w:right="0"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w:t>
            </w:r>
            <w:r>
              <w:rPr>
                <w:b/>
                <w:color w:val="000000" w:themeColor="text1"/>
                <w:kern w:val="24"/>
                <w:sz w:val="24"/>
                <w14:textFill>
                  <w14:solidFill>
                    <w14:schemeClr w14:val="tx1"/>
                  </w14:solidFill>
                </w14:textFill>
              </w:rPr>
              <w:t>施工期废水环境保护措施</w:t>
            </w:r>
          </w:p>
          <w:p w14:paraId="4707E5F0">
            <w:pPr>
              <w:pStyle w:val="18"/>
              <w:adjustRightInd/>
              <w:spacing w:line="360" w:lineRule="auto"/>
              <w:ind w:firstLine="480" w:firstLineChars="200"/>
              <w:rPr>
                <w:rFonts w:hint="eastAsia" w:ascii="Times New Roman" w:eastAsia="宋体" w:cs="Times New Roman"/>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项目施工期产生的污水主要为</w:t>
            </w:r>
            <w:r>
              <w:rPr>
                <w:rFonts w:hint="eastAsia"/>
                <w:color w:val="000000" w:themeColor="text1"/>
                <w:lang w:eastAsia="zh-CN"/>
                <w14:textFill>
                  <w14:solidFill>
                    <w14:schemeClr w14:val="tx1"/>
                  </w14:solidFill>
                </w14:textFill>
              </w:rPr>
              <w:t>施工人员</w:t>
            </w:r>
            <w:r>
              <w:rPr>
                <w:rFonts w:hint="eastAsia"/>
                <w:color w:val="000000" w:themeColor="text1"/>
                <w14:textFill>
                  <w14:solidFill>
                    <w14:schemeClr w14:val="tx1"/>
                  </w14:solidFill>
                </w14:textFill>
              </w:rPr>
              <w:t>生活污水</w:t>
            </w:r>
            <w:r>
              <w:rPr>
                <w:rFonts w:hint="eastAsia"/>
                <w:color w:val="000000" w:themeColor="text1"/>
                <w:lang w:eastAsia="zh-CN"/>
                <w14:textFill>
                  <w14:solidFill>
                    <w14:schemeClr w14:val="tx1"/>
                  </w14:solidFill>
                </w14:textFill>
              </w:rPr>
              <w:t>。</w:t>
            </w:r>
          </w:p>
          <w:p w14:paraId="0D264CF4">
            <w:pPr>
              <w:pStyle w:val="18"/>
              <w:adjustRightInd/>
              <w:spacing w:line="360" w:lineRule="auto"/>
              <w:ind w:firstLine="480" w:firstLineChars="200"/>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施工人员均来自城区及周边村庄，不在项目区</w:t>
            </w:r>
            <w:r>
              <w:rPr>
                <w:rFonts w:hint="eastAsia"/>
                <w:color w:val="000000" w:themeColor="text1"/>
                <w:lang w:eastAsia="zh-CN"/>
                <w14:textFill>
                  <w14:solidFill>
                    <w14:schemeClr w14:val="tx1"/>
                  </w14:solidFill>
                </w14:textFill>
              </w:rPr>
              <w:t>住宿</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施工期生活污水经现有化粪池、隔油池处理后用于厂区内菜地浇洒，不外排。</w:t>
            </w:r>
          </w:p>
          <w:p w14:paraId="1C12F21D">
            <w:pPr>
              <w:pStyle w:val="18"/>
              <w:adjustRightInd/>
              <w:spacing w:line="360" w:lineRule="auto"/>
              <w:ind w:firstLine="482" w:firstLineChars="20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3、</w:t>
            </w:r>
            <w:r>
              <w:rPr>
                <w:rFonts w:ascii="Times New Roman" w:hAnsi="Times New Roman" w:cs="Times New Roman"/>
                <w:b/>
                <w:bCs/>
                <w:color w:val="000000" w:themeColor="text1"/>
                <w:kern w:val="24"/>
                <w14:textFill>
                  <w14:solidFill>
                    <w14:schemeClr w14:val="tx1"/>
                  </w14:solidFill>
                </w14:textFill>
              </w:rPr>
              <w:t>施工期噪声环境保护措施</w:t>
            </w:r>
          </w:p>
          <w:p w14:paraId="1F76A8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cs="Times New Roman" w:eastAsiaTheme="minorEastAsia"/>
                <w:color w:val="000000" w:themeColor="text1"/>
                <w:sz w:val="24"/>
                <w:lang w:val="en-US" w:eastAsia="zh-CN" w:bidi="ar"/>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bidi="ar"/>
                <w14:textFill>
                  <w14:solidFill>
                    <w14:schemeClr w14:val="tx1"/>
                  </w14:solidFill>
                </w14:textFill>
              </w:rPr>
              <w:t>本项目施工期间产生的</w:t>
            </w:r>
            <w:r>
              <w:rPr>
                <w:rFonts w:hint="eastAsia" w:cs="Times New Roman" w:eastAsiaTheme="minorEastAsia"/>
                <w:color w:val="000000" w:themeColor="text1"/>
                <w:sz w:val="24"/>
                <w:lang w:val="en-US" w:eastAsia="zh-CN" w:bidi="ar"/>
                <w14:textFill>
                  <w14:solidFill>
                    <w14:schemeClr w14:val="tx1"/>
                  </w14:solidFill>
                </w14:textFill>
              </w:rPr>
              <w:t>噪声</w:t>
            </w:r>
            <w:r>
              <w:rPr>
                <w:rFonts w:hint="default" w:ascii="Times New Roman" w:hAnsi="Times New Roman" w:cs="Times New Roman" w:eastAsiaTheme="minorEastAsia"/>
                <w:color w:val="000000" w:themeColor="text1"/>
                <w:sz w:val="24"/>
                <w:lang w:val="en-US" w:eastAsia="zh-CN" w:bidi="ar"/>
                <w14:textFill>
                  <w14:solidFill>
                    <w14:schemeClr w14:val="tx1"/>
                  </w14:solidFill>
                </w14:textFill>
              </w:rPr>
              <w:t>主要为机械设备噪声等，拟采取如下噪声污染防治措施：</w:t>
            </w:r>
          </w:p>
          <w:p w14:paraId="5F2BC632">
            <w:pPr>
              <w:pStyle w:val="18"/>
              <w:pageBreakBefore w:val="0"/>
              <w:kinsoku/>
              <w:overflowPunct/>
              <w:topLinePunct w:val="0"/>
              <w:bidi w:val="0"/>
              <w:adjustRightInd/>
              <w:spacing w:line="360" w:lineRule="auto"/>
              <w:ind w:left="0" w:leftChars="0" w:right="0" w:firstLine="480" w:firstLineChars="200"/>
              <w:rPr>
                <w:rFonts w:ascii="Times New Roman" w:eastAsia="宋体" w:cs="Times New Roman"/>
                <w:color w:val="000000" w:themeColor="text1"/>
                <w:kern w:val="24"/>
                <w14:textFill>
                  <w14:solidFill>
                    <w14:schemeClr w14:val="tx1"/>
                  </w14:solidFill>
                </w14:textFill>
              </w:rPr>
            </w:pPr>
            <w:r>
              <w:rPr>
                <w:rFonts w:ascii="Times New Roman" w:eastAsia="宋体" w:cs="Times New Roman"/>
                <w:color w:val="000000" w:themeColor="text1"/>
                <w:kern w:val="24"/>
                <w14:textFill>
                  <w14:solidFill>
                    <w14:schemeClr w14:val="tx1"/>
                  </w14:solidFill>
                </w14:textFill>
              </w:rPr>
              <w:t>①科学合理地安排施工步骤，优化施工方式，尽量减短噪声持续排放的时间；</w:t>
            </w:r>
          </w:p>
          <w:p w14:paraId="528EDB68">
            <w:pPr>
              <w:pStyle w:val="18"/>
              <w:pageBreakBefore w:val="0"/>
              <w:kinsoku/>
              <w:overflowPunct/>
              <w:topLinePunct w:val="0"/>
              <w:bidi w:val="0"/>
              <w:adjustRightInd/>
              <w:spacing w:line="360" w:lineRule="auto"/>
              <w:ind w:left="0" w:leftChars="0" w:right="0" w:firstLine="480" w:firstLineChars="200"/>
              <w:rPr>
                <w:rFonts w:hint="eastAsia" w:ascii="Times New Roman" w:eastAsia="宋体" w:cs="Times New Roman"/>
                <w:color w:val="000000" w:themeColor="text1"/>
                <w:kern w:val="24"/>
                <w:lang w:eastAsia="zh-CN"/>
                <w14:textFill>
                  <w14:solidFill>
                    <w14:schemeClr w14:val="tx1"/>
                  </w14:solidFill>
                </w14:textFill>
              </w:rPr>
            </w:pPr>
            <w:r>
              <w:rPr>
                <w:rFonts w:ascii="Times New Roman" w:eastAsia="宋体" w:cs="Times New Roman"/>
                <w:color w:val="000000" w:themeColor="text1"/>
                <w:kern w:val="24"/>
                <w14:textFill>
                  <w14:solidFill>
                    <w14:schemeClr w14:val="tx1"/>
                  </w14:solidFill>
                </w14:textFill>
              </w:rPr>
              <w:t>②采用低噪声施工工艺；并合理布置施工作业面、合理安排施工时间；在施工机械设备与基础或连接部位之间采用</w:t>
            </w:r>
            <w:r>
              <w:rPr>
                <w:rFonts w:hint="eastAsia" w:ascii="Times New Roman" w:eastAsia="宋体" w:cs="Times New Roman"/>
                <w:color w:val="000000" w:themeColor="text1"/>
                <w:kern w:val="24"/>
                <w14:textFill>
                  <w14:solidFill>
                    <w14:schemeClr w14:val="tx1"/>
                  </w14:solidFill>
                </w14:textFill>
              </w:rPr>
              <w:t>减震措施</w:t>
            </w:r>
            <w:r>
              <w:rPr>
                <w:rFonts w:ascii="Times New Roman" w:eastAsia="宋体" w:cs="Times New Roman"/>
                <w:color w:val="000000" w:themeColor="text1"/>
                <w:kern w:val="24"/>
                <w14:textFill>
                  <w14:solidFill>
                    <w14:schemeClr w14:val="tx1"/>
                  </w14:solidFill>
                </w14:textFill>
              </w:rPr>
              <w:t>，可减少动量，降低噪声</w:t>
            </w:r>
            <w:r>
              <w:rPr>
                <w:rFonts w:hint="eastAsia" w:cs="Times New Roman"/>
                <w:color w:val="000000" w:themeColor="text1"/>
                <w:kern w:val="24"/>
                <w:lang w:eastAsia="zh-CN"/>
                <w14:textFill>
                  <w14:solidFill>
                    <w14:schemeClr w14:val="tx1"/>
                  </w14:solidFill>
                </w14:textFill>
              </w:rPr>
              <w:t>；</w:t>
            </w:r>
          </w:p>
          <w:p w14:paraId="52B4B856">
            <w:pPr>
              <w:pStyle w:val="18"/>
              <w:pageBreakBefore w:val="0"/>
              <w:kinsoku/>
              <w:overflowPunct/>
              <w:topLinePunct w:val="0"/>
              <w:bidi w:val="0"/>
              <w:adjustRightInd/>
              <w:spacing w:line="360" w:lineRule="auto"/>
              <w:ind w:left="0" w:leftChars="0" w:right="0" w:firstLine="480" w:firstLineChars="200"/>
              <w:rPr>
                <w:rFonts w:ascii="Times New Roman" w:eastAsia="宋体" w:cs="Times New Roman"/>
                <w:color w:val="000000" w:themeColor="text1"/>
                <w:kern w:val="24"/>
                <w14:textFill>
                  <w14:solidFill>
                    <w14:schemeClr w14:val="tx1"/>
                  </w14:solidFill>
                </w14:textFill>
              </w:rPr>
            </w:pPr>
            <w:r>
              <w:rPr>
                <w:rFonts w:ascii="Times New Roman" w:eastAsia="宋体" w:cs="Times New Roman"/>
                <w:color w:val="000000" w:themeColor="text1"/>
                <w:kern w:val="24"/>
                <w14:textFill>
                  <w14:solidFill>
                    <w14:schemeClr w14:val="tx1"/>
                  </w14:solidFill>
                </w14:textFill>
              </w:rPr>
              <w:t>③项目还应该加强对施工人员的管理，做到文明施工，避免人为噪声的产生；</w:t>
            </w:r>
          </w:p>
          <w:p w14:paraId="07BE6CA8">
            <w:pPr>
              <w:pStyle w:val="18"/>
              <w:pageBreakBefore w:val="0"/>
              <w:kinsoku/>
              <w:overflowPunct/>
              <w:topLinePunct w:val="0"/>
              <w:bidi w:val="0"/>
              <w:adjustRightInd/>
              <w:spacing w:line="360" w:lineRule="auto"/>
              <w:ind w:left="0" w:leftChars="0" w:right="0" w:firstLine="480" w:firstLineChars="200"/>
              <w:rPr>
                <w:rFonts w:ascii="Times New Roman" w:eastAsia="宋体" w:cs="Times New Roman"/>
                <w:color w:val="000000" w:themeColor="text1"/>
                <w:kern w:val="24"/>
                <w14:textFill>
                  <w14:solidFill>
                    <w14:schemeClr w14:val="tx1"/>
                  </w14:solidFill>
                </w14:textFill>
              </w:rPr>
            </w:pPr>
            <w:r>
              <w:rPr>
                <w:rFonts w:ascii="Times New Roman" w:eastAsia="宋体" w:cs="Times New Roman"/>
                <w:color w:val="000000" w:themeColor="text1"/>
                <w:kern w:val="24"/>
                <w14:textFill>
                  <w14:solidFill>
                    <w14:schemeClr w14:val="tx1"/>
                  </w14:solidFill>
                </w14:textFill>
              </w:rPr>
              <w:t>④施工场地的施工车辆出入现场时应限速、禁鸣；文明施工，避免因施工噪声产生纠纷。</w:t>
            </w:r>
          </w:p>
          <w:p w14:paraId="33E122D4">
            <w:pPr>
              <w:pStyle w:val="5"/>
              <w:pageBreakBefore w:val="0"/>
              <w:kinsoku/>
              <w:overflowPunct/>
              <w:topLinePunct w:val="0"/>
              <w:bidi w:val="0"/>
              <w:spacing w:line="360" w:lineRule="auto"/>
              <w:ind w:left="0" w:leftChars="0" w:right="0" w:firstLine="482"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w:t>
            </w:r>
            <w:r>
              <w:rPr>
                <w:rFonts w:ascii="Times New Roman" w:hAnsi="Times New Roman" w:cs="Times New Roman"/>
                <w:color w:val="000000" w:themeColor="text1"/>
                <w:kern w:val="24"/>
                <w14:textFill>
                  <w14:solidFill>
                    <w14:schemeClr w14:val="tx1"/>
                  </w14:solidFill>
                </w14:textFill>
              </w:rPr>
              <w:t>施工期固体废物环境保护措施</w:t>
            </w:r>
          </w:p>
          <w:p w14:paraId="214ABFD2">
            <w:pPr>
              <w:pStyle w:val="51"/>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针对施工期固体废物要求采取如下措施：</w:t>
            </w:r>
          </w:p>
          <w:p w14:paraId="019ED339">
            <w:pPr>
              <w:pStyle w:val="29"/>
              <w:keepLines/>
              <w:pageBreakBefore w:val="0"/>
              <w:widowControl w:val="0"/>
              <w:tabs>
                <w:tab w:val="left" w:pos="4830"/>
              </w:tabs>
              <w:kinsoku/>
              <w:overflowPunct/>
              <w:topLinePunct w:val="0"/>
              <w:bidi w:val="0"/>
              <w:spacing w:before="0" w:beforeAutospacing="0" w:after="0" w:afterAutospacing="0" w:line="360" w:lineRule="auto"/>
              <w:ind w:left="0" w:leftChars="0" w:right="0" w:firstLine="480" w:firstLineChars="200"/>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①建筑垃圾分类集中堆存，能回收利用的部分交回收商进行收购处置；不能回收利用的建筑垃圾，运至</w:t>
            </w:r>
            <w:r>
              <w:rPr>
                <w:rFonts w:hint="eastAsia" w:ascii="Times New Roman" w:hAnsi="Times New Roman"/>
                <w:color w:val="000000" w:themeColor="text1"/>
                <w:lang w:eastAsia="zh-CN"/>
                <w14:textFill>
                  <w14:solidFill>
                    <w14:schemeClr w14:val="tx1"/>
                  </w14:solidFill>
                </w14:textFill>
              </w:rPr>
              <w:t>周边合规建筑垃圾消纳场合理处置</w:t>
            </w:r>
            <w:r>
              <w:rPr>
                <w:rFonts w:ascii="Times New Roman" w:hAnsi="Times New Roman"/>
                <w:color w:val="000000" w:themeColor="text1"/>
                <w14:textFill>
                  <w14:solidFill>
                    <w14:schemeClr w14:val="tx1"/>
                  </w14:solidFill>
                </w14:textFill>
              </w:rPr>
              <w:t>。建筑垃圾严格处置，禁止与生活垃圾混合处置，禁止随意丢弃；</w:t>
            </w:r>
          </w:p>
          <w:p w14:paraId="0C1B90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cs="Times New Roman" w:eastAsiaTheme="minorEastAsia"/>
                <w:color w:val="000000" w:themeColor="text1"/>
                <w:sz w:val="24"/>
                <w:lang w:val="en-US" w:eastAsia="zh-CN" w:bidi="ar"/>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bidi="ar"/>
                <w14:textFill>
                  <w14:solidFill>
                    <w14:schemeClr w14:val="tx1"/>
                  </w14:solidFill>
                </w14:textFill>
              </w:rPr>
              <w:t>②</w:t>
            </w:r>
            <w:r>
              <w:rPr>
                <w:rFonts w:hint="eastAsia" w:ascii="Times New Roman" w:hAnsi="Times New Roman" w:cs="Times New Roman" w:eastAsiaTheme="minorEastAsia"/>
                <w:color w:val="000000" w:themeColor="text1"/>
                <w:sz w:val="24"/>
                <w:lang w:val="en-US" w:eastAsia="zh-CN" w:bidi="ar"/>
                <w14:textFill>
                  <w14:solidFill>
                    <w14:schemeClr w14:val="tx1"/>
                  </w14:solidFill>
                </w14:textFill>
              </w:rPr>
              <w:t>厂区现有垃圾收集桶，</w:t>
            </w:r>
            <w:r>
              <w:rPr>
                <w:rFonts w:hint="default" w:ascii="Times New Roman" w:hAnsi="Times New Roman" w:cs="Times New Roman" w:eastAsiaTheme="minorEastAsia"/>
                <w:color w:val="000000" w:themeColor="text1"/>
                <w:sz w:val="24"/>
                <w:lang w:val="en-US" w:eastAsia="zh-CN" w:bidi="ar"/>
                <w14:textFill>
                  <w14:solidFill>
                    <w14:schemeClr w14:val="tx1"/>
                  </w14:solidFill>
                </w14:textFill>
              </w:rPr>
              <w:t>生活垃圾</w:t>
            </w:r>
            <w:r>
              <w:rPr>
                <w:rFonts w:hint="eastAsia" w:ascii="Times New Roman" w:hAnsi="Times New Roman" w:cs="Times New Roman" w:eastAsiaTheme="minorEastAsia"/>
                <w:color w:val="000000" w:themeColor="text1"/>
                <w:sz w:val="24"/>
                <w:lang w:val="en-US" w:eastAsia="zh-CN" w:bidi="ar"/>
                <w14:textFill>
                  <w14:solidFill>
                    <w14:schemeClr w14:val="tx1"/>
                  </w14:solidFill>
                </w14:textFill>
              </w:rPr>
              <w:t>统一袋装</w:t>
            </w:r>
            <w:r>
              <w:rPr>
                <w:rFonts w:hint="default" w:ascii="Times New Roman" w:hAnsi="Times New Roman" w:cs="Times New Roman" w:eastAsiaTheme="minorEastAsia"/>
                <w:color w:val="000000" w:themeColor="text1"/>
                <w:sz w:val="24"/>
                <w:lang w:val="en-US" w:eastAsia="zh-CN" w:bidi="ar"/>
                <w14:textFill>
                  <w14:solidFill>
                    <w14:schemeClr w14:val="tx1"/>
                  </w14:solidFill>
                </w14:textFill>
              </w:rPr>
              <w:t>收集后运至厂区垃圾收集点，由</w:t>
            </w:r>
            <w:r>
              <w:rPr>
                <w:rFonts w:hint="eastAsia" w:cs="Times New Roman" w:eastAsiaTheme="minorEastAsia"/>
                <w:color w:val="000000" w:themeColor="text1"/>
                <w:sz w:val="24"/>
                <w:lang w:val="en-US" w:eastAsia="zh-CN" w:bidi="ar"/>
                <w14:textFill>
                  <w14:solidFill>
                    <w14:schemeClr w14:val="tx1"/>
                  </w14:solidFill>
                </w14:textFill>
              </w:rPr>
              <w:t>当地</w:t>
            </w:r>
            <w:r>
              <w:rPr>
                <w:rFonts w:hint="default" w:ascii="Times New Roman" w:hAnsi="Times New Roman" w:cs="Times New Roman" w:eastAsiaTheme="minorEastAsia"/>
                <w:color w:val="000000" w:themeColor="text1"/>
                <w:sz w:val="24"/>
                <w:lang w:val="en-US" w:eastAsia="zh-CN" w:bidi="ar"/>
                <w14:textFill>
                  <w14:solidFill>
                    <w14:schemeClr w14:val="tx1"/>
                  </w14:solidFill>
                </w14:textFill>
              </w:rPr>
              <w:t>环卫部门集中处置；废包装材料能外售的外售，不能外售的与生活垃圾一同处置</w:t>
            </w:r>
            <w:r>
              <w:rPr>
                <w:rFonts w:hint="eastAsia" w:cs="Times New Roman" w:eastAsiaTheme="minorEastAsia"/>
                <w:color w:val="000000" w:themeColor="text1"/>
                <w:sz w:val="24"/>
                <w:lang w:val="en-US" w:eastAsia="zh-CN" w:bidi="ar"/>
                <w14:textFill>
                  <w14:solidFill>
                    <w14:schemeClr w14:val="tx1"/>
                  </w14:solidFill>
                </w14:textFill>
              </w:rPr>
              <w:t>；</w:t>
            </w:r>
            <w:r>
              <w:rPr>
                <w:rFonts w:hint="default" w:ascii="Times New Roman" w:hAnsi="Times New Roman" w:cs="Times New Roman" w:eastAsiaTheme="minorEastAsia"/>
                <w:color w:val="000000" w:themeColor="text1"/>
                <w:sz w:val="24"/>
                <w:lang w:val="en-US" w:eastAsia="zh-CN" w:bidi="ar"/>
                <w14:textFill>
                  <w14:solidFill>
                    <w14:schemeClr w14:val="tx1"/>
                  </w14:solidFill>
                </w14:textFill>
              </w:rPr>
              <w:t>焊接废渣集中收集后，与生活垃圾一并处置。</w:t>
            </w:r>
          </w:p>
          <w:p w14:paraId="0F91C5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eastAsia" w:ascii="Times New Roman" w:hAnsi="Times New Roman" w:eastAsia="宋体" w:cs="Times New Roman"/>
                <w:bCs/>
                <w:color w:val="000000" w:themeColor="text1"/>
                <w:spacing w:val="-10"/>
                <w:kern w:val="2"/>
                <w:sz w:val="24"/>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bidi="ar"/>
                <w14:textFill>
                  <w14:solidFill>
                    <w14:schemeClr w14:val="tx1"/>
                  </w14:solidFill>
                </w14:textFill>
              </w:rPr>
              <w:t>综上所述，</w:t>
            </w:r>
            <w:r>
              <w:rPr>
                <w:rFonts w:hint="eastAsia" w:ascii="Times New Roman" w:hAnsi="Times New Roman" w:cs="Times New Roman" w:eastAsiaTheme="minorEastAsia"/>
                <w:color w:val="000000" w:themeColor="text1"/>
                <w:sz w:val="24"/>
                <w:lang w:val="en-US" w:eastAsia="zh-CN" w:bidi="ar"/>
                <w14:textFill>
                  <w14:solidFill>
                    <w14:schemeClr w14:val="tx1"/>
                  </w14:solidFill>
                </w14:textFill>
              </w:rPr>
              <w:t>施工期</w:t>
            </w:r>
            <w:r>
              <w:rPr>
                <w:rFonts w:hint="default" w:ascii="Times New Roman" w:hAnsi="Times New Roman" w:cs="Times New Roman" w:eastAsiaTheme="minorEastAsia"/>
                <w:color w:val="000000" w:themeColor="text1"/>
                <w:sz w:val="24"/>
                <w:lang w:val="en-US" w:eastAsia="zh-CN" w:bidi="ar"/>
                <w14:textFill>
                  <w14:solidFill>
                    <w14:schemeClr w14:val="tx1"/>
                  </w14:solidFill>
                </w14:textFill>
              </w:rPr>
              <w:t>影响随着施工期的结束而结束，对周围环境不会产生明显影响。</w:t>
            </w:r>
          </w:p>
        </w:tc>
      </w:tr>
      <w:tr w14:paraId="73E4F0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dxa"/>
            <w:tcMar>
              <w:left w:w="28" w:type="dxa"/>
              <w:right w:w="28" w:type="dxa"/>
            </w:tcMar>
            <w:vAlign w:val="center"/>
          </w:tcPr>
          <w:p w14:paraId="6D874BA5">
            <w:pPr>
              <w:keepNext w:val="0"/>
              <w:keepLines w:val="0"/>
              <w:pageBreakBefore w:val="0"/>
              <w:widowControl w:val="0"/>
              <w:kinsoku/>
              <w:wordWrap w:val="0"/>
              <w:overflowPunct/>
              <w:topLinePunct/>
              <w:autoSpaceDE/>
              <w:autoSpaceDN/>
              <w:bidi w:val="0"/>
              <w:adjustRightInd w:val="0"/>
              <w:snapToGrid w:val="0"/>
              <w:ind w:left="0" w:leftChars="0" w:right="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14:paraId="1CA4DF59">
            <w:pPr>
              <w:keepNext w:val="0"/>
              <w:keepLines w:val="0"/>
              <w:pageBreakBefore w:val="0"/>
              <w:widowControl w:val="0"/>
              <w:kinsoku/>
              <w:wordWrap w:val="0"/>
              <w:overflowPunct/>
              <w:topLinePunct/>
              <w:autoSpaceDE/>
              <w:autoSpaceDN/>
              <w:bidi w:val="0"/>
              <w:adjustRightInd w:val="0"/>
              <w:snapToGrid w:val="0"/>
              <w:ind w:left="0" w:leftChars="0" w:right="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698B95AF">
            <w:pPr>
              <w:keepNext w:val="0"/>
              <w:keepLines w:val="0"/>
              <w:pageBreakBefore w:val="0"/>
              <w:widowControl w:val="0"/>
              <w:kinsoku/>
              <w:wordWrap w:val="0"/>
              <w:overflowPunct/>
              <w:topLinePunct/>
              <w:autoSpaceDE/>
              <w:autoSpaceDN/>
              <w:bidi w:val="0"/>
              <w:adjustRightInd w:val="0"/>
              <w:snapToGrid w:val="0"/>
              <w:ind w:left="0" w:leftChars="0" w:right="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245BD9B8">
            <w:pPr>
              <w:keepNext w:val="0"/>
              <w:keepLines w:val="0"/>
              <w:pageBreakBefore w:val="0"/>
              <w:widowControl w:val="0"/>
              <w:kinsoku/>
              <w:wordWrap w:val="0"/>
              <w:overflowPunct/>
              <w:topLinePunct/>
              <w:autoSpaceDE/>
              <w:autoSpaceDN/>
              <w:bidi w:val="0"/>
              <w:adjustRightInd w:val="0"/>
              <w:snapToGrid w:val="0"/>
              <w:ind w:left="0" w:leftChars="0" w:right="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4645D387">
            <w:pPr>
              <w:keepNext w:val="0"/>
              <w:keepLines w:val="0"/>
              <w:pageBreakBefore w:val="0"/>
              <w:widowControl w:val="0"/>
              <w:kinsoku/>
              <w:wordWrap w:val="0"/>
              <w:overflowPunct/>
              <w:topLinePunct/>
              <w:autoSpaceDE/>
              <w:autoSpaceDN/>
              <w:bidi w:val="0"/>
              <w:adjustRightInd w:val="0"/>
              <w:snapToGrid w:val="0"/>
              <w:ind w:left="0" w:leftChars="0" w:right="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3D56FDDF">
            <w:pPr>
              <w:pStyle w:val="29"/>
              <w:pageBreakBefore w:val="0"/>
              <w:kinsoku/>
              <w:overflowPunct/>
              <w:topLinePunct w:val="0"/>
              <w:bidi w:val="0"/>
              <w:adjustRightInd w:val="0"/>
              <w:snapToGrid w:val="0"/>
              <w:spacing w:before="0" w:beforeAutospacing="0" w:after="0" w:afterAutospacing="0"/>
              <w:ind w:left="0" w:leftChars="0" w:right="0" w:rightChars="0"/>
              <w:jc w:val="center"/>
              <w:rPr>
                <w:rFonts w:ascii="Times New Roman" w:hAnsi="Times New Roman"/>
                <w:color w:val="000000" w:themeColor="text1"/>
                <w:kern w:val="2"/>
                <w:szCs w:val="24"/>
                <w14:textFill>
                  <w14:solidFill>
                    <w14:schemeClr w14:val="tx1"/>
                  </w14:solidFill>
                </w14:textFill>
              </w:rPr>
            </w:pPr>
            <w:r>
              <w:rPr>
                <w:bCs/>
                <w:color w:val="000000" w:themeColor="text1"/>
                <w:sz w:val="24"/>
                <w14:textFill>
                  <w14:solidFill>
                    <w14:schemeClr w14:val="tx1"/>
                  </w14:solidFill>
                </w14:textFill>
              </w:rPr>
              <w:t>措施</w:t>
            </w:r>
          </w:p>
        </w:tc>
        <w:tc>
          <w:tcPr>
            <w:tcW w:w="8430" w:type="dxa"/>
            <w:shd w:val="clear" w:color="auto" w:fill="auto"/>
            <w:vAlign w:val="center"/>
          </w:tcPr>
          <w:p w14:paraId="672B3BCF">
            <w:pPr>
              <w:pStyle w:val="157"/>
              <w:keepNext w:val="0"/>
              <w:keepLines/>
              <w:pageBreakBefore w:val="0"/>
              <w:widowControl w:val="0"/>
              <w:numPr>
                <w:ilvl w:val="0"/>
                <w:numId w:val="0"/>
              </w:numPr>
              <w:kinsoku/>
              <w:wordWrap/>
              <w:overflowPunct/>
              <w:topLinePunct w:val="0"/>
              <w:bidi w:val="0"/>
              <w:adjustRightInd/>
              <w:snapToGrid/>
              <w:spacing w:line="360" w:lineRule="auto"/>
              <w:ind w:firstLine="482" w:firstLineChars="200"/>
              <w:contextualSpacing/>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废气</w:t>
            </w:r>
          </w:p>
          <w:p w14:paraId="18D51816">
            <w:pPr>
              <w:pStyle w:val="157"/>
              <w:keepNext w:val="0"/>
              <w:keepLines/>
              <w:pageBreakBefore w:val="0"/>
              <w:widowControl w:val="0"/>
              <w:numPr>
                <w:ilvl w:val="0"/>
                <w:numId w:val="0"/>
              </w:numPr>
              <w:kinsoku/>
              <w:wordWrap/>
              <w:overflowPunct/>
              <w:topLinePunct w:val="0"/>
              <w:bidi w:val="0"/>
              <w:adjustRightInd/>
              <w:snapToGrid/>
              <w:spacing w:line="360" w:lineRule="auto"/>
              <w:ind w:firstLine="480" w:firstLineChars="200"/>
              <w:contextualSpacing/>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本项目为锅炉</w:t>
            </w:r>
            <w:r>
              <w:rPr>
                <w:rFonts w:hint="eastAsia" w:ascii="Times New Roman" w:hAnsi="Times New Roman" w:eastAsia="宋体" w:cs="Times New Roman"/>
                <w:b w:val="0"/>
                <w:bCs w:val="0"/>
                <w:color w:val="000000" w:themeColor="text1"/>
                <w:lang w:val="en-US" w:eastAsia="zh-CN"/>
                <w14:textFill>
                  <w14:solidFill>
                    <w14:schemeClr w14:val="tx1"/>
                  </w14:solidFill>
                </w14:textFill>
              </w:rPr>
              <w:t>以及环保设施技改项目</w:t>
            </w:r>
            <w:r>
              <w:rPr>
                <w:rFonts w:hint="default" w:ascii="Times New Roman" w:hAnsi="Times New Roman" w:eastAsia="宋体" w:cs="Times New Roman"/>
                <w:b w:val="0"/>
                <w:bCs w:val="0"/>
                <w:color w:val="000000" w:themeColor="text1"/>
                <w:lang w:val="en-US" w:eastAsia="zh-CN"/>
                <w14:textFill>
                  <w14:solidFill>
                    <w14:schemeClr w14:val="tx1"/>
                  </w14:solidFill>
                </w14:textFill>
              </w:rPr>
              <w:t>，运营过程中产生的污染物主要为锅炉废气</w:t>
            </w:r>
            <w:r>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颗粒物、二氧化硫、氮氧化物</w:t>
            </w:r>
            <w:r>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t>）</w:t>
            </w:r>
            <w:r>
              <w:rPr>
                <w:rFonts w:hint="eastAsia" w:ascii="Times New Roman" w:hAnsi="Times New Roman" w:eastAsia="宋体" w:cs="Times New Roman"/>
                <w:b w:val="0"/>
                <w:bCs w:val="0"/>
                <w:color w:val="000000" w:themeColor="text1"/>
                <w:lang w:val="en-US" w:eastAsia="zh-CN"/>
                <w14:textFill>
                  <w14:solidFill>
                    <w14:schemeClr w14:val="tx1"/>
                  </w14:solidFill>
                </w14:textFill>
              </w:rPr>
              <w:t>、有机废气</w:t>
            </w:r>
            <w:r>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非甲烷总烃、</w:t>
            </w:r>
            <w:r>
              <w:rPr>
                <w:rFonts w:hint="default" w:ascii="Times New Roman" w:hAnsi="Times New Roman" w:cs="Times New Roman" w:eastAsiaTheme="minorEastAsia"/>
                <w:b w:val="0"/>
                <w:bCs w:val="0"/>
                <w:i w:val="0"/>
                <w:color w:val="000000" w:themeColor="text1"/>
                <w:kern w:val="2"/>
                <w:sz w:val="24"/>
                <w:szCs w:val="24"/>
                <w:lang w:val="en-US" w:eastAsia="zh-CN" w:bidi="ar-SA"/>
                <w14:textFill>
                  <w14:solidFill>
                    <w14:schemeClr w14:val="tx1"/>
                  </w14:solidFill>
                </w14:textFill>
              </w:rPr>
              <w:t>甲苯、乙苯、苯乙烯</w:t>
            </w:r>
            <w:r>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异味（臭气浓度）</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等</w:t>
            </w:r>
            <w:r>
              <w:rPr>
                <w:rFonts w:hint="eastAsia" w:ascii="Times New Roman" w:hAnsi="Times New Roman" w:eastAsia="宋体" w:cs="Times New Roman"/>
                <w:b w:val="0"/>
                <w:bCs w:val="0"/>
                <w:color w:val="000000" w:themeColor="text1"/>
                <w:lang w:val="en-US" w:eastAsia="zh-CN"/>
                <w14:textFill>
                  <w14:solidFill>
                    <w14:schemeClr w14:val="tx1"/>
                  </w14:solidFill>
                </w14:textFill>
              </w:rPr>
              <w:t>。</w:t>
            </w:r>
          </w:p>
          <w:p w14:paraId="0BBE2C7E">
            <w:pPr>
              <w:pStyle w:val="167"/>
              <w:keepNext w:val="0"/>
              <w:keepLines w:val="0"/>
              <w:pageBreakBefore w:val="0"/>
              <w:widowControl w:val="0"/>
              <w:numPr>
                <w:ilvl w:val="0"/>
                <w:numId w:val="0"/>
              </w:numPr>
              <w:tabs>
                <w:tab w:val="left" w:pos="1782"/>
              </w:tabs>
              <w:kinsoku/>
              <w:wordWrap/>
              <w:overflowPunct/>
              <w:topLinePunct w:val="0"/>
              <w:autoSpaceDE/>
              <w:autoSpaceDN/>
              <w:bidi w:val="0"/>
              <w:adjustRightInd/>
              <w:snapToGrid/>
              <w:spacing w:line="360" w:lineRule="auto"/>
              <w:ind w:right="0" w:rightChars="0" w:firstLine="482" w:firstLineChars="200"/>
              <w:jc w:val="both"/>
              <w:textAlignment w:val="auto"/>
              <w:rPr>
                <w:rFonts w:hint="default" w:ascii="Times New Roman" w:hAnsi="Times New Roman" w:cs="Times New Roman"/>
                <w:color w:val="000000" w:themeColor="text1"/>
                <w:kern w:val="2"/>
                <w:szCs w:val="24"/>
                <w:lang w:val="en-US" w:eastAsia="zh-CN"/>
                <w14:textFill>
                  <w14:solidFill>
                    <w14:schemeClr w14:val="tx1"/>
                  </w14:solidFill>
                </w14:textFill>
              </w:rPr>
            </w:pPr>
            <w:r>
              <w:rPr>
                <w:rFonts w:hint="default" w:ascii="Times New Roman" w:hAnsi="Times New Roman" w:cs="Times New Roman"/>
                <w:b/>
                <w:color w:val="000000" w:themeColor="text1"/>
                <w:sz w:val="24"/>
                <w:szCs w:val="24"/>
                <w:lang w:val="en-US" w:eastAsia="zh-CN"/>
                <w14:textFill>
                  <w14:solidFill>
                    <w14:schemeClr w14:val="tx1"/>
                  </w14:solidFill>
                </w14:textFill>
              </w:rPr>
              <w:t>（1）</w:t>
            </w:r>
            <w:r>
              <w:rPr>
                <w:rFonts w:hint="eastAsia" w:ascii="Times New Roman" w:hAnsi="Times New Roman" w:cs="Times New Roman"/>
                <w:b/>
                <w:color w:val="000000" w:themeColor="text1"/>
                <w:sz w:val="24"/>
                <w:szCs w:val="24"/>
                <w:lang w:val="en-US" w:eastAsia="zh-CN"/>
                <w14:textFill>
                  <w14:solidFill>
                    <w14:schemeClr w14:val="tx1"/>
                  </w14:solidFill>
                </w14:textFill>
              </w:rPr>
              <w:t>有组织</w:t>
            </w:r>
            <w:r>
              <w:rPr>
                <w:rFonts w:hint="default" w:ascii="Times New Roman" w:hAnsi="Times New Roman" w:cs="Times New Roman"/>
                <w:b/>
                <w:color w:val="000000" w:themeColor="text1"/>
                <w:sz w:val="24"/>
                <w:szCs w:val="24"/>
                <w14:textFill>
                  <w14:solidFill>
                    <w14:schemeClr w14:val="tx1"/>
                  </w14:solidFill>
                </w14:textFill>
              </w:rPr>
              <w:t>废气</w:t>
            </w:r>
            <w:r>
              <w:rPr>
                <w:rFonts w:hint="default" w:ascii="Times New Roman" w:hAnsi="Times New Roman" w:cs="Times New Roman"/>
                <w:b/>
                <w:color w:val="000000" w:themeColor="text1"/>
                <w:sz w:val="24"/>
                <w:szCs w:val="24"/>
                <w:lang w:val="en-US" w:eastAsia="zh-CN"/>
                <w14:textFill>
                  <w14:solidFill>
                    <w14:schemeClr w14:val="tx1"/>
                  </w14:solidFill>
                </w14:textFill>
              </w:rPr>
              <w:t>源强核算</w:t>
            </w:r>
          </w:p>
          <w:p w14:paraId="2C079CAD">
            <w:pPr>
              <w:pStyle w:val="17"/>
              <w:keepNext w:val="0"/>
              <w:keepLines w:val="0"/>
              <w:pageBreakBefore w:val="0"/>
              <w:widowControl w:val="0"/>
              <w:kinsoku/>
              <w:wordWrap w:val="0"/>
              <w:overflowPunct/>
              <w:topLinePunct/>
              <w:autoSpaceDE/>
              <w:autoSpaceDN/>
              <w:bidi w:val="0"/>
              <w:adjustRightInd w:val="0"/>
              <w:snapToGrid w:val="0"/>
              <w:spacing w:line="360" w:lineRule="auto"/>
              <w:ind w:left="0" w:leftChars="0" w:right="0" w:firstLine="482" w:firstLineChars="200"/>
              <w:rPr>
                <w:rFonts w:hint="eastAsia" w:ascii="Times New Roman" w:hAnsi="Times New Roman"/>
                <w:b/>
                <w:bCs/>
                <w:color w:val="000000" w:themeColor="text1"/>
                <w:sz w:val="24"/>
                <w:lang w:eastAsia="zh-CN"/>
                <w14:textFill>
                  <w14:solidFill>
                    <w14:schemeClr w14:val="tx1"/>
                  </w14:solidFill>
                </w14:textFill>
              </w:rPr>
            </w:pPr>
            <w:r>
              <w:rPr>
                <w:rFonts w:hint="eastAsia" w:ascii="Times New Roman" w:hAnsi="Times New Roman"/>
                <w:b/>
                <w:bCs/>
                <w:color w:val="000000" w:themeColor="text1"/>
                <w:sz w:val="24"/>
                <w:lang w:val="en-US" w:eastAsia="zh-CN"/>
                <w14:textFill>
                  <w14:solidFill>
                    <w14:schemeClr w14:val="tx1"/>
                  </w14:solidFill>
                </w14:textFill>
              </w:rPr>
              <w:t>1</w:t>
            </w:r>
            <w:r>
              <w:rPr>
                <w:rFonts w:hint="eastAsia" w:ascii="Times New Roman" w:hAnsi="Times New Roman"/>
                <w:b/>
                <w:bCs/>
                <w:color w:val="000000" w:themeColor="text1"/>
                <w:sz w:val="24"/>
                <w:lang w:eastAsia="zh-CN"/>
                <w14:textFill>
                  <w14:solidFill>
                    <w14:schemeClr w14:val="tx1"/>
                  </w14:solidFill>
                </w14:textFill>
              </w:rPr>
              <w:t>）锅炉废气</w:t>
            </w:r>
          </w:p>
          <w:p w14:paraId="700CE04E">
            <w:pPr>
              <w:pStyle w:val="157"/>
              <w:keepNext w:val="0"/>
              <w:keepLines/>
              <w:pageBreakBefore w:val="0"/>
              <w:widowControl w:val="0"/>
              <w:numPr>
                <w:ilvl w:val="0"/>
                <w:numId w:val="0"/>
              </w:numPr>
              <w:kinsoku/>
              <w:wordWrap/>
              <w:overflowPunct/>
              <w:topLinePunct w:val="0"/>
              <w:bidi w:val="0"/>
              <w:adjustRightInd/>
              <w:snapToGrid/>
              <w:spacing w:line="360" w:lineRule="auto"/>
              <w:ind w:firstLine="480" w:firstLineChars="200"/>
              <w:contextualSpacing/>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根据工程分析可知，本项目设置1台3t/h的生物质</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锅炉</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为</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生产环节</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过程提供热量，生物质</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锅炉</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使用燃料为生物质成型燃料，年用生物质颗粒燃料为</w:t>
            </w:r>
            <w:r>
              <w:rPr>
                <w:rFonts w:hint="eastAsia" w:ascii="Times New Roman" w:hAnsi="Times New Roman" w:eastAsia="宋体" w:cs="Times New Roman"/>
                <w:b w:val="0"/>
                <w:bCs w:val="0"/>
                <w:color w:val="000000" w:themeColor="text1"/>
                <w:sz w:val="24"/>
                <w:shd w:val="clear" w:color="auto" w:fill="FFFFFF"/>
                <w:lang w:val="en-US" w:eastAsia="zh-CN"/>
                <w14:textFill>
                  <w14:solidFill>
                    <w14:schemeClr w14:val="tx1"/>
                  </w14:solidFill>
                </w14:textFill>
              </w:rPr>
              <w:t>871.435</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t/a</w:t>
            </w:r>
            <w:r>
              <w:rPr>
                <w:rFonts w:hint="eastAsia" w:cs="Times New Roman" w:eastAsiaTheme="minorEastAsia"/>
                <w:b w:val="0"/>
                <w:bCs w:val="0"/>
                <w:color w:val="000000" w:themeColor="text1"/>
                <w:sz w:val="24"/>
                <w:szCs w:val="24"/>
                <w:lang w:val="en-US" w:eastAsia="zh-CN"/>
                <w14:textFill>
                  <w14:solidFill>
                    <w14:schemeClr w14:val="tx1"/>
                  </w14:solidFill>
                </w14:textFill>
              </w:rPr>
              <w:t>。本项目改建生物质锅炉后蒸汽供给量不变，年产蒸汽量为4800t/a，根据工程分析，生物质锅炉年工作时间为2184h，即额锅炉额定负荷运行时间为4.5h/d（1350h/a），锅炉额定负荷运行时间为2.78h/d（834h/a）。</w:t>
            </w:r>
          </w:p>
          <w:p w14:paraId="737BA4C5">
            <w:pPr>
              <w:pStyle w:val="157"/>
              <w:keepNext w:val="0"/>
              <w:keepLines/>
              <w:pageBreakBefore w:val="0"/>
              <w:widowControl w:val="0"/>
              <w:numPr>
                <w:ilvl w:val="0"/>
                <w:numId w:val="0"/>
              </w:numPr>
              <w:kinsoku/>
              <w:wordWrap/>
              <w:overflowPunct/>
              <w:topLinePunct w:val="0"/>
              <w:bidi w:val="0"/>
              <w:adjustRightInd/>
              <w:snapToGrid/>
              <w:spacing w:line="360" w:lineRule="auto"/>
              <w:ind w:firstLine="480" w:firstLineChars="200"/>
              <w:contextualSpacing/>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根据《污染源源强核算技术指南—锅炉》</w:t>
            </w: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HJ991-2018</w:t>
            </w: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）中表1源强核算方法选取次序表</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本次采用物料衡算法进行计算。</w:t>
            </w:r>
          </w:p>
          <w:p w14:paraId="002D4C2F">
            <w:pPr>
              <w:pStyle w:val="157"/>
              <w:keepNext w:val="0"/>
              <w:keepLines/>
              <w:pageBreakBefore w:val="0"/>
              <w:widowControl w:val="0"/>
              <w:numPr>
                <w:ilvl w:val="0"/>
                <w:numId w:val="0"/>
              </w:numPr>
              <w:kinsoku/>
              <w:wordWrap/>
              <w:overflowPunct/>
              <w:topLinePunct w:val="0"/>
              <w:bidi w:val="0"/>
              <w:adjustRightInd/>
              <w:snapToGrid/>
              <w:spacing w:line="360" w:lineRule="auto"/>
              <w:ind w:firstLine="482" w:firstLineChars="200"/>
              <w:contextualSpacing/>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eastAsia" w:cs="Times New Roman" w:eastAsiaTheme="minorEastAsia"/>
                <w:b/>
                <w:bCs/>
                <w:color w:val="000000" w:themeColor="text1"/>
                <w:sz w:val="24"/>
                <w:szCs w:val="24"/>
                <w:lang w:val="en-US" w:eastAsia="zh-CN"/>
                <w14:textFill>
                  <w14:solidFill>
                    <w14:schemeClr w14:val="tx1"/>
                  </w14:solidFill>
                </w14:textFill>
              </w:rPr>
              <w:t>①烟气量</w:t>
            </w:r>
          </w:p>
          <w:p w14:paraId="436A9FB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依据《排污许可证申请与核发技术规范 锅炉》（HJ953-2018）中</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表5 基准烟气量取值表</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燃生物质锅炉烟气量公式：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b/>
            </w:r>
          </w:p>
          <w:p w14:paraId="10A1BE5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Vgy=0.393Qnet,at+0.876；Vdaf≥15%</w:t>
            </w:r>
          </w:p>
          <w:p w14:paraId="7165ABE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Vgy=0.385Qnet,at+1.095；Vdaf＜15%</w:t>
            </w:r>
          </w:p>
          <w:p w14:paraId="7F562E6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式中：Vgy—基准烟气量，Nm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 xml:space="preserve">3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/kg； </w:t>
            </w:r>
          </w:p>
          <w:p w14:paraId="33FE38E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Qne,at—固体/液体燃料收到基低位发热量，MJ/m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；本项目为</w:t>
            </w:r>
            <w:r>
              <w:rPr>
                <w:rFonts w:hint="eastAsia" w:eastAsia="宋体" w:cs="Times New Roman"/>
                <w:color w:val="000000" w:themeColor="text1"/>
                <w:kern w:val="0"/>
                <w:sz w:val="24"/>
                <w:szCs w:val="24"/>
                <w:lang w:val="en-US" w:eastAsia="zh-CN" w:bidi="ar"/>
                <w14:textFill>
                  <w14:solidFill>
                    <w14:schemeClr w14:val="tx1"/>
                  </w14:solidFill>
                </w14:textFill>
              </w:rPr>
              <w:t>18.07</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MJ/kg。 </w:t>
            </w:r>
          </w:p>
          <w:p w14:paraId="72B3DC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Vdaf—燃料干燥无灰基挥发分，%；根据检验报告本项目Vdaf为</w:t>
            </w:r>
            <w:r>
              <w:rPr>
                <w:rFonts w:hint="eastAsia" w:eastAsia="宋体" w:cs="Times New Roman"/>
                <w:color w:val="000000" w:themeColor="text1"/>
                <w:kern w:val="0"/>
                <w:sz w:val="24"/>
                <w:szCs w:val="24"/>
                <w:lang w:val="en-US" w:eastAsia="zh-CN" w:bidi="ar"/>
                <w14:textFill>
                  <w14:solidFill>
                    <w14:schemeClr w14:val="tx1"/>
                  </w14:solidFill>
                </w14:textFill>
              </w:rPr>
              <w:t>82.367</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w:t>
            </w:r>
          </w:p>
          <w:p w14:paraId="17531AF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计算可得，燃生物质锅炉的基准烟气量系数为7.</w:t>
            </w:r>
            <w:r>
              <w:rPr>
                <w:rFonts w:hint="eastAsia" w:eastAsia="宋体" w:cs="Times New Roman"/>
                <w:color w:val="000000" w:themeColor="text1"/>
                <w:kern w:val="0"/>
                <w:sz w:val="24"/>
                <w:szCs w:val="24"/>
                <w:lang w:val="en-US" w:eastAsia="zh-CN" w:bidi="ar"/>
                <w14:textFill>
                  <w14:solidFill>
                    <w14:schemeClr w14:val="tx1"/>
                  </w14:solidFill>
                </w14:textFill>
              </w:rPr>
              <w:t>9775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Nm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/kg 燃料。本项目成型生物质燃料用量为</w:t>
            </w:r>
            <w:r>
              <w:rPr>
                <w:rFonts w:hint="eastAsia" w:ascii="Times New Roman" w:hAnsi="Times New Roman" w:eastAsia="宋体" w:cs="Times New Roman"/>
                <w:b w:val="0"/>
                <w:bCs w:val="0"/>
                <w:color w:val="000000" w:themeColor="text1"/>
                <w:sz w:val="24"/>
                <w:shd w:val="clear" w:color="auto" w:fill="FFFFFF"/>
                <w:lang w:val="en-US" w:eastAsia="zh-CN"/>
                <w14:textFill>
                  <w14:solidFill>
                    <w14:schemeClr w14:val="tx1"/>
                  </w14:solidFill>
                </w14:textFill>
              </w:rPr>
              <w:t>871.435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t/a，则本项目每年的基准烟气排放量为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6</w:t>
            </w:r>
            <w:r>
              <w:rPr>
                <w:rFonts w:hint="eastAsia" w:cs="Times New Roman"/>
                <w:color w:val="000000" w:themeColor="text1"/>
                <w:kern w:val="0"/>
                <w:sz w:val="24"/>
                <w:szCs w:val="24"/>
                <w:lang w:val="en-US" w:eastAsia="zh-CN" w:bidi="ar"/>
                <w14:textFill>
                  <w14:solidFill>
                    <w14:schemeClr w14:val="tx1"/>
                  </w14:solidFill>
                </w14:textFill>
              </w:rPr>
              <w:t>95.1873</w:t>
            </w:r>
            <w:r>
              <w:rPr>
                <w:rFonts w:hint="eastAsia" w:eastAsia="宋体" w:cs="Times New Roman"/>
                <w:color w:val="000000" w:themeColor="text1"/>
                <w:kern w:val="0"/>
                <w:sz w:val="24"/>
                <w:szCs w:val="24"/>
                <w:lang w:val="en-US" w:eastAsia="zh-CN" w:bidi="ar"/>
                <w14:textFill>
                  <w14:solidFill>
                    <w14:schemeClr w14:val="tx1"/>
                  </w14:solidFill>
                </w14:textFill>
              </w:rPr>
              <w:t>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Nm³/a</w:t>
            </w:r>
            <w:r>
              <w:rPr>
                <w:rFonts w:hint="eastAsia"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即</w:t>
            </w:r>
            <w:r>
              <w:rPr>
                <w:rFonts w:hint="eastAsia" w:cs="Times New Roman"/>
                <w:color w:val="000000" w:themeColor="text1"/>
                <w:kern w:val="0"/>
                <w:sz w:val="24"/>
                <w:szCs w:val="24"/>
                <w:lang w:val="en-US" w:eastAsia="zh-CN" w:bidi="ar"/>
                <w14:textFill>
                  <w14:solidFill>
                    <w14:schemeClr w14:val="tx1"/>
                  </w14:solidFill>
                </w14:textFill>
              </w:rPr>
              <w:t>3183.092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w:t>
            </w:r>
            <w:r>
              <w:rPr>
                <w:rFonts w:hint="eastAsia" w:eastAsia="宋体" w:cs="Times New Roman"/>
                <w:color w:val="000000" w:themeColor="text1"/>
                <w:kern w:val="0"/>
                <w:sz w:val="24"/>
                <w:szCs w:val="24"/>
                <w:lang w:val="en-US" w:eastAsia="zh-CN" w:bidi="ar"/>
                <w14:textFill>
                  <w14:solidFill>
                    <w14:schemeClr w14:val="tx1"/>
                  </w14:solidFill>
                </w14:textFill>
              </w:rPr>
              <w:t>。</w:t>
            </w:r>
          </w:p>
          <w:p w14:paraId="2DB52E6C">
            <w:pPr>
              <w:keepNext w:val="0"/>
              <w:pageBreakBefore w:val="0"/>
              <w:overflowPunct/>
              <w:topLinePunct w:val="0"/>
              <w:bidi w:val="0"/>
              <w:adjustRightInd/>
              <w:snapToGrid/>
              <w:spacing w:line="360" w:lineRule="auto"/>
              <w:ind w:firstLine="482" w:firstLineChars="200"/>
              <w:rPr>
                <w:rFonts w:hint="default" w:ascii="Times New Roman" w:hAnsi="Times New Roman" w:eastAsia="宋体" w:cs="Times New Roman"/>
                <w:b/>
                <w:bCs/>
                <w:color w:val="000000" w:themeColor="text1"/>
                <w:kern w:val="0"/>
                <w:sz w:val="24"/>
                <w:lang w:eastAsia="zh-CN"/>
                <w14:textFill>
                  <w14:solidFill>
                    <w14:schemeClr w14:val="tx1"/>
                  </w14:solidFill>
                </w14:textFill>
              </w:rPr>
            </w:pPr>
            <w:r>
              <w:rPr>
                <w:rFonts w:hint="default" w:ascii="Times New Roman" w:hAnsi="Times New Roman" w:cs="Times New Roman"/>
                <w:b/>
                <w:bCs/>
                <w:color w:val="000000" w:themeColor="text1"/>
                <w:kern w:val="0"/>
                <w:sz w:val="24"/>
                <w:lang w:eastAsia="zh-CN"/>
                <w14:textFill>
                  <w14:solidFill>
                    <w14:schemeClr w14:val="tx1"/>
                  </w14:solidFill>
                </w14:textFill>
              </w:rPr>
              <w:t>②颗粒物</w:t>
            </w:r>
          </w:p>
          <w:p w14:paraId="43C0E40E">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lang w:eastAsia="zh-CN"/>
                <w14:textFill>
                  <w14:solidFill>
                    <w14:schemeClr w14:val="tx1"/>
                  </w14:solidFill>
                </w14:textFill>
              </w:rPr>
            </w:pPr>
            <w:r>
              <w:rPr>
                <w:rFonts w:hint="default" w:ascii="Times New Roman" w:hAnsi="Times New Roman" w:cs="Times New Roman"/>
                <w:color w:val="000000" w:themeColor="text1"/>
                <w:kern w:val="0"/>
                <w:sz w:val="24"/>
                <w:lang w:eastAsia="zh-CN"/>
                <w14:textFill>
                  <w14:solidFill>
                    <w14:schemeClr w14:val="tx1"/>
                  </w14:solidFill>
                </w14:textFill>
              </w:rPr>
              <w:t>根据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《污染源源强核算技术指南—锅炉》(HJ991-2018)中</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5.1.1燃煤、燃生物质锅炉</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颗粒物排放量计算公式。</w:t>
            </w:r>
          </w:p>
          <w:p w14:paraId="27C661C6">
            <w:pPr>
              <w:keepNext w:val="0"/>
              <w:pageBreakBefore w:val="0"/>
              <w:overflowPunct/>
              <w:topLinePunct w:val="0"/>
              <w:bidi w:val="0"/>
              <w:adjustRightInd/>
              <w:snapToGrid/>
              <w:spacing w:line="360" w:lineRule="auto"/>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2571750" cy="1038225"/>
                  <wp:effectExtent l="0" t="0" r="0" b="9525"/>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pic:cNvPicPr>
                            <a:picLocks noChangeAspect="1"/>
                          </pic:cNvPicPr>
                        </pic:nvPicPr>
                        <pic:blipFill>
                          <a:blip r:embed="rId28"/>
                          <a:stretch>
                            <a:fillRect/>
                          </a:stretch>
                        </pic:blipFill>
                        <pic:spPr>
                          <a:xfrm>
                            <a:off x="0" y="0"/>
                            <a:ext cx="2571750" cy="1038225"/>
                          </a:xfrm>
                          <a:prstGeom prst="rect">
                            <a:avLst/>
                          </a:prstGeom>
                          <a:noFill/>
                          <a:ln>
                            <a:noFill/>
                          </a:ln>
                        </pic:spPr>
                      </pic:pic>
                    </a:graphicData>
                  </a:graphic>
                </wp:inline>
              </w:drawing>
            </w:r>
          </w:p>
          <w:p w14:paraId="16DC4A3B">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式中： EA—核算时段内颗粒物（烟尘）排放量， t； </w:t>
            </w:r>
          </w:p>
          <w:p w14:paraId="24AFF44E">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R—核算时段内锅炉燃料耗量，t，</w:t>
            </w:r>
            <w:r>
              <w:rPr>
                <w:rFonts w:hint="eastAsia" w:eastAsia="宋体" w:cs="Times New Roman"/>
                <w:color w:val="000000" w:themeColor="text1"/>
                <w:kern w:val="0"/>
                <w:sz w:val="24"/>
                <w:szCs w:val="24"/>
                <w:lang w:val="en-US" w:eastAsia="zh-CN" w:bidi="ar"/>
                <w14:textFill>
                  <w14:solidFill>
                    <w14:schemeClr w14:val="tx1"/>
                  </w14:solidFill>
                </w14:textFill>
              </w:rPr>
              <w:t>根据工程分析，</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取</w:t>
            </w:r>
            <w:r>
              <w:rPr>
                <w:rFonts w:hint="eastAsia" w:cs="Times New Roman"/>
                <w:color w:val="000000" w:themeColor="text1"/>
                <w:sz w:val="24"/>
                <w:szCs w:val="24"/>
                <w:lang w:val="en-US" w:eastAsia="zh-CN"/>
                <w14:textFill>
                  <w14:solidFill>
                    <w14:schemeClr w14:val="tx1"/>
                  </w14:solidFill>
                </w14:textFill>
              </w:rPr>
              <w:t>871.435t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w:t>
            </w:r>
          </w:p>
          <w:p w14:paraId="6B8D024B">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Aar—收到基灰分的质量分数，%，</w:t>
            </w:r>
            <w:r>
              <w:rPr>
                <w:rFonts w:hint="eastAsia" w:eastAsia="宋体" w:cs="Times New Roman"/>
                <w:color w:val="000000" w:themeColor="text1"/>
                <w:kern w:val="0"/>
                <w:sz w:val="24"/>
                <w:szCs w:val="24"/>
                <w:lang w:val="en-US" w:eastAsia="zh-CN" w:bidi="ar"/>
                <w14:textFill>
                  <w14:solidFill>
                    <w14:schemeClr w14:val="tx1"/>
                  </w14:solidFill>
                </w14:textFill>
              </w:rPr>
              <w:t>根据工程分析，取0.964%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w:t>
            </w:r>
          </w:p>
          <w:p w14:paraId="5DF9F08D">
            <w:pPr>
              <w:keepNext w:val="0"/>
              <w:pageBreakBefore w:val="0"/>
              <w:tabs>
                <w:tab w:val="left" w:pos="7140"/>
              </w:tabs>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dfh—锅炉烟气带出的飞灰份额，%，其值与燃烧方式有关，参照核算技术指南附录B表B.2，取50%（20%+30%）； </w:t>
            </w:r>
          </w:p>
          <w:p w14:paraId="39337B6E">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ηc—综合除尘效率，%，</w:t>
            </w:r>
            <w:r>
              <w:rPr>
                <w:rFonts w:hint="eastAsia" w:eastAsia="宋体" w:cs="Times New Roman"/>
                <w:color w:val="000000" w:themeColor="text1"/>
                <w:kern w:val="0"/>
                <w:sz w:val="24"/>
                <w:szCs w:val="24"/>
                <w:lang w:val="en-US" w:eastAsia="zh-CN" w:bidi="ar"/>
                <w14:textFill>
                  <w14:solidFill>
                    <w14:schemeClr w14:val="tx1"/>
                  </w14:solidFill>
                </w14:textFill>
              </w:rPr>
              <w:t>参考</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《污染源源强核算技术指南 锅炉》（HJ991-2018）附录B表B.6，袋式除尘颗粒物去除效率为99%~99.99%</w:t>
            </w:r>
            <w:r>
              <w:rPr>
                <w:rFonts w:hint="eastAsia" w:cs="Times New Roman"/>
                <w:color w:val="000000" w:themeColor="text1"/>
                <w:kern w:val="0"/>
                <w:sz w:val="24"/>
                <w:szCs w:val="24"/>
                <w:lang w:val="en-US" w:eastAsia="zh-CN" w:bidi="ar"/>
                <w14:textFill>
                  <w14:solidFill>
                    <w14:schemeClr w14:val="tx1"/>
                  </w14:solidFill>
                </w14:textFill>
              </w:rPr>
              <w:t>。</w:t>
            </w:r>
            <w:r>
              <w:rPr>
                <w:rFonts w:hint="eastAsia" w:eastAsia="宋体" w:cs="Times New Roman"/>
                <w:color w:val="000000" w:themeColor="text1"/>
                <w:kern w:val="0"/>
                <w:sz w:val="24"/>
                <w:szCs w:val="24"/>
                <w:lang w:val="en-US" w:eastAsia="zh-CN" w:bidi="ar"/>
                <w14:textFill>
                  <w14:solidFill>
                    <w14:schemeClr w14:val="tx1"/>
                  </w14:solidFill>
                </w14:textFill>
              </w:rPr>
              <w:t>本项目采用锅炉废气采用“低氮燃烧+旋风+布袋除尘”设施处理，</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本次</w:t>
            </w:r>
            <w:r>
              <w:rPr>
                <w:rFonts w:hint="eastAsia" w:cs="Times New Roman"/>
                <w:color w:val="000000" w:themeColor="text1"/>
                <w:kern w:val="0"/>
                <w:sz w:val="24"/>
                <w:szCs w:val="24"/>
                <w:lang w:val="en-US" w:eastAsia="zh-CN" w:bidi="ar"/>
                <w14:textFill>
                  <w14:solidFill>
                    <w14:schemeClr w14:val="tx1"/>
                  </w14:solidFill>
                </w14:textFill>
              </w:rPr>
              <w:t>综合考虑</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除尘效率取99%</w:t>
            </w:r>
            <w:r>
              <w:rPr>
                <w:rFonts w:hint="eastAsia"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w:t>
            </w:r>
          </w:p>
          <w:p w14:paraId="1D0E498B">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Cfh—飞灰中可燃物含量，%；参考《燃煤工业锅炉节能监测》（GB/T15317-2009）中表5，取15%。 </w:t>
            </w:r>
          </w:p>
          <w:p w14:paraId="25F8CCBE">
            <w:pPr>
              <w:pStyle w:val="17"/>
              <w:keepNext w:val="0"/>
              <w:keepLines w:val="0"/>
              <w:pageBreakBefore w:val="0"/>
              <w:widowControl w:val="0"/>
              <w:kinsoku/>
              <w:wordWrap w:val="0"/>
              <w:overflowPunct/>
              <w:topLinePunct/>
              <w:autoSpaceDE/>
              <w:autoSpaceDN/>
              <w:bidi w:val="0"/>
              <w:adjustRightInd w:val="0"/>
              <w:snapToGrid w:val="0"/>
              <w:spacing w:line="360" w:lineRule="auto"/>
              <w:ind w:left="0" w:leftChars="0" w:right="0" w:firstLine="480" w:firstLineChars="200"/>
              <w:rPr>
                <w:rFonts w:hint="eastAsia" w:ascii="Times New Roman" w:hAnsi="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则经计算，</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颗粒物产生量为4.9415t/a，</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项目颗粒物的排放量为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0.049</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t/a，0.</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0</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226</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kg/h，</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7.</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10</w:t>
            </w:r>
            <w:r>
              <w:rPr>
                <w:rFonts w:hint="default" w:ascii="Times New Roman" w:hAnsi="Times New Roman" w:cs="Times New Roman"/>
                <w:b w:val="0"/>
                <w:bCs w:val="0"/>
                <w:color w:val="000000" w:themeColor="text1"/>
                <w:sz w:val="24"/>
                <w:szCs w:val="24"/>
                <w14:textFill>
                  <w14:solidFill>
                    <w14:schemeClr w14:val="tx1"/>
                  </w14:solidFill>
                </w14:textFill>
              </w:rPr>
              <w:t>mg/m</w:t>
            </w:r>
            <w:r>
              <w:rPr>
                <w:rFonts w:hint="default" w:ascii="Times New Roman" w:hAnsi="Times New Roman" w:cs="Times New Roman"/>
                <w:b w:val="0"/>
                <w:bCs w:val="0"/>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14:paraId="0F98E476">
            <w:pPr>
              <w:keepNext w:val="0"/>
              <w:pageBreakBefore w:val="0"/>
              <w:overflowPunct/>
              <w:topLinePunct w:val="0"/>
              <w:bidi w:val="0"/>
              <w:adjustRightInd/>
              <w:snapToGrid/>
              <w:spacing w:line="360" w:lineRule="auto"/>
              <w:ind w:firstLine="482" w:firstLineChars="200"/>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cs="Times New Roman"/>
                <w:b/>
                <w:bCs/>
                <w:color w:val="000000" w:themeColor="text1"/>
                <w:kern w:val="0"/>
                <w:sz w:val="24"/>
                <w:lang w:eastAsia="zh-CN"/>
                <w14:textFill>
                  <w14:solidFill>
                    <w14:schemeClr w14:val="tx1"/>
                  </w14:solidFill>
                </w14:textFill>
              </w:rPr>
              <w:t>③二氧化硫</w:t>
            </w:r>
          </w:p>
          <w:p w14:paraId="4068481D">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eastAsia="zh-CN"/>
                <w14:textFill>
                  <w14:solidFill>
                    <w14:schemeClr w14:val="tx1"/>
                  </w14:solidFill>
                </w14:textFill>
              </w:rPr>
              <w:t>根据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《污染源源强核算技术指南—锅炉》(HJ991-2018)中</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5.1.1燃煤、燃生物质锅炉</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二氧化硫排放量计算公式。</w:t>
            </w:r>
          </w:p>
          <w:p w14:paraId="0B2162A5">
            <w:pPr>
              <w:keepNext w:val="0"/>
              <w:pageBreakBefore w:val="0"/>
              <w:overflowPunct/>
              <w:topLinePunct w:val="0"/>
              <w:bidi w:val="0"/>
              <w:adjustRightInd/>
              <w:snapToGrid/>
              <w:spacing w:line="360" w:lineRule="auto"/>
              <w:jc w:val="cente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drawing>
                <wp:inline distT="0" distB="0" distL="114300" distR="114300">
                  <wp:extent cx="3592195" cy="611505"/>
                  <wp:effectExtent l="0" t="0" r="8255" b="17145"/>
                  <wp:docPr id="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pic:cNvPicPr>
                            <a:picLocks noChangeAspect="1"/>
                          </pic:cNvPicPr>
                        </pic:nvPicPr>
                        <pic:blipFill>
                          <a:blip r:embed="rId29"/>
                          <a:stretch>
                            <a:fillRect/>
                          </a:stretch>
                        </pic:blipFill>
                        <pic:spPr>
                          <a:xfrm>
                            <a:off x="0" y="0"/>
                            <a:ext cx="3592195" cy="611505"/>
                          </a:xfrm>
                          <a:prstGeom prst="rect">
                            <a:avLst/>
                          </a:prstGeom>
                          <a:noFill/>
                          <a:ln>
                            <a:noFill/>
                          </a:ln>
                        </pic:spPr>
                      </pic:pic>
                    </a:graphicData>
                  </a:graphic>
                </wp:inline>
              </w:drawing>
            </w:r>
          </w:p>
          <w:p w14:paraId="1ADEBB38">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式中：ESO2——核算时段内二氧化硫排放量，t； </w:t>
            </w:r>
          </w:p>
          <w:p w14:paraId="30F1E2B7">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R—核算时段内锅炉燃料耗量，t，取</w:t>
            </w:r>
            <w:r>
              <w:rPr>
                <w:rFonts w:hint="eastAsia" w:cs="Times New Roman"/>
                <w:color w:val="000000" w:themeColor="text1"/>
                <w:sz w:val="24"/>
                <w:szCs w:val="24"/>
                <w:lang w:val="en-US" w:eastAsia="zh-CN"/>
                <w14:textFill>
                  <w14:solidFill>
                    <w14:schemeClr w14:val="tx1"/>
                  </w14:solidFill>
                </w14:textFill>
              </w:rPr>
              <w:t>871.435t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w:t>
            </w:r>
          </w:p>
          <w:p w14:paraId="72D4F489">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Sar—收到基硫的质量分数，%，</w:t>
            </w:r>
            <w:r>
              <w:rPr>
                <w:rFonts w:hint="eastAsia" w:eastAsia="宋体" w:cs="Times New Roman"/>
                <w:color w:val="000000" w:themeColor="text1"/>
                <w:kern w:val="0"/>
                <w:sz w:val="24"/>
                <w:szCs w:val="24"/>
                <w:lang w:val="en-US" w:eastAsia="zh-CN" w:bidi="ar"/>
                <w14:textFill>
                  <w14:solidFill>
                    <w14:schemeClr w14:val="tx1"/>
                  </w14:solidFill>
                </w14:textFill>
              </w:rPr>
              <w:t>根据工程分析，取0.0284%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w:t>
            </w:r>
          </w:p>
          <w:p w14:paraId="698BC735">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q</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—锅炉机械不完全燃烧热损失，%，根据《污染源源强核算技术指南 锅炉》（HJ991-2018）附录B表B.1，本次取15%。</w:t>
            </w:r>
          </w:p>
          <w:p w14:paraId="3697EFAF">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ηs—脱硫效率，%，取0； </w:t>
            </w:r>
          </w:p>
          <w:p w14:paraId="496086FE">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K—燃料中的硫燃烧后氧化成二氧化硫的份额，量纲一的量；根据《污染源源强核算技术指南 锅炉》（HJ991-2018）附录B表B.3，生物质锅炉取0.5。</w:t>
            </w:r>
          </w:p>
          <w:p w14:paraId="6AEEBFC4">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则经计算，</w:t>
            </w:r>
            <w:r>
              <w:rPr>
                <w:rFonts w:hint="eastAsia" w:cs="Times New Roman"/>
                <w:b w:val="0"/>
                <w:bCs w:val="0"/>
                <w:color w:val="000000" w:themeColor="text1"/>
                <w:kern w:val="0"/>
                <w:sz w:val="24"/>
                <w:szCs w:val="24"/>
                <w:lang w:val="en-US" w:eastAsia="zh-CN" w:bidi="ar"/>
                <w14:textFill>
                  <w14:solidFill>
                    <w14:schemeClr w14:val="tx1"/>
                  </w14:solidFill>
                </w14:textFill>
              </w:rPr>
              <w:t>二氧化硫产生量为</w:t>
            </w:r>
            <w:r>
              <w:rPr>
                <w:rFonts w:hint="eastAsia" w:cs="Times New Roman"/>
                <w:b w:val="0"/>
                <w:bCs w:val="0"/>
                <w:color w:val="000000" w:themeColor="text1"/>
                <w:kern w:val="0"/>
                <w:sz w:val="24"/>
                <w:szCs w:val="24"/>
                <w:lang w:val="en-US" w:eastAsia="zh-CN"/>
                <w14:textFill>
                  <w14:solidFill>
                    <w14:schemeClr w14:val="tx1"/>
                  </w14:solidFill>
                </w14:textFill>
              </w:rPr>
              <w:t>0.2104</w:t>
            </w:r>
            <w:r>
              <w:rPr>
                <w:rFonts w:hint="default" w:ascii="Times New Roman" w:hAnsi="Times New Roman" w:cs="Times New Roman"/>
                <w:b w:val="0"/>
                <w:bCs w:val="0"/>
                <w:color w:val="000000" w:themeColor="text1"/>
                <w:kern w:val="0"/>
                <w:sz w:val="24"/>
                <w:szCs w:val="24"/>
                <w:lang w:val="en-US" w:eastAsia="zh-CN"/>
                <w14:textFill>
                  <w14:solidFill>
                    <w14:schemeClr w14:val="tx1"/>
                  </w14:solidFill>
                </w14:textFill>
              </w:rPr>
              <w:t>t/a</w:t>
            </w:r>
            <w:r>
              <w:rPr>
                <w:rFonts w:hint="eastAsia" w:cs="Times New Roman"/>
                <w:b w:val="0"/>
                <w:bCs w:val="0"/>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项目</w:t>
            </w:r>
            <w:r>
              <w:rPr>
                <w:rFonts w:hint="default" w:ascii="Times New Roman" w:hAnsi="Times New Roman" w:cs="Times New Roman"/>
                <w:b w:val="0"/>
                <w:bCs w:val="0"/>
                <w:color w:val="000000" w:themeColor="text1"/>
                <w:kern w:val="0"/>
                <w:sz w:val="24"/>
                <w:szCs w:val="24"/>
                <w:lang w:eastAsia="zh-CN"/>
                <w14:textFill>
                  <w14:solidFill>
                    <w14:schemeClr w14:val="tx1"/>
                  </w14:solidFill>
                </w14:textFill>
              </w:rPr>
              <w:t>二氧化硫</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的排放量为</w:t>
            </w:r>
            <w:r>
              <w:rPr>
                <w:rFonts w:hint="default" w:ascii="Times New Roman" w:hAnsi="Times New Roman" w:cs="Times New Roman"/>
                <w:b w:val="0"/>
                <w:bCs w:val="0"/>
                <w:color w:val="000000" w:themeColor="text1"/>
                <w:kern w:val="0"/>
                <w:sz w:val="24"/>
                <w:szCs w:val="24"/>
                <w:lang w:val="en-US" w:eastAsia="zh-CN"/>
                <w14:textFill>
                  <w14:solidFill>
                    <w14:schemeClr w14:val="tx1"/>
                  </w14:solidFill>
                </w14:textFill>
              </w:rPr>
              <w:t>0.</w:t>
            </w:r>
            <w:r>
              <w:rPr>
                <w:rFonts w:hint="eastAsia" w:ascii="Times New Roman" w:hAnsi="Times New Roman" w:cs="Times New Roman"/>
                <w:b w:val="0"/>
                <w:bCs w:val="0"/>
                <w:color w:val="000000" w:themeColor="text1"/>
                <w:kern w:val="0"/>
                <w:sz w:val="24"/>
                <w:szCs w:val="24"/>
                <w:lang w:val="en-US" w:eastAsia="zh-CN"/>
                <w14:textFill>
                  <w14:solidFill>
                    <w14:schemeClr w14:val="tx1"/>
                  </w14:solidFill>
                </w14:textFill>
              </w:rPr>
              <w:t>2</w:t>
            </w:r>
            <w:r>
              <w:rPr>
                <w:rFonts w:hint="eastAsia" w:cs="Times New Roman"/>
                <w:b w:val="0"/>
                <w:bCs w:val="0"/>
                <w:color w:val="000000" w:themeColor="text1"/>
                <w:kern w:val="0"/>
                <w:sz w:val="24"/>
                <w:szCs w:val="24"/>
                <w:lang w:val="en-US" w:eastAsia="zh-CN"/>
                <w14:textFill>
                  <w14:solidFill>
                    <w14:schemeClr w14:val="tx1"/>
                  </w14:solidFill>
                </w14:textFill>
              </w:rPr>
              <w:t>104</w:t>
            </w:r>
            <w:r>
              <w:rPr>
                <w:rFonts w:hint="default" w:ascii="Times New Roman" w:hAnsi="Times New Roman" w:cs="Times New Roman"/>
                <w:b w:val="0"/>
                <w:bCs w:val="0"/>
                <w:color w:val="000000" w:themeColor="text1"/>
                <w:kern w:val="0"/>
                <w:sz w:val="24"/>
                <w:szCs w:val="24"/>
                <w:lang w:val="en-US" w:eastAsia="zh-CN"/>
                <w14:textFill>
                  <w14:solidFill>
                    <w14:schemeClr w14:val="tx1"/>
                  </w14:solidFill>
                </w14:textFill>
              </w:rPr>
              <w:t>t/a，0.</w:t>
            </w:r>
            <w:r>
              <w:rPr>
                <w:rFonts w:hint="eastAsia" w:cs="Times New Roman"/>
                <w:b w:val="0"/>
                <w:bCs w:val="0"/>
                <w:color w:val="000000" w:themeColor="text1"/>
                <w:kern w:val="0"/>
                <w:sz w:val="24"/>
                <w:szCs w:val="24"/>
                <w:lang w:val="en-US" w:eastAsia="zh-CN"/>
                <w14:textFill>
                  <w14:solidFill>
                    <w14:schemeClr w14:val="tx1"/>
                  </w14:solidFill>
                </w14:textFill>
              </w:rPr>
              <w:t>0963</w:t>
            </w:r>
            <w:r>
              <w:rPr>
                <w:rFonts w:hint="default" w:ascii="Times New Roman" w:hAnsi="Times New Roman" w:cs="Times New Roman"/>
                <w:b w:val="0"/>
                <w:bCs w:val="0"/>
                <w:color w:val="000000" w:themeColor="text1"/>
                <w:kern w:val="0"/>
                <w:sz w:val="24"/>
                <w:szCs w:val="24"/>
                <w:lang w:val="en-US" w:eastAsia="zh-CN"/>
                <w14:textFill>
                  <w14:solidFill>
                    <w14:schemeClr w14:val="tx1"/>
                  </w14:solidFill>
                </w14:textFill>
              </w:rPr>
              <w:t>kg/h，</w:t>
            </w:r>
            <w:r>
              <w:rPr>
                <w:rFonts w:hint="eastAsia" w:cs="Times New Roman"/>
                <w:b w:val="0"/>
                <w:bCs w:val="0"/>
                <w:color w:val="000000" w:themeColor="text1"/>
                <w:kern w:val="0"/>
                <w:sz w:val="24"/>
                <w:szCs w:val="24"/>
                <w:lang w:val="en-US" w:eastAsia="zh-CN"/>
                <w14:textFill>
                  <w14:solidFill>
                    <w14:schemeClr w14:val="tx1"/>
                  </w14:solidFill>
                </w14:textFill>
              </w:rPr>
              <w:t>30.245</w:t>
            </w:r>
            <w:r>
              <w:rPr>
                <w:rFonts w:hint="default" w:ascii="Times New Roman" w:hAnsi="Times New Roman" w:cs="Times New Roman"/>
                <w:b w:val="0"/>
                <w:bCs w:val="0"/>
                <w:color w:val="000000" w:themeColor="text1"/>
                <w:sz w:val="24"/>
                <w:szCs w:val="24"/>
                <w14:textFill>
                  <w14:solidFill>
                    <w14:schemeClr w14:val="tx1"/>
                  </w14:solidFill>
                </w14:textFill>
              </w:rPr>
              <w:t>mg/m</w:t>
            </w:r>
            <w:r>
              <w:rPr>
                <w:rFonts w:hint="default" w:ascii="Times New Roman" w:hAnsi="Times New Roman" w:cs="Times New Roman"/>
                <w:b w:val="0"/>
                <w:bCs w:val="0"/>
                <w:color w:val="000000" w:themeColor="text1"/>
                <w:sz w:val="24"/>
                <w:szCs w:val="24"/>
                <w:vertAlign w:val="superscript"/>
                <w14:textFill>
                  <w14:solidFill>
                    <w14:schemeClr w14:val="tx1"/>
                  </w14:solidFill>
                </w14:textFill>
              </w:rPr>
              <w:t>3</w:t>
            </w:r>
            <w:r>
              <w:rPr>
                <w:rFonts w:hint="default" w:ascii="Times New Roman" w:hAnsi="Times New Roman" w:cs="Times New Roman"/>
                <w:b w:val="0"/>
                <w:bCs w:val="0"/>
                <w:color w:val="000000" w:themeColor="text1"/>
                <w:kern w:val="0"/>
                <w:sz w:val="24"/>
                <w:szCs w:val="24"/>
                <w:lang w:val="en-US" w:eastAsia="zh-CN"/>
                <w14:textFill>
                  <w14:solidFill>
                    <w14:schemeClr w14:val="tx1"/>
                  </w14:solidFill>
                </w14:textFill>
              </w:rPr>
              <w:t>。</w:t>
            </w:r>
          </w:p>
          <w:p w14:paraId="6162D42F">
            <w:pPr>
              <w:keepNext w:val="0"/>
              <w:pageBreakBefore w:val="0"/>
              <w:overflowPunct/>
              <w:topLinePunct w:val="0"/>
              <w:bidi w:val="0"/>
              <w:adjustRightInd/>
              <w:snapToGrid/>
              <w:spacing w:line="360" w:lineRule="auto"/>
              <w:ind w:firstLine="482" w:firstLineChars="200"/>
              <w:rPr>
                <w:rFonts w:hint="default" w:ascii="Times New Roman" w:hAnsi="Times New Roman" w:eastAsia="宋体" w:cs="Times New Roman"/>
                <w:b/>
                <w:bCs/>
                <w:color w:val="000000" w:themeColor="text1"/>
                <w:kern w:val="0"/>
                <w:sz w:val="24"/>
                <w:lang w:eastAsia="zh-CN"/>
                <w14:textFill>
                  <w14:solidFill>
                    <w14:schemeClr w14:val="tx1"/>
                  </w14:solidFill>
                </w14:textFill>
              </w:rPr>
            </w:pPr>
            <w:r>
              <w:rPr>
                <w:rFonts w:hint="default" w:ascii="Times New Roman" w:hAnsi="Times New Roman" w:cs="Times New Roman"/>
                <w:b/>
                <w:bCs/>
                <w:color w:val="000000" w:themeColor="text1"/>
                <w:kern w:val="0"/>
                <w:sz w:val="24"/>
                <w:lang w:eastAsia="zh-CN"/>
                <w14:textFill>
                  <w14:solidFill>
                    <w14:schemeClr w14:val="tx1"/>
                  </w14:solidFill>
                </w14:textFill>
              </w:rPr>
              <w:t>④氮氧化物</w:t>
            </w:r>
          </w:p>
          <w:p w14:paraId="2408ECE4">
            <w:pPr>
              <w:keepNext w:val="0"/>
              <w:pageBreakBefore w:val="0"/>
              <w:overflowPunct/>
              <w:topLinePunct w:val="0"/>
              <w:bidi w:val="0"/>
              <w:adjustRightInd/>
              <w:snapToGrid/>
              <w:spacing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lang w:eastAsia="zh-CN"/>
                <w14:textFill>
                  <w14:solidFill>
                    <w14:schemeClr w14:val="tx1"/>
                  </w14:solidFill>
                </w14:textFill>
              </w:rPr>
              <w:t>根据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《污染源源强核算技术指南—锅炉》(HJ991-2018)中</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5.1.1燃煤、燃生物质锅炉</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氮氧化物排放量计算公式。</w:t>
            </w:r>
          </w:p>
          <w:p w14:paraId="699A65C6">
            <w:pPr>
              <w:keepNext w:val="0"/>
              <w:pageBreakBefore w:val="0"/>
              <w:overflowPunct/>
              <w:topLinePunct w:val="0"/>
              <w:bidi w:val="0"/>
              <w:adjustRightInd/>
              <w:snapToGrid/>
              <w:spacing w:line="360" w:lineRule="auto"/>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3143250" cy="781050"/>
                  <wp:effectExtent l="0" t="0" r="0" b="0"/>
                  <wp:docPr id="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
                          <pic:cNvPicPr>
                            <a:picLocks noChangeAspect="1"/>
                          </pic:cNvPicPr>
                        </pic:nvPicPr>
                        <pic:blipFill>
                          <a:blip r:embed="rId30"/>
                          <a:stretch>
                            <a:fillRect/>
                          </a:stretch>
                        </pic:blipFill>
                        <pic:spPr>
                          <a:xfrm>
                            <a:off x="0" y="0"/>
                            <a:ext cx="3143250" cy="781050"/>
                          </a:xfrm>
                          <a:prstGeom prst="rect">
                            <a:avLst/>
                          </a:prstGeom>
                          <a:noFill/>
                          <a:ln>
                            <a:noFill/>
                          </a:ln>
                        </pic:spPr>
                      </pic:pic>
                    </a:graphicData>
                  </a:graphic>
                </wp:inline>
              </w:drawing>
            </w:r>
          </w:p>
          <w:p w14:paraId="7A34C225">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式中：E</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NOx</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—核算时段内氮氧化物排放量，t </w:t>
            </w:r>
          </w:p>
          <w:p w14:paraId="56E1F58E">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ρNOx—锅炉炉膛出口氮氧化物质量浓度，根据《污染源源强核算技术指南 锅炉》（HJ991-2018）附录B表B.4燃生物质炉炉膛出口NOx质量浓度范围为100~600mg/m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，本次取2</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0mg/m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计算</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（根据《生物质锅炉技术规范》（</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GB/T44906-2024</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）中“</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7.2 </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环保性能，室燃锅炉额度工况下大气污染物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NOx </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初始排放浓度限值为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200mg/m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”，本项目按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200mg/m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计算）</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w:t>
            </w:r>
          </w:p>
          <w:p w14:paraId="479B1258">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Q—核算时段内标态干烟气排放量，m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6</w:t>
            </w:r>
            <w:r>
              <w:rPr>
                <w:rFonts w:hint="eastAsia" w:cs="Times New Roman"/>
                <w:color w:val="000000" w:themeColor="text1"/>
                <w:kern w:val="0"/>
                <w:sz w:val="24"/>
                <w:szCs w:val="24"/>
                <w:lang w:val="en-US" w:eastAsia="zh-CN" w:bidi="ar"/>
                <w14:textFill>
                  <w14:solidFill>
                    <w14:schemeClr w14:val="tx1"/>
                  </w14:solidFill>
                </w14:textFill>
              </w:rPr>
              <w:t>95.1873</w:t>
            </w:r>
            <w:r>
              <w:rPr>
                <w:rFonts w:hint="eastAsia" w:eastAsia="宋体" w:cs="Times New Roman"/>
                <w:color w:val="000000" w:themeColor="text1"/>
                <w:kern w:val="0"/>
                <w:sz w:val="24"/>
                <w:szCs w:val="24"/>
                <w:lang w:val="en-US" w:eastAsia="zh-CN" w:bidi="ar"/>
                <w14:textFill>
                  <w14:solidFill>
                    <w14:schemeClr w14:val="tx1"/>
                  </w14:solidFill>
                </w14:textFill>
              </w:rPr>
              <w:t>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Nm³/a； </w:t>
            </w:r>
          </w:p>
          <w:p w14:paraId="73BF6FB8">
            <w:pPr>
              <w:keepNext w:val="0"/>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η</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NOx</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—脱硝效率，%，本项目采用低氮燃烧技术，《排污许可证申请与核发技术规范 锅炉》（HJ953-2018）表F.4燃生物质工业锅炉的废气产排污系数，采取低氮燃烧后氮氧化物产污系数为0.71kg/t-燃料，无低氮燃烧技术氮氧化物产污系数为1.02kg/t-燃料，则低氮燃烧脱硝效率取30%。</w:t>
            </w:r>
          </w:p>
          <w:p w14:paraId="2C3EE55F">
            <w:pPr>
              <w:keepNext w:val="0"/>
              <w:pageBreakBefore w:val="0"/>
              <w:overflowPunct/>
              <w:topLinePunct w:val="0"/>
              <w:bidi w:val="0"/>
              <w:adjustRightInd/>
              <w:snapToGrid/>
              <w:spacing w:line="360" w:lineRule="auto"/>
              <w:ind w:firstLine="480" w:firstLineChars="200"/>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则经计算，</w:t>
            </w:r>
            <w:r>
              <w:rPr>
                <w:rFonts w:hint="eastAsia" w:cs="Times New Roman"/>
                <w:b w:val="0"/>
                <w:bCs w:val="0"/>
                <w:color w:val="000000" w:themeColor="text1"/>
                <w:kern w:val="0"/>
                <w:sz w:val="24"/>
                <w:szCs w:val="24"/>
                <w:lang w:val="en-US" w:eastAsia="zh-CN" w:bidi="ar"/>
                <w14:textFill>
                  <w14:solidFill>
                    <w14:schemeClr w14:val="tx1"/>
                  </w14:solidFill>
                </w14:textFill>
              </w:rPr>
              <w:t>氮氧化物产生量为1.3904t/a；</w:t>
            </w:r>
            <w:r>
              <w:rPr>
                <w:rFonts w:hint="default" w:ascii="Times New Roman" w:hAnsi="Times New Roman" w:cs="Times New Roman"/>
                <w:b w:val="0"/>
                <w:bCs w:val="0"/>
                <w:color w:val="000000" w:themeColor="text1"/>
                <w:kern w:val="0"/>
                <w:sz w:val="24"/>
                <w:szCs w:val="24"/>
                <w:lang w:eastAsia="zh-CN"/>
                <w14:textFill>
                  <w14:solidFill>
                    <w14:schemeClr w14:val="tx1"/>
                  </w14:solidFill>
                </w14:textFill>
              </w:rPr>
              <w:t>氮氧化物硫</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的排放量为</w:t>
            </w:r>
            <w:r>
              <w:rPr>
                <w:rFonts w:hint="eastAsia" w:cs="Times New Roman"/>
                <w:b w:val="0"/>
                <w:bCs w:val="0"/>
                <w:color w:val="000000" w:themeColor="text1"/>
                <w:kern w:val="0"/>
                <w:sz w:val="24"/>
                <w:szCs w:val="24"/>
                <w:lang w:val="en-US" w:eastAsia="zh-CN" w:bidi="ar"/>
                <w14:textFill>
                  <w14:solidFill>
                    <w14:schemeClr w14:val="tx1"/>
                  </w14:solidFill>
                </w14:textFill>
              </w:rPr>
              <w:t>0.9733</w:t>
            </w:r>
            <w:r>
              <w:rPr>
                <w:rFonts w:hint="default" w:ascii="Times New Roman" w:hAnsi="Times New Roman" w:cs="Times New Roman"/>
                <w:color w:val="000000" w:themeColor="text1"/>
                <w:kern w:val="0"/>
                <w:sz w:val="24"/>
                <w:lang w:val="en-US" w:eastAsia="zh-CN"/>
                <w14:textFill>
                  <w14:solidFill>
                    <w14:schemeClr w14:val="tx1"/>
                  </w14:solidFill>
                </w14:textFill>
              </w:rPr>
              <w:t>t/a，</w:t>
            </w:r>
            <w:r>
              <w:rPr>
                <w:rFonts w:hint="eastAsia" w:cs="Times New Roman"/>
                <w:color w:val="000000" w:themeColor="text1"/>
                <w:kern w:val="0"/>
                <w:sz w:val="24"/>
                <w:lang w:val="en-US" w:eastAsia="zh-CN"/>
                <w14:textFill>
                  <w14:solidFill>
                    <w14:schemeClr w14:val="tx1"/>
                  </w14:solidFill>
                </w14:textFill>
              </w:rPr>
              <w:t>0.4457</w:t>
            </w:r>
            <w:r>
              <w:rPr>
                <w:rFonts w:hint="default" w:ascii="Times New Roman" w:hAnsi="Times New Roman" w:cs="Times New Roman"/>
                <w:color w:val="000000" w:themeColor="text1"/>
                <w:kern w:val="0"/>
                <w:sz w:val="24"/>
                <w:lang w:val="en-US" w:eastAsia="zh-CN"/>
                <w14:textFill>
                  <w14:solidFill>
                    <w14:schemeClr w14:val="tx1"/>
                  </w14:solidFill>
                </w14:textFill>
              </w:rPr>
              <w:t>kg/h，</w:t>
            </w:r>
            <w:r>
              <w:rPr>
                <w:rFonts w:hint="eastAsia" w:ascii="Times New Roman" w:hAnsi="Times New Roman" w:cs="Times New Roman"/>
                <w:color w:val="000000" w:themeColor="text1"/>
                <w:kern w:val="0"/>
                <w:sz w:val="24"/>
                <w:lang w:val="en-US" w:eastAsia="zh-CN"/>
                <w14:textFill>
                  <w14:solidFill>
                    <w14:schemeClr w14:val="tx1"/>
                  </w14:solidFill>
                </w14:textFill>
              </w:rPr>
              <w:t>140.0</w:t>
            </w:r>
            <w:r>
              <w:rPr>
                <w:rFonts w:hint="eastAsia" w:cs="Times New Roman"/>
                <w:color w:val="000000" w:themeColor="text1"/>
                <w:kern w:val="0"/>
                <w:sz w:val="24"/>
                <w:lang w:val="en-US" w:eastAsia="zh-CN"/>
                <w14:textFill>
                  <w14:solidFill>
                    <w14:schemeClr w14:val="tx1"/>
                  </w14:solidFill>
                </w14:textFill>
              </w:rPr>
              <w:t>2</w:t>
            </w:r>
            <w:r>
              <w:rPr>
                <w:rFonts w:hint="default" w:ascii="Times New Roman" w:hAnsi="Times New Roman" w:cs="Times New Roman"/>
                <w:b w:val="0"/>
                <w:bCs w:val="0"/>
                <w:color w:val="000000" w:themeColor="text1"/>
                <w:sz w:val="24"/>
                <w:szCs w:val="24"/>
                <w14:textFill>
                  <w14:solidFill>
                    <w14:schemeClr w14:val="tx1"/>
                  </w14:solidFill>
                </w14:textFill>
              </w:rPr>
              <w:t>mg/m</w:t>
            </w:r>
            <w:r>
              <w:rPr>
                <w:rFonts w:hint="default" w:ascii="Times New Roman" w:hAnsi="Times New Roman" w:cs="Times New Roman"/>
                <w:b w:val="0"/>
                <w:bCs w:val="0"/>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kern w:val="0"/>
                <w:sz w:val="24"/>
                <w:lang w:val="en-US" w:eastAsia="zh-CN"/>
                <w14:textFill>
                  <w14:solidFill>
                    <w14:schemeClr w14:val="tx1"/>
                  </w14:solidFill>
                </w14:textFill>
              </w:rPr>
              <w:t>。</w:t>
            </w:r>
          </w:p>
          <w:p w14:paraId="5338E56D">
            <w:pPr>
              <w:keepNext w:val="0"/>
              <w:pageBreakBefore w:val="0"/>
              <w:overflowPunct/>
              <w:topLinePunct w:val="0"/>
              <w:bidi w:val="0"/>
              <w:adjustRightInd/>
              <w:snapToGrid/>
              <w:spacing w:line="360" w:lineRule="auto"/>
              <w:ind w:firstLine="480" w:firstLineChars="200"/>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本项目生物质锅炉废气经“低氮燃烧+旋风+布袋除尘”处理后通过1根</w:t>
            </w:r>
            <w:r>
              <w:rPr>
                <w:rFonts w:hint="eastAsia" w:cs="Times New Roman"/>
                <w:b w:val="0"/>
                <w:bCs w:val="0"/>
                <w:color w:val="000000" w:themeColor="text1"/>
                <w:kern w:val="0"/>
                <w:sz w:val="24"/>
                <w:szCs w:val="24"/>
                <w:lang w:val="en-US" w:eastAsia="zh-CN" w:bidi="ar"/>
                <w14:textFill>
                  <w14:solidFill>
                    <w14:schemeClr w14:val="tx1"/>
                  </w14:solidFill>
                </w14:textFill>
              </w:rPr>
              <w:t>30m</w:t>
            </w: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高排气筒DA001排放，DA001排放口废气排放量详见下表。</w:t>
            </w:r>
          </w:p>
          <w:p w14:paraId="564F33AB">
            <w:pPr>
              <w:pStyle w:val="52"/>
              <w:keepNext w:val="0"/>
              <w:pageBreakBefore w:val="0"/>
              <w:overflowPunct/>
              <w:topLinePunct w:val="0"/>
              <w:bidi w:val="0"/>
              <w:adjustRightInd/>
              <w:snapToGrid/>
              <w:spacing w:before="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表4-</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 xml:space="preserve">  </w:t>
            </w:r>
            <w:r>
              <w:rPr>
                <w:rFonts w:hint="eastAsia" w:cs="Times New Roman"/>
                <w:color w:val="000000" w:themeColor="text1"/>
                <w:sz w:val="21"/>
                <w:szCs w:val="21"/>
                <w:lang w:val="en-US" w:eastAsia="zh-CN"/>
                <w14:textFill>
                  <w14:solidFill>
                    <w14:schemeClr w14:val="tx1"/>
                  </w14:solidFill>
                </w14:textFill>
              </w:rPr>
              <w:t>DA001排放口</w:t>
            </w:r>
            <w:r>
              <w:rPr>
                <w:rFonts w:hint="default" w:ascii="Times New Roman" w:hAnsi="Times New Roman" w:cs="Times New Roman"/>
                <w:color w:val="000000" w:themeColor="text1"/>
                <w:sz w:val="21"/>
                <w:szCs w:val="21"/>
                <w14:textFill>
                  <w14:solidFill>
                    <w14:schemeClr w14:val="tx1"/>
                  </w14:solidFill>
                </w14:textFill>
              </w:rPr>
              <w:t>废气产排一览表</w:t>
            </w:r>
          </w:p>
          <w:tbl>
            <w:tblPr>
              <w:tblStyle w:val="33"/>
              <w:tblW w:w="4993"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972"/>
              <w:gridCol w:w="950"/>
              <w:gridCol w:w="885"/>
              <w:gridCol w:w="1027"/>
              <w:gridCol w:w="1484"/>
              <w:gridCol w:w="1324"/>
              <w:gridCol w:w="1557"/>
            </w:tblGrid>
            <w:tr w14:paraId="494126D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92" w:type="pct"/>
                  <w:vMerge w:val="restart"/>
                  <w:tcBorders>
                    <w:tl2br w:val="nil"/>
                    <w:tr2bl w:val="nil"/>
                  </w:tcBorders>
                  <w:noWrap w:val="0"/>
                  <w:vAlign w:val="center"/>
                </w:tcPr>
                <w:p w14:paraId="237056AA">
                  <w:pPr>
                    <w:keepNext w:val="0"/>
                    <w:pageBreakBefore w:val="0"/>
                    <w:overflowPunct/>
                    <w:topLinePunct w:val="0"/>
                    <w:bidi w:val="0"/>
                    <w:adjustRightInd/>
                    <w:snapToGrid/>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产生源</w:t>
                  </w:r>
                </w:p>
              </w:tc>
              <w:tc>
                <w:tcPr>
                  <w:tcW w:w="579" w:type="pct"/>
                  <w:vMerge w:val="restart"/>
                  <w:tcBorders>
                    <w:tl2br w:val="nil"/>
                    <w:tr2bl w:val="nil"/>
                  </w:tcBorders>
                  <w:noWrap w:val="0"/>
                  <w:vAlign w:val="center"/>
                </w:tcPr>
                <w:p w14:paraId="073C3E70">
                  <w:pPr>
                    <w:keepNext w:val="0"/>
                    <w:pageBreakBefore w:val="0"/>
                    <w:overflowPunct/>
                    <w:topLinePunct w:val="0"/>
                    <w:bidi w:val="0"/>
                    <w:adjustRightInd/>
                    <w:snapToGrid/>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生物质用量</w:t>
                  </w:r>
                </w:p>
              </w:tc>
              <w:tc>
                <w:tcPr>
                  <w:tcW w:w="539" w:type="pct"/>
                  <w:vMerge w:val="restart"/>
                  <w:tcBorders>
                    <w:tl2br w:val="nil"/>
                    <w:tr2bl w:val="nil"/>
                  </w:tcBorders>
                  <w:noWrap w:val="0"/>
                  <w:vAlign w:val="center"/>
                </w:tcPr>
                <w:p w14:paraId="7CC5A295">
                  <w:pPr>
                    <w:keepNext w:val="0"/>
                    <w:pageBreakBefore w:val="0"/>
                    <w:overflowPunct/>
                    <w:topLinePunct w:val="0"/>
                    <w:bidi w:val="0"/>
                    <w:adjustRightInd/>
                    <w:snapToGrid/>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污染物名称</w:t>
                  </w:r>
                </w:p>
              </w:tc>
              <w:tc>
                <w:tcPr>
                  <w:tcW w:w="626" w:type="pct"/>
                  <w:vMerge w:val="restart"/>
                  <w:tcBorders>
                    <w:tl2br w:val="nil"/>
                    <w:tr2bl w:val="nil"/>
                  </w:tcBorders>
                  <w:noWrap w:val="0"/>
                  <w:vAlign w:val="center"/>
                </w:tcPr>
                <w:p w14:paraId="213BC726">
                  <w:pPr>
                    <w:keepNext w:val="0"/>
                    <w:pageBreakBefore w:val="0"/>
                    <w:overflowPunct/>
                    <w:topLinePunct w:val="0"/>
                    <w:bidi w:val="0"/>
                    <w:adjustRightInd/>
                    <w:snapToGrid/>
                    <w:jc w:val="center"/>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cs="Times New Roman"/>
                      <w:b/>
                      <w:bCs/>
                      <w:color w:val="000000" w:themeColor="text1"/>
                      <w:sz w:val="21"/>
                      <w:szCs w:val="21"/>
                      <w:lang w:eastAsia="zh-CN"/>
                      <w14:textFill>
                        <w14:solidFill>
                          <w14:schemeClr w14:val="tx1"/>
                        </w14:solidFill>
                      </w14:textFill>
                    </w:rPr>
                    <w:t>产生量</w:t>
                  </w:r>
                </w:p>
              </w:tc>
              <w:tc>
                <w:tcPr>
                  <w:tcW w:w="2661" w:type="pct"/>
                  <w:gridSpan w:val="3"/>
                  <w:tcBorders>
                    <w:tl2br w:val="nil"/>
                    <w:tr2bl w:val="nil"/>
                  </w:tcBorders>
                  <w:noWrap w:val="0"/>
                  <w:vAlign w:val="center"/>
                </w:tcPr>
                <w:p w14:paraId="0C7C06F6">
                  <w:pPr>
                    <w:keepNext w:val="0"/>
                    <w:pageBreakBefore w:val="0"/>
                    <w:overflowPunct/>
                    <w:topLinePunct w:val="0"/>
                    <w:bidi w:val="0"/>
                    <w:adjustRightInd/>
                    <w:snapToGrid/>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排放情况</w:t>
                  </w:r>
                </w:p>
              </w:tc>
            </w:tr>
            <w:tr w14:paraId="131CAD3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92" w:type="pct"/>
                  <w:vMerge w:val="continue"/>
                  <w:tcBorders>
                    <w:tl2br w:val="nil"/>
                    <w:tr2bl w:val="nil"/>
                  </w:tcBorders>
                  <w:noWrap w:val="0"/>
                  <w:vAlign w:val="center"/>
                </w:tcPr>
                <w:p w14:paraId="72B1D255">
                  <w:pPr>
                    <w:keepNext w:val="0"/>
                    <w:pageBreakBefore w:val="0"/>
                    <w:overflowPunct/>
                    <w:topLinePunct w:val="0"/>
                    <w:bidi w:val="0"/>
                    <w:adjustRightInd/>
                    <w:snapToGrid/>
                    <w:jc w:val="center"/>
                    <w:rPr>
                      <w:rFonts w:hint="default" w:ascii="Times New Roman" w:hAnsi="Times New Roman" w:cs="Times New Roman"/>
                      <w:color w:val="000000" w:themeColor="text1"/>
                      <w:sz w:val="21"/>
                      <w:szCs w:val="21"/>
                      <w14:textFill>
                        <w14:solidFill>
                          <w14:schemeClr w14:val="tx1"/>
                        </w14:solidFill>
                      </w14:textFill>
                    </w:rPr>
                  </w:pPr>
                </w:p>
              </w:tc>
              <w:tc>
                <w:tcPr>
                  <w:tcW w:w="579" w:type="pct"/>
                  <w:vMerge w:val="continue"/>
                  <w:tcBorders>
                    <w:tl2br w:val="nil"/>
                    <w:tr2bl w:val="nil"/>
                  </w:tcBorders>
                  <w:noWrap w:val="0"/>
                  <w:vAlign w:val="center"/>
                </w:tcPr>
                <w:p w14:paraId="3CCAD80D">
                  <w:pPr>
                    <w:keepNext w:val="0"/>
                    <w:pageBreakBefore w:val="0"/>
                    <w:overflowPunct/>
                    <w:topLinePunct w:val="0"/>
                    <w:bidi w:val="0"/>
                    <w:adjustRightInd/>
                    <w:snapToGrid/>
                    <w:jc w:val="center"/>
                    <w:rPr>
                      <w:rFonts w:hint="default" w:ascii="Times New Roman" w:hAnsi="Times New Roman" w:cs="Times New Roman"/>
                      <w:color w:val="000000" w:themeColor="text1"/>
                      <w:sz w:val="21"/>
                      <w:szCs w:val="21"/>
                      <w14:textFill>
                        <w14:solidFill>
                          <w14:schemeClr w14:val="tx1"/>
                        </w14:solidFill>
                      </w14:textFill>
                    </w:rPr>
                  </w:pPr>
                </w:p>
              </w:tc>
              <w:tc>
                <w:tcPr>
                  <w:tcW w:w="539" w:type="pct"/>
                  <w:vMerge w:val="continue"/>
                  <w:tcBorders>
                    <w:tl2br w:val="nil"/>
                    <w:tr2bl w:val="nil"/>
                  </w:tcBorders>
                  <w:noWrap w:val="0"/>
                  <w:vAlign w:val="center"/>
                </w:tcPr>
                <w:p w14:paraId="79317661">
                  <w:pPr>
                    <w:keepNext w:val="0"/>
                    <w:pageBreakBefore w:val="0"/>
                    <w:overflowPunct/>
                    <w:topLinePunct w:val="0"/>
                    <w:bidi w:val="0"/>
                    <w:adjustRightInd/>
                    <w:snapToGrid/>
                    <w:jc w:val="center"/>
                    <w:rPr>
                      <w:rFonts w:hint="default" w:ascii="Times New Roman" w:hAnsi="Times New Roman" w:cs="Times New Roman"/>
                      <w:color w:val="000000" w:themeColor="text1"/>
                      <w:sz w:val="21"/>
                      <w:szCs w:val="21"/>
                      <w14:textFill>
                        <w14:solidFill>
                          <w14:schemeClr w14:val="tx1"/>
                        </w14:solidFill>
                      </w14:textFill>
                    </w:rPr>
                  </w:pPr>
                </w:p>
              </w:tc>
              <w:tc>
                <w:tcPr>
                  <w:tcW w:w="626" w:type="pct"/>
                  <w:vMerge w:val="continue"/>
                  <w:tcBorders>
                    <w:tl2br w:val="nil"/>
                    <w:tr2bl w:val="nil"/>
                  </w:tcBorders>
                  <w:noWrap w:val="0"/>
                  <w:vAlign w:val="center"/>
                </w:tcPr>
                <w:p w14:paraId="3B41847C">
                  <w:pPr>
                    <w:keepNext w:val="0"/>
                    <w:pageBreakBefore w:val="0"/>
                    <w:overflowPunct/>
                    <w:topLinePunct w:val="0"/>
                    <w:bidi w:val="0"/>
                    <w:adjustRightInd/>
                    <w:snapToGrid/>
                    <w:jc w:val="center"/>
                    <w:rPr>
                      <w:rFonts w:hint="default" w:ascii="Times New Roman" w:hAnsi="Times New Roman" w:cs="Times New Roman"/>
                      <w:color w:val="000000" w:themeColor="text1"/>
                      <w:sz w:val="21"/>
                      <w:szCs w:val="21"/>
                      <w14:textFill>
                        <w14:solidFill>
                          <w14:schemeClr w14:val="tx1"/>
                        </w14:solidFill>
                      </w14:textFill>
                    </w:rPr>
                  </w:pPr>
                </w:p>
              </w:tc>
              <w:tc>
                <w:tcPr>
                  <w:tcW w:w="904" w:type="pct"/>
                  <w:tcBorders>
                    <w:tl2br w:val="nil"/>
                    <w:tr2bl w:val="nil"/>
                  </w:tcBorders>
                  <w:noWrap w:val="0"/>
                  <w:vAlign w:val="center"/>
                </w:tcPr>
                <w:p w14:paraId="0DD8F28A">
                  <w:pPr>
                    <w:keepNext w:val="0"/>
                    <w:pageBreakBefore w:val="0"/>
                    <w:overflowPunct/>
                    <w:topLinePunct w:val="0"/>
                    <w:bidi w:val="0"/>
                    <w:adjustRightInd/>
                    <w:snapToGrid/>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排放量t/a</w:t>
                  </w:r>
                </w:p>
              </w:tc>
              <w:tc>
                <w:tcPr>
                  <w:tcW w:w="807" w:type="pct"/>
                  <w:tcBorders>
                    <w:tl2br w:val="nil"/>
                    <w:tr2bl w:val="nil"/>
                  </w:tcBorders>
                  <w:noWrap w:val="0"/>
                  <w:vAlign w:val="center"/>
                </w:tcPr>
                <w:p w14:paraId="2A69A394">
                  <w:pPr>
                    <w:keepNext w:val="0"/>
                    <w:pageBreakBefore w:val="0"/>
                    <w:overflowPunct/>
                    <w:topLinePunct w:val="0"/>
                    <w:bidi w:val="0"/>
                    <w:adjustRightInd/>
                    <w:snapToGrid/>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排放速率kg/h</w:t>
                  </w:r>
                </w:p>
              </w:tc>
              <w:tc>
                <w:tcPr>
                  <w:tcW w:w="949" w:type="pct"/>
                  <w:tcBorders>
                    <w:tl2br w:val="nil"/>
                    <w:tr2bl w:val="nil"/>
                  </w:tcBorders>
                  <w:noWrap w:val="0"/>
                  <w:vAlign w:val="center"/>
                </w:tcPr>
                <w:p w14:paraId="1E93C55D">
                  <w:pPr>
                    <w:keepNext w:val="0"/>
                    <w:pageBreakBefore w:val="0"/>
                    <w:overflowPunct/>
                    <w:topLinePunct w:val="0"/>
                    <w:bidi w:val="0"/>
                    <w:adjustRightInd/>
                    <w:snapToGrid/>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排放浓度mg/m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p>
              </w:tc>
            </w:tr>
            <w:tr w14:paraId="0CD6478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592" w:type="pct"/>
                  <w:vMerge w:val="restart"/>
                  <w:tcBorders>
                    <w:tl2br w:val="nil"/>
                    <w:tr2bl w:val="nil"/>
                  </w:tcBorders>
                  <w:noWrap w:val="0"/>
                  <w:vAlign w:val="center"/>
                </w:tcPr>
                <w:p w14:paraId="288BF955">
                  <w:pPr>
                    <w:keepNext w:val="0"/>
                    <w:pageBreakBefore w:val="0"/>
                    <w:overflowPunct/>
                    <w:topLinePunct w:val="0"/>
                    <w:bidi w:val="0"/>
                    <w:adjustRightInd/>
                    <w:snapToGrid/>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锅炉燃料燃烧废气</w:t>
                  </w:r>
                </w:p>
              </w:tc>
              <w:tc>
                <w:tcPr>
                  <w:tcW w:w="579" w:type="pct"/>
                  <w:vMerge w:val="restart"/>
                  <w:tcBorders>
                    <w:tl2br w:val="nil"/>
                    <w:tr2bl w:val="nil"/>
                  </w:tcBorders>
                  <w:noWrap w:val="0"/>
                  <w:vAlign w:val="center"/>
                </w:tcPr>
                <w:p w14:paraId="3DEF1C7B">
                  <w:pPr>
                    <w:keepNext w:val="0"/>
                    <w:pageBreakBefore w:val="0"/>
                    <w:overflowPunct/>
                    <w:topLinePunct w:val="0"/>
                    <w:bidi w:val="0"/>
                    <w:adjustRightInd/>
                    <w:snapToGrid/>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w:t>
                  </w:r>
                  <w:r>
                    <w:rPr>
                      <w:rFonts w:hint="eastAsia" w:cs="Times New Roman"/>
                      <w:color w:val="000000" w:themeColor="text1"/>
                      <w:sz w:val="21"/>
                      <w:szCs w:val="21"/>
                      <w:lang w:val="en-US" w:eastAsia="zh-CN"/>
                      <w14:textFill>
                        <w14:solidFill>
                          <w14:schemeClr w14:val="tx1"/>
                        </w14:solidFill>
                      </w14:textFill>
                    </w:rPr>
                    <w:t>71.435</w:t>
                  </w:r>
                  <w:r>
                    <w:rPr>
                      <w:rFonts w:hint="eastAsia" w:ascii="Times New Roman" w:hAnsi="Times New Roman" w:cs="Times New Roman"/>
                      <w:color w:val="000000" w:themeColor="text1"/>
                      <w:sz w:val="21"/>
                      <w:szCs w:val="21"/>
                      <w:lang w:val="en-US" w:eastAsia="zh-CN"/>
                      <w14:textFill>
                        <w14:solidFill>
                          <w14:schemeClr w14:val="tx1"/>
                        </w14:solidFill>
                      </w14:textFill>
                    </w:rPr>
                    <w:t>t</w:t>
                  </w:r>
                  <w:r>
                    <w:rPr>
                      <w:rFonts w:hint="default" w:ascii="Times New Roman" w:hAnsi="Times New Roman" w:cs="Times New Roman"/>
                      <w:color w:val="000000" w:themeColor="text1"/>
                      <w:sz w:val="21"/>
                      <w:szCs w:val="21"/>
                      <w14:textFill>
                        <w14:solidFill>
                          <w14:schemeClr w14:val="tx1"/>
                        </w14:solidFill>
                      </w14:textFill>
                    </w:rPr>
                    <w:t>/a</w:t>
                  </w:r>
                </w:p>
              </w:tc>
              <w:tc>
                <w:tcPr>
                  <w:tcW w:w="539" w:type="pct"/>
                  <w:tcBorders>
                    <w:tl2br w:val="nil"/>
                    <w:tr2bl w:val="nil"/>
                  </w:tcBorders>
                  <w:noWrap w:val="0"/>
                  <w:vAlign w:val="center"/>
                </w:tcPr>
                <w:p w14:paraId="6055A8FE">
                  <w:pPr>
                    <w:keepNext w:val="0"/>
                    <w:pageBreakBefore w:val="0"/>
                    <w:overflowPunct/>
                    <w:topLinePunct w:val="0"/>
                    <w:bidi w:val="0"/>
                    <w:adjustRightInd/>
                    <w:snapToGrid/>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废气量</w:t>
                  </w:r>
                </w:p>
              </w:tc>
              <w:tc>
                <w:tcPr>
                  <w:tcW w:w="3288" w:type="pct"/>
                  <w:gridSpan w:val="4"/>
                  <w:tcBorders>
                    <w:tl2br w:val="nil"/>
                    <w:tr2bl w:val="nil"/>
                  </w:tcBorders>
                  <w:noWrap w:val="0"/>
                  <w:vAlign w:val="center"/>
                </w:tcPr>
                <w:p w14:paraId="1D9A28F0">
                  <w:pPr>
                    <w:keepNext w:val="0"/>
                    <w:pageBreakBefore w:val="0"/>
                    <w:overflowPunct/>
                    <w:topLinePunct w:val="0"/>
                    <w:bidi w:val="0"/>
                    <w:adjustRightInd/>
                    <w:snapToGrid/>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695.1873</w:t>
                  </w:r>
                  <w:r>
                    <w:rPr>
                      <w:rFonts w:hint="eastAsia" w:eastAsia="宋体" w:cs="Times New Roman"/>
                      <w:color w:val="000000" w:themeColor="text1"/>
                      <w:kern w:val="0"/>
                      <w:sz w:val="21"/>
                      <w:szCs w:val="21"/>
                      <w:lang w:val="en-US" w:eastAsia="zh-CN" w:bidi="ar"/>
                      <w14:textFill>
                        <w14:solidFill>
                          <w14:schemeClr w14:val="tx1"/>
                        </w14:solidFill>
                      </w14:textFill>
                    </w:rPr>
                    <w:t>万</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Nm³/a</w:t>
                  </w:r>
                  <w:r>
                    <w:rPr>
                      <w:rFonts w:hint="eastAsia" w:eastAsia="宋体"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即</w:t>
                  </w:r>
                  <w:r>
                    <w:rPr>
                      <w:rFonts w:hint="eastAsia" w:cs="Times New Roman"/>
                      <w:color w:val="000000" w:themeColor="text1"/>
                      <w:kern w:val="0"/>
                      <w:sz w:val="21"/>
                      <w:szCs w:val="21"/>
                      <w:lang w:val="en-US" w:eastAsia="zh-CN" w:bidi="ar"/>
                      <w14:textFill>
                        <w14:solidFill>
                          <w14:schemeClr w14:val="tx1"/>
                        </w14:solidFill>
                      </w14:textFill>
                    </w:rPr>
                    <w:t>3183.092</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/h</w:t>
                  </w:r>
                </w:p>
              </w:tc>
            </w:tr>
            <w:tr w14:paraId="5EABBE0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592" w:type="pct"/>
                  <w:vMerge w:val="continue"/>
                  <w:tcBorders>
                    <w:tl2br w:val="nil"/>
                    <w:tr2bl w:val="nil"/>
                  </w:tcBorders>
                  <w:noWrap w:val="0"/>
                  <w:vAlign w:val="center"/>
                </w:tcPr>
                <w:p w14:paraId="6B94B95E">
                  <w:pPr>
                    <w:keepNext w:val="0"/>
                    <w:pageBreakBefore w:val="0"/>
                    <w:overflowPunct/>
                    <w:topLinePunct w:val="0"/>
                    <w:bidi w:val="0"/>
                    <w:adjustRightInd/>
                    <w:snapToGrid/>
                    <w:jc w:val="center"/>
                    <w:rPr>
                      <w:rFonts w:hint="default" w:ascii="Times New Roman" w:hAnsi="Times New Roman" w:cs="Times New Roman"/>
                      <w:color w:val="000000" w:themeColor="text1"/>
                      <w:sz w:val="21"/>
                      <w:szCs w:val="21"/>
                      <w14:textFill>
                        <w14:solidFill>
                          <w14:schemeClr w14:val="tx1"/>
                        </w14:solidFill>
                      </w14:textFill>
                    </w:rPr>
                  </w:pPr>
                </w:p>
              </w:tc>
              <w:tc>
                <w:tcPr>
                  <w:tcW w:w="579" w:type="pct"/>
                  <w:vMerge w:val="continue"/>
                  <w:tcBorders>
                    <w:tl2br w:val="nil"/>
                    <w:tr2bl w:val="nil"/>
                  </w:tcBorders>
                  <w:noWrap w:val="0"/>
                  <w:vAlign w:val="center"/>
                </w:tcPr>
                <w:p w14:paraId="3508A5C1">
                  <w:pPr>
                    <w:keepNext w:val="0"/>
                    <w:pageBreakBefore w:val="0"/>
                    <w:overflowPunct/>
                    <w:topLinePunct w:val="0"/>
                    <w:bidi w:val="0"/>
                    <w:adjustRightInd/>
                    <w:snapToGrid/>
                    <w:jc w:val="center"/>
                    <w:rPr>
                      <w:rFonts w:hint="default" w:ascii="Times New Roman" w:hAnsi="Times New Roman" w:cs="Times New Roman"/>
                      <w:color w:val="000000" w:themeColor="text1"/>
                      <w:sz w:val="21"/>
                      <w:szCs w:val="21"/>
                      <w14:textFill>
                        <w14:solidFill>
                          <w14:schemeClr w14:val="tx1"/>
                        </w14:solidFill>
                      </w14:textFill>
                    </w:rPr>
                  </w:pPr>
                </w:p>
              </w:tc>
              <w:tc>
                <w:tcPr>
                  <w:tcW w:w="539" w:type="pct"/>
                  <w:tcBorders>
                    <w:tl2br w:val="nil"/>
                    <w:tr2bl w:val="nil"/>
                  </w:tcBorders>
                  <w:noWrap w:val="0"/>
                  <w:vAlign w:val="center"/>
                </w:tcPr>
                <w:p w14:paraId="6EE4513E">
                  <w:pPr>
                    <w:keepNext w:val="0"/>
                    <w:pageBreakBefore w:val="0"/>
                    <w:overflowPunct/>
                    <w:topLinePunct w:val="0"/>
                    <w:bidi w:val="0"/>
                    <w:adjustRightInd/>
                    <w:snapToGrid/>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颗粒物</w:t>
                  </w:r>
                </w:p>
              </w:tc>
              <w:tc>
                <w:tcPr>
                  <w:tcW w:w="626" w:type="pct"/>
                  <w:tcBorders>
                    <w:tl2br w:val="nil"/>
                    <w:tr2bl w:val="nil"/>
                  </w:tcBorders>
                  <w:noWrap w:val="0"/>
                  <w:vAlign w:val="center"/>
                </w:tcPr>
                <w:p w14:paraId="43923039">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4.9</w:t>
                  </w:r>
                  <w:r>
                    <w:rPr>
                      <w:rFonts w:hint="eastAsia" w:cs="Times New Roman"/>
                      <w:color w:val="000000" w:themeColor="text1"/>
                      <w:sz w:val="21"/>
                      <w:szCs w:val="21"/>
                      <w:lang w:val="en-US" w:eastAsia="zh-CN"/>
                      <w14:textFill>
                        <w14:solidFill>
                          <w14:schemeClr w14:val="tx1"/>
                        </w14:solidFill>
                      </w14:textFill>
                    </w:rPr>
                    <w:t>415</w:t>
                  </w:r>
                </w:p>
              </w:tc>
              <w:tc>
                <w:tcPr>
                  <w:tcW w:w="904" w:type="pct"/>
                  <w:tcBorders>
                    <w:tl2br w:val="nil"/>
                    <w:tr2bl w:val="nil"/>
                  </w:tcBorders>
                  <w:noWrap w:val="0"/>
                  <w:vAlign w:val="center"/>
                </w:tcPr>
                <w:p w14:paraId="6550BAA7">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0.049</w:t>
                  </w:r>
                  <w:r>
                    <w:rPr>
                      <w:rFonts w:hint="eastAsia" w:cs="Times New Roman"/>
                      <w:color w:val="000000" w:themeColor="text1"/>
                      <w:sz w:val="21"/>
                      <w:szCs w:val="21"/>
                      <w:lang w:val="en-US" w:eastAsia="zh-CN"/>
                      <w14:textFill>
                        <w14:solidFill>
                          <w14:schemeClr w14:val="tx1"/>
                        </w14:solidFill>
                      </w14:textFill>
                    </w:rPr>
                    <w:t>4</w:t>
                  </w:r>
                </w:p>
              </w:tc>
              <w:tc>
                <w:tcPr>
                  <w:tcW w:w="807" w:type="pct"/>
                  <w:tcBorders>
                    <w:tl2br w:val="nil"/>
                    <w:tr2bl w:val="nil"/>
                  </w:tcBorders>
                  <w:noWrap w:val="0"/>
                  <w:vAlign w:val="center"/>
                </w:tcPr>
                <w:p w14:paraId="579F4CB8">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0.0226</w:t>
                  </w:r>
                </w:p>
              </w:tc>
              <w:tc>
                <w:tcPr>
                  <w:tcW w:w="949" w:type="pct"/>
                  <w:tcBorders>
                    <w:tl2br w:val="nil"/>
                    <w:tr2bl w:val="nil"/>
                  </w:tcBorders>
                  <w:noWrap w:val="0"/>
                  <w:vAlign w:val="center"/>
                </w:tcPr>
                <w:p w14:paraId="2EBEFDE1">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7.10</w:t>
                  </w:r>
                </w:p>
              </w:tc>
            </w:tr>
            <w:tr w14:paraId="432FBBF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2" w:type="pct"/>
                  <w:vMerge w:val="continue"/>
                  <w:tcBorders>
                    <w:tl2br w:val="nil"/>
                    <w:tr2bl w:val="nil"/>
                  </w:tcBorders>
                  <w:noWrap w:val="0"/>
                  <w:vAlign w:val="center"/>
                </w:tcPr>
                <w:p w14:paraId="490CF337">
                  <w:pPr>
                    <w:keepNext w:val="0"/>
                    <w:pageBreakBefore w:val="0"/>
                    <w:overflowPunct/>
                    <w:topLinePunct w:val="0"/>
                    <w:bidi w:val="0"/>
                    <w:adjustRightInd/>
                    <w:snapToGrid/>
                    <w:jc w:val="center"/>
                    <w:rPr>
                      <w:rFonts w:hint="default" w:ascii="Times New Roman" w:hAnsi="Times New Roman" w:cs="Times New Roman"/>
                      <w:color w:val="000000" w:themeColor="text1"/>
                      <w:sz w:val="21"/>
                      <w:szCs w:val="21"/>
                      <w14:textFill>
                        <w14:solidFill>
                          <w14:schemeClr w14:val="tx1"/>
                        </w14:solidFill>
                      </w14:textFill>
                    </w:rPr>
                  </w:pPr>
                </w:p>
              </w:tc>
              <w:tc>
                <w:tcPr>
                  <w:tcW w:w="579" w:type="pct"/>
                  <w:vMerge w:val="continue"/>
                  <w:tcBorders>
                    <w:tl2br w:val="nil"/>
                    <w:tr2bl w:val="nil"/>
                  </w:tcBorders>
                  <w:noWrap w:val="0"/>
                  <w:vAlign w:val="center"/>
                </w:tcPr>
                <w:p w14:paraId="51BE16C2">
                  <w:pPr>
                    <w:keepNext w:val="0"/>
                    <w:pageBreakBefore w:val="0"/>
                    <w:overflowPunct/>
                    <w:topLinePunct w:val="0"/>
                    <w:bidi w:val="0"/>
                    <w:adjustRightInd/>
                    <w:snapToGrid/>
                    <w:jc w:val="center"/>
                    <w:rPr>
                      <w:rFonts w:hint="default" w:ascii="Times New Roman" w:hAnsi="Times New Roman" w:cs="Times New Roman"/>
                      <w:color w:val="000000" w:themeColor="text1"/>
                      <w:sz w:val="21"/>
                      <w:szCs w:val="21"/>
                      <w14:textFill>
                        <w14:solidFill>
                          <w14:schemeClr w14:val="tx1"/>
                        </w14:solidFill>
                      </w14:textFill>
                    </w:rPr>
                  </w:pPr>
                </w:p>
              </w:tc>
              <w:tc>
                <w:tcPr>
                  <w:tcW w:w="539" w:type="pct"/>
                  <w:tcBorders>
                    <w:tl2br w:val="nil"/>
                    <w:tr2bl w:val="nil"/>
                  </w:tcBorders>
                  <w:noWrap w:val="0"/>
                  <w:vAlign w:val="center"/>
                </w:tcPr>
                <w:p w14:paraId="7F50F501">
                  <w:pPr>
                    <w:keepNext w:val="0"/>
                    <w:pageBreakBefore w:val="0"/>
                    <w:overflowPunct/>
                    <w:topLinePunct w:val="0"/>
                    <w:bidi w:val="0"/>
                    <w:adjustRightInd/>
                    <w:snapToGrid/>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2</w:t>
                  </w:r>
                </w:p>
              </w:tc>
              <w:tc>
                <w:tcPr>
                  <w:tcW w:w="626" w:type="pct"/>
                  <w:tcBorders>
                    <w:tl2br w:val="nil"/>
                    <w:tr2bl w:val="nil"/>
                  </w:tcBorders>
                  <w:noWrap w:val="0"/>
                  <w:vAlign w:val="center"/>
                </w:tcPr>
                <w:p w14:paraId="27087A05">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w:t>
                  </w:r>
                  <w:r>
                    <w:rPr>
                      <w:rFonts w:hint="eastAsia" w:cs="Times New Roman"/>
                      <w:color w:val="000000" w:themeColor="text1"/>
                      <w:sz w:val="21"/>
                      <w:szCs w:val="21"/>
                      <w:lang w:val="en-US" w:eastAsia="zh-CN"/>
                      <w14:textFill>
                        <w14:solidFill>
                          <w14:schemeClr w14:val="tx1"/>
                        </w14:solidFill>
                      </w14:textFill>
                    </w:rPr>
                    <w:t>104</w:t>
                  </w:r>
                </w:p>
              </w:tc>
              <w:tc>
                <w:tcPr>
                  <w:tcW w:w="904" w:type="pct"/>
                  <w:tcBorders>
                    <w:tl2br w:val="nil"/>
                    <w:tr2bl w:val="nil"/>
                  </w:tcBorders>
                  <w:noWrap w:val="0"/>
                  <w:vAlign w:val="center"/>
                </w:tcPr>
                <w:p w14:paraId="388A8F3D">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w:t>
                  </w:r>
                  <w:r>
                    <w:rPr>
                      <w:rFonts w:hint="eastAsia" w:cs="Times New Roman"/>
                      <w:color w:val="000000" w:themeColor="text1"/>
                      <w:sz w:val="21"/>
                      <w:szCs w:val="21"/>
                      <w:lang w:val="en-US" w:eastAsia="zh-CN"/>
                      <w14:textFill>
                        <w14:solidFill>
                          <w14:schemeClr w14:val="tx1"/>
                        </w14:solidFill>
                      </w14:textFill>
                    </w:rPr>
                    <w:t>104</w:t>
                  </w:r>
                </w:p>
              </w:tc>
              <w:tc>
                <w:tcPr>
                  <w:tcW w:w="807" w:type="pct"/>
                  <w:tcBorders>
                    <w:tl2br w:val="nil"/>
                    <w:tr2bl w:val="nil"/>
                  </w:tcBorders>
                  <w:noWrap w:val="0"/>
                  <w:vAlign w:val="center"/>
                </w:tcPr>
                <w:p w14:paraId="57C9B0A5">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0.0963</w:t>
                  </w:r>
                </w:p>
              </w:tc>
              <w:tc>
                <w:tcPr>
                  <w:tcW w:w="949" w:type="pct"/>
                  <w:tcBorders>
                    <w:tl2br w:val="nil"/>
                    <w:tr2bl w:val="nil"/>
                  </w:tcBorders>
                  <w:noWrap w:val="0"/>
                  <w:vAlign w:val="center"/>
                </w:tcPr>
                <w:p w14:paraId="42C75864">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30.245</w:t>
                  </w:r>
                </w:p>
              </w:tc>
            </w:tr>
            <w:tr w14:paraId="5B53437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592" w:type="pct"/>
                  <w:vMerge w:val="continue"/>
                  <w:tcBorders>
                    <w:tl2br w:val="nil"/>
                    <w:tr2bl w:val="nil"/>
                  </w:tcBorders>
                  <w:noWrap w:val="0"/>
                  <w:vAlign w:val="center"/>
                </w:tcPr>
                <w:p w14:paraId="4C88951F">
                  <w:pPr>
                    <w:keepNext w:val="0"/>
                    <w:pageBreakBefore w:val="0"/>
                    <w:overflowPunct/>
                    <w:topLinePunct w:val="0"/>
                    <w:bidi w:val="0"/>
                    <w:adjustRightInd/>
                    <w:snapToGrid/>
                    <w:jc w:val="center"/>
                    <w:rPr>
                      <w:rFonts w:hint="default" w:ascii="Times New Roman" w:hAnsi="Times New Roman" w:cs="Times New Roman"/>
                      <w:color w:val="000000" w:themeColor="text1"/>
                      <w:sz w:val="21"/>
                      <w:szCs w:val="21"/>
                      <w14:textFill>
                        <w14:solidFill>
                          <w14:schemeClr w14:val="tx1"/>
                        </w14:solidFill>
                      </w14:textFill>
                    </w:rPr>
                  </w:pPr>
                </w:p>
              </w:tc>
              <w:tc>
                <w:tcPr>
                  <w:tcW w:w="579" w:type="pct"/>
                  <w:vMerge w:val="continue"/>
                  <w:tcBorders>
                    <w:tl2br w:val="nil"/>
                    <w:tr2bl w:val="nil"/>
                  </w:tcBorders>
                  <w:noWrap w:val="0"/>
                  <w:vAlign w:val="center"/>
                </w:tcPr>
                <w:p w14:paraId="31636D30">
                  <w:pPr>
                    <w:keepNext w:val="0"/>
                    <w:pageBreakBefore w:val="0"/>
                    <w:overflowPunct/>
                    <w:topLinePunct w:val="0"/>
                    <w:bidi w:val="0"/>
                    <w:adjustRightInd/>
                    <w:snapToGrid/>
                    <w:jc w:val="center"/>
                    <w:rPr>
                      <w:rFonts w:hint="default" w:ascii="Times New Roman" w:hAnsi="Times New Roman" w:cs="Times New Roman"/>
                      <w:color w:val="000000" w:themeColor="text1"/>
                      <w:sz w:val="21"/>
                      <w:szCs w:val="21"/>
                      <w14:textFill>
                        <w14:solidFill>
                          <w14:schemeClr w14:val="tx1"/>
                        </w14:solidFill>
                      </w14:textFill>
                    </w:rPr>
                  </w:pPr>
                </w:p>
              </w:tc>
              <w:tc>
                <w:tcPr>
                  <w:tcW w:w="539" w:type="pct"/>
                  <w:tcBorders>
                    <w:tl2br w:val="nil"/>
                    <w:tr2bl w:val="nil"/>
                  </w:tcBorders>
                  <w:noWrap w:val="0"/>
                  <w:vAlign w:val="center"/>
                </w:tcPr>
                <w:p w14:paraId="7C1E910C">
                  <w:pPr>
                    <w:keepNext w:val="0"/>
                    <w:pageBreakBefore w:val="0"/>
                    <w:overflowPunct/>
                    <w:topLinePunct w:val="0"/>
                    <w:bidi w:val="0"/>
                    <w:adjustRightInd/>
                    <w:snapToGrid/>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NO</w:t>
                  </w:r>
                  <w:r>
                    <w:rPr>
                      <w:rFonts w:hint="default" w:ascii="Times New Roman" w:hAnsi="Times New Roman" w:cs="Times New Roman"/>
                      <w:bCs/>
                      <w:color w:val="000000" w:themeColor="text1"/>
                      <w:sz w:val="21"/>
                      <w:szCs w:val="21"/>
                      <w:vertAlign w:val="subscript"/>
                      <w14:textFill>
                        <w14:solidFill>
                          <w14:schemeClr w14:val="tx1"/>
                        </w14:solidFill>
                      </w14:textFill>
                    </w:rPr>
                    <w:t>X</w:t>
                  </w:r>
                </w:p>
              </w:tc>
              <w:tc>
                <w:tcPr>
                  <w:tcW w:w="626" w:type="pct"/>
                  <w:tcBorders>
                    <w:tl2br w:val="nil"/>
                    <w:tr2bl w:val="nil"/>
                  </w:tcBorders>
                  <w:noWrap w:val="0"/>
                  <w:vAlign w:val="center"/>
                </w:tcPr>
                <w:p w14:paraId="7911A786">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w:t>
                  </w:r>
                  <w:r>
                    <w:rPr>
                      <w:rFonts w:hint="eastAsia" w:cs="Times New Roman"/>
                      <w:color w:val="000000" w:themeColor="text1"/>
                      <w:sz w:val="21"/>
                      <w:szCs w:val="21"/>
                      <w:lang w:val="en-US" w:eastAsia="zh-CN"/>
                      <w14:textFill>
                        <w14:solidFill>
                          <w14:schemeClr w14:val="tx1"/>
                        </w14:solidFill>
                      </w14:textFill>
                    </w:rPr>
                    <w:t>904</w:t>
                  </w:r>
                </w:p>
              </w:tc>
              <w:tc>
                <w:tcPr>
                  <w:tcW w:w="904" w:type="pct"/>
                  <w:tcBorders>
                    <w:tl2br w:val="nil"/>
                    <w:tr2bl w:val="nil"/>
                  </w:tcBorders>
                  <w:noWrap w:val="0"/>
                  <w:vAlign w:val="center"/>
                </w:tcPr>
                <w:p w14:paraId="662CFBD0">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9733</w:t>
                  </w:r>
                </w:p>
              </w:tc>
              <w:tc>
                <w:tcPr>
                  <w:tcW w:w="807" w:type="pct"/>
                  <w:tcBorders>
                    <w:tl2br w:val="nil"/>
                    <w:tr2bl w:val="nil"/>
                  </w:tcBorders>
                  <w:noWrap w:val="0"/>
                  <w:vAlign w:val="center"/>
                </w:tcPr>
                <w:p w14:paraId="68E761F4">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0.4457</w:t>
                  </w:r>
                </w:p>
              </w:tc>
              <w:tc>
                <w:tcPr>
                  <w:tcW w:w="949" w:type="pct"/>
                  <w:tcBorders>
                    <w:tl2br w:val="nil"/>
                    <w:tr2bl w:val="nil"/>
                  </w:tcBorders>
                  <w:noWrap w:val="0"/>
                  <w:vAlign w:val="center"/>
                </w:tcPr>
                <w:p w14:paraId="1AE9A8CB">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140.02</w:t>
                  </w:r>
                </w:p>
              </w:tc>
            </w:tr>
          </w:tbl>
          <w:p w14:paraId="2DD2A1D8">
            <w:pPr>
              <w:adjustRightInd w:val="0"/>
              <w:snapToGrid w:val="0"/>
              <w:spacing w:line="360" w:lineRule="auto"/>
              <w:ind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2</w:t>
            </w:r>
            <w:r>
              <w:rPr>
                <w:rFonts w:hint="eastAsia" w:ascii="Times New Roman" w:hAnsi="Times New Roman" w:eastAsia="宋体" w:cs="Times New Roman"/>
                <w:b/>
                <w:bCs/>
                <w:color w:val="000000" w:themeColor="text1"/>
                <w:sz w:val="24"/>
                <w:lang w:eastAsia="zh-CN"/>
                <w14:textFill>
                  <w14:solidFill>
                    <w14:schemeClr w14:val="tx1"/>
                  </w14:solidFill>
                </w14:textFill>
              </w:rPr>
              <w:t>）有机废气</w:t>
            </w:r>
          </w:p>
          <w:p w14:paraId="0CB02EA9">
            <w:pPr>
              <w:pageBreakBefore w:val="0"/>
              <w:kinsoku/>
              <w:overflowPunct/>
              <w:topLinePunct w:val="0"/>
              <w:bidi w:val="0"/>
              <w:adjustRightInd w:val="0"/>
              <w:snapToGrid w:val="0"/>
              <w:spacing w:line="360" w:lineRule="auto"/>
              <w:ind w:left="0" w:leftChars="0" w:right="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本次为</w:t>
            </w:r>
            <w:r>
              <w:rPr>
                <w:rFonts w:hint="eastAsia"/>
                <w:color w:val="000000" w:themeColor="text1"/>
                <w:sz w:val="24"/>
                <w:lang w:val="en-US" w:eastAsia="zh-CN"/>
                <w14:textFill>
                  <w14:solidFill>
                    <w14:schemeClr w14:val="tx1"/>
                  </w14:solidFill>
                </w14:textFill>
              </w:rPr>
              <w:t>锅炉以及环保设施技改项目</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本项目的建设不涉及现有生产线的生产工艺、产品方案、生产规模等变动。</w:t>
            </w:r>
          </w:p>
          <w:p w14:paraId="4924768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cs="Times New Roman"/>
                <w:bCs/>
                <w:color w:val="000000" w:themeColor="text1"/>
                <w:spacing w:val="0"/>
                <w:w w:val="100"/>
                <w:sz w:val="24"/>
                <w:szCs w:val="24"/>
                <w:lang w:val="en-US" w:eastAsia="zh-CN"/>
                <w14:textFill>
                  <w14:solidFill>
                    <w14:schemeClr w14:val="tx1"/>
                  </w14:solidFill>
                </w14:textFill>
              </w:rPr>
            </w:pPr>
            <w:r>
              <w:rPr>
                <w:rFonts w:hint="default" w:ascii="Times New Roman" w:hAnsi="Times New Roman" w:cs="Times New Roman"/>
                <w:bCs/>
                <w:color w:val="000000" w:themeColor="text1"/>
                <w:spacing w:val="0"/>
                <w:w w:val="100"/>
                <w:sz w:val="24"/>
                <w:szCs w:val="24"/>
                <w:lang w:val="en-US" w:eastAsia="zh-CN"/>
                <w14:textFill>
                  <w14:solidFill>
                    <w14:schemeClr w14:val="tx1"/>
                  </w14:solidFill>
                </w14:textFill>
              </w:rPr>
              <w:t>本项目的发泡工序、</w:t>
            </w:r>
            <w:r>
              <w:rPr>
                <w:rFonts w:hint="eastAsia" w:cs="Times New Roman"/>
                <w:b w:val="0"/>
                <w:bCs/>
                <w:color w:val="000000" w:themeColor="text1"/>
                <w:spacing w:val="0"/>
                <w:w w:val="100"/>
                <w:sz w:val="24"/>
                <w:szCs w:val="24"/>
                <w:lang w:val="en-US" w:eastAsia="zh-CN"/>
                <w14:textFill>
                  <w14:solidFill>
                    <w14:schemeClr w14:val="tx1"/>
                  </w14:solidFill>
                </w14:textFill>
              </w:rPr>
              <w:t>流化干燥</w:t>
            </w:r>
            <w:r>
              <w:rPr>
                <w:rFonts w:hint="default" w:ascii="Times New Roman" w:hAnsi="Times New Roman" w:cs="Times New Roman"/>
                <w:bCs/>
                <w:color w:val="000000" w:themeColor="text1"/>
                <w:spacing w:val="0"/>
                <w:w w:val="100"/>
                <w:sz w:val="24"/>
                <w:szCs w:val="24"/>
                <w:lang w:val="en-US" w:eastAsia="zh-CN"/>
                <w14:textFill>
                  <w14:solidFill>
                    <w14:schemeClr w14:val="tx1"/>
                  </w14:solidFill>
                </w14:textFill>
              </w:rPr>
              <w:t>工序、成型工序</w:t>
            </w:r>
            <w:r>
              <w:rPr>
                <w:rFonts w:hint="eastAsia" w:cs="Times New Roman"/>
                <w:bCs/>
                <w:color w:val="000000" w:themeColor="text1"/>
                <w:spacing w:val="0"/>
                <w:w w:val="100"/>
                <w:sz w:val="24"/>
                <w:szCs w:val="24"/>
                <w:lang w:val="en-US" w:eastAsia="zh-CN"/>
                <w14:textFill>
                  <w14:solidFill>
                    <w14:schemeClr w14:val="tx1"/>
                  </w14:solidFill>
                </w14:textFill>
              </w:rPr>
              <w:t>、</w:t>
            </w:r>
            <w:r>
              <w:rPr>
                <w:rFonts w:hint="default" w:ascii="Times New Roman" w:hAnsi="Times New Roman" w:cs="Times New Roman"/>
                <w:bCs/>
                <w:color w:val="000000" w:themeColor="text1"/>
                <w:spacing w:val="0"/>
                <w:w w:val="100"/>
                <w:sz w:val="24"/>
                <w:szCs w:val="24"/>
                <w:lang w:val="en-US" w:eastAsia="zh-CN"/>
                <w14:textFill>
                  <w14:solidFill>
                    <w14:schemeClr w14:val="tx1"/>
                  </w14:solidFill>
                </w14:textFill>
              </w:rPr>
              <w:t>烘干工序均</w:t>
            </w:r>
            <w:r>
              <w:rPr>
                <w:rFonts w:hint="eastAsia" w:cs="Times New Roman"/>
                <w:bCs/>
                <w:color w:val="000000" w:themeColor="text1"/>
                <w:spacing w:val="0"/>
                <w:w w:val="100"/>
                <w:sz w:val="24"/>
                <w:szCs w:val="24"/>
                <w:lang w:val="en-US" w:eastAsia="zh-CN"/>
                <w14:textFill>
                  <w14:solidFill>
                    <w14:schemeClr w14:val="tx1"/>
                  </w14:solidFill>
                </w14:textFill>
              </w:rPr>
              <w:t>及切割工序</w:t>
            </w:r>
            <w:r>
              <w:rPr>
                <w:rFonts w:hint="default" w:ascii="Times New Roman" w:hAnsi="Times New Roman" w:cs="Times New Roman"/>
                <w:bCs/>
                <w:color w:val="000000" w:themeColor="text1"/>
                <w:spacing w:val="0"/>
                <w:w w:val="100"/>
                <w:sz w:val="24"/>
                <w:szCs w:val="24"/>
                <w:lang w:val="en-US" w:eastAsia="zh-CN"/>
                <w14:textFill>
                  <w14:solidFill>
                    <w14:schemeClr w14:val="tx1"/>
                  </w14:solidFill>
                </w14:textFill>
              </w:rPr>
              <w:t>会产生非甲烷总烃，主要在</w:t>
            </w:r>
            <w:r>
              <w:rPr>
                <w:rFonts w:hint="eastAsia" w:cs="Times New Roman"/>
                <w:bCs/>
                <w:color w:val="000000" w:themeColor="text1"/>
                <w:spacing w:val="0"/>
                <w:w w:val="100"/>
                <w:sz w:val="24"/>
                <w:szCs w:val="24"/>
                <w:lang w:val="en-US" w:eastAsia="zh-CN"/>
                <w14:textFill>
                  <w14:solidFill>
                    <w14:schemeClr w14:val="tx1"/>
                  </w14:solidFill>
                </w14:textFill>
              </w:rPr>
              <w:t>发泡工序和成型工序中产生。</w:t>
            </w:r>
            <w:r>
              <w:rPr>
                <w:rFonts w:hint="eastAsia" w:ascii="Times New Roman" w:hAnsi="Times New Roman" w:cs="Times New Roman"/>
                <w:bCs/>
                <w:color w:val="000000" w:themeColor="text1"/>
                <w:spacing w:val="0"/>
                <w:w w:val="100"/>
                <w:sz w:val="24"/>
                <w:szCs w:val="24"/>
                <w:lang w:val="en-US" w:eastAsia="zh-CN"/>
                <w14:textFill>
                  <w14:solidFill>
                    <w14:schemeClr w14:val="tx1"/>
                  </w14:solidFill>
                </w14:textFill>
              </w:rPr>
              <w:t>在</w:t>
            </w:r>
            <w:r>
              <w:rPr>
                <w:rFonts w:hint="eastAsia" w:cs="Times New Roman"/>
                <w:b w:val="0"/>
                <w:bCs/>
                <w:color w:val="000000" w:themeColor="text1"/>
                <w:spacing w:val="0"/>
                <w:w w:val="100"/>
                <w:sz w:val="24"/>
                <w:szCs w:val="24"/>
                <w:lang w:val="en-US" w:eastAsia="zh-CN"/>
                <w14:textFill>
                  <w14:solidFill>
                    <w14:schemeClr w14:val="tx1"/>
                  </w14:solidFill>
                </w14:textFill>
              </w:rPr>
              <w:t>流化干燥</w:t>
            </w:r>
            <w:r>
              <w:rPr>
                <w:rFonts w:hint="default" w:ascii="Times New Roman" w:hAnsi="Times New Roman" w:cs="Times New Roman"/>
                <w:b w:val="0"/>
                <w:bCs/>
                <w:color w:val="000000" w:themeColor="text1"/>
                <w:spacing w:val="0"/>
                <w:w w:val="100"/>
                <w:sz w:val="24"/>
                <w:szCs w:val="24"/>
                <w:lang w:val="en-US" w:eastAsia="zh-CN"/>
                <w14:textFill>
                  <w14:solidFill>
                    <w14:schemeClr w14:val="tx1"/>
                  </w14:solidFill>
                </w14:textFill>
              </w:rPr>
              <w:t>工序</w:t>
            </w:r>
            <w:r>
              <w:rPr>
                <w:rFonts w:hint="default" w:ascii="Times New Roman" w:hAnsi="Times New Roman" w:cs="Times New Roman"/>
                <w:bCs/>
                <w:color w:val="000000" w:themeColor="text1"/>
                <w:spacing w:val="0"/>
                <w:w w:val="100"/>
                <w:sz w:val="24"/>
                <w:szCs w:val="24"/>
                <w:lang w:val="en-US" w:eastAsia="zh-CN"/>
                <w14:textFill>
                  <w14:solidFill>
                    <w14:schemeClr w14:val="tx1"/>
                  </w14:solidFill>
                </w14:textFill>
              </w:rPr>
              <w:t>和烘干工序产生量极少</w:t>
            </w:r>
            <w:r>
              <w:rPr>
                <w:rFonts w:hint="eastAsia" w:ascii="Times New Roman" w:hAnsi="Times New Roman" w:cs="Times New Roman"/>
                <w:bCs/>
                <w:color w:val="000000" w:themeColor="text1"/>
                <w:spacing w:val="0"/>
                <w:w w:val="100"/>
                <w:sz w:val="24"/>
                <w:szCs w:val="24"/>
                <w:lang w:val="en-US" w:eastAsia="zh-CN"/>
                <w14:textFill>
                  <w14:solidFill>
                    <w14:schemeClr w14:val="tx1"/>
                  </w14:solidFill>
                </w14:textFill>
              </w:rPr>
              <w:t>，</w:t>
            </w:r>
            <w:r>
              <w:rPr>
                <w:rFonts w:hint="eastAsia" w:cs="Times New Roman"/>
                <w:bCs/>
                <w:color w:val="000000" w:themeColor="text1"/>
                <w:spacing w:val="0"/>
                <w:w w:val="100"/>
                <w:sz w:val="24"/>
                <w:szCs w:val="24"/>
                <w:lang w:val="en-US" w:eastAsia="zh-CN"/>
                <w14:textFill>
                  <w14:solidFill>
                    <w14:schemeClr w14:val="tx1"/>
                  </w14:solidFill>
                </w14:textFill>
              </w:rPr>
              <w:t>仅定性分析</w:t>
            </w:r>
            <w:r>
              <w:rPr>
                <w:rFonts w:hint="default" w:ascii="Times New Roman" w:hAnsi="Times New Roman" w:cs="Times New Roman"/>
                <w:bCs/>
                <w:color w:val="000000" w:themeColor="text1"/>
                <w:spacing w:val="0"/>
                <w:w w:val="100"/>
                <w:sz w:val="24"/>
                <w:szCs w:val="24"/>
                <w:lang w:val="en-US" w:eastAsia="zh-CN"/>
                <w14:textFill>
                  <w14:solidFill>
                    <w14:schemeClr w14:val="tx1"/>
                  </w14:solidFill>
                </w14:textFill>
              </w:rPr>
              <w:t>。</w:t>
            </w:r>
            <w:r>
              <w:rPr>
                <w:rFonts w:hint="eastAsia" w:cs="Times New Roman"/>
                <w:bCs/>
                <w:color w:val="000000" w:themeColor="text1"/>
                <w:spacing w:val="0"/>
                <w:w w:val="100"/>
                <w:sz w:val="24"/>
                <w:szCs w:val="24"/>
                <w:lang w:val="en-US" w:eastAsia="zh-CN"/>
                <w14:textFill>
                  <w14:solidFill>
                    <w14:schemeClr w14:val="tx1"/>
                  </w14:solidFill>
                </w14:textFill>
              </w:rPr>
              <w:t>切割工序本次为发生变动，切割废气产生量前文已核算，本次不重复核算。</w:t>
            </w:r>
          </w:p>
          <w:p w14:paraId="60945AB5">
            <w:pPr>
              <w:adjustRightInd w:val="0"/>
              <w:snapToGrid w:val="0"/>
              <w:spacing w:line="360" w:lineRule="auto"/>
              <w:ind w:firstLine="480" w:firstLineChars="200"/>
              <w:rPr>
                <w:rFonts w:hint="eastAsia" w:cs="Times New Roman"/>
                <w:color w:val="000000" w:themeColor="text1"/>
                <w:sz w:val="24"/>
                <w:lang w:eastAsia="zh-CN"/>
                <w14:textFill>
                  <w14:solidFill>
                    <w14:schemeClr w14:val="tx1"/>
                  </w14:solidFill>
                </w14:textFill>
              </w:rPr>
            </w:pPr>
            <w:r>
              <w:rPr>
                <w:rFonts w:hint="eastAsia" w:cs="Times New Roman"/>
                <w:color w:val="000000" w:themeColor="text1"/>
                <w:sz w:val="24"/>
                <w:lang w:eastAsia="zh-CN"/>
                <w14:textFill>
                  <w14:solidFill>
                    <w14:schemeClr w14:val="tx1"/>
                  </w14:solidFill>
                </w14:textFill>
              </w:rPr>
              <w:t>根据工程分析核算，现有生产线生产过程中有机废气产生量详见下表。</w:t>
            </w:r>
          </w:p>
          <w:p w14:paraId="4107D083">
            <w:pPr>
              <w:pStyle w:val="51"/>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color w:val="000000" w:themeColor="text1"/>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表</w:t>
            </w:r>
            <w:r>
              <w:rPr>
                <w:rFonts w:hint="eastAsia" w:cs="Times New Roman"/>
                <w:b/>
                <w:bCs/>
                <w:color w:val="000000" w:themeColor="text1"/>
                <w:sz w:val="21"/>
                <w:szCs w:val="21"/>
                <w:lang w:val="en-US" w:eastAsia="zh-CN"/>
                <w14:textFill>
                  <w14:solidFill>
                    <w14:schemeClr w14:val="tx1"/>
                  </w14:solidFill>
                </w14:textFill>
              </w:rPr>
              <w:t>4-2</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eastAsia" w:cs="Times New Roman"/>
                <w:b/>
                <w:bCs/>
                <w:color w:val="000000" w:themeColor="text1"/>
                <w:sz w:val="21"/>
                <w:szCs w:val="21"/>
                <w:lang w:val="en-US" w:eastAsia="zh-CN"/>
                <w14:textFill>
                  <w14:solidFill>
                    <w14:schemeClr w14:val="tx1"/>
                  </w14:solidFill>
                </w14:textFill>
              </w:rPr>
              <w:t>现有项目</w:t>
            </w:r>
            <w:r>
              <w:rPr>
                <w:rFonts w:hint="eastAsia" w:eastAsia="宋体" w:cs="Times New Roman"/>
                <w:b/>
                <w:bCs/>
                <w:color w:val="000000" w:themeColor="text1"/>
                <w:sz w:val="21"/>
                <w:szCs w:val="21"/>
                <w:lang w:val="en-US" w:eastAsia="zh-CN"/>
                <w14:textFill>
                  <w14:solidFill>
                    <w14:schemeClr w14:val="tx1"/>
                  </w14:solidFill>
                </w14:textFill>
              </w:rPr>
              <w:t>无</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组织废气源强一览表</w:t>
            </w:r>
          </w:p>
          <w:tbl>
            <w:tblPr>
              <w:tblStyle w:val="34"/>
              <w:tblW w:w="49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1310"/>
              <w:gridCol w:w="1276"/>
              <w:gridCol w:w="1694"/>
              <w:gridCol w:w="1105"/>
              <w:gridCol w:w="1516"/>
            </w:tblGrid>
            <w:tr w14:paraId="2CD10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0" w:type="pct"/>
                  <w:vMerge w:val="restart"/>
                  <w:noWrap w:val="0"/>
                  <w:vAlign w:val="center"/>
                </w:tcPr>
                <w:p w14:paraId="13F4B3B6">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产生环节</w:t>
                  </w:r>
                </w:p>
              </w:tc>
              <w:tc>
                <w:tcPr>
                  <w:tcW w:w="803" w:type="pct"/>
                  <w:vMerge w:val="restart"/>
                  <w:noWrap w:val="0"/>
                  <w:vAlign w:val="center"/>
                </w:tcPr>
                <w:p w14:paraId="6133D96D">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污染物种类</w:t>
                  </w:r>
                </w:p>
              </w:tc>
              <w:tc>
                <w:tcPr>
                  <w:tcW w:w="782" w:type="pct"/>
                  <w:vMerge w:val="restart"/>
                  <w:noWrap w:val="0"/>
                  <w:vAlign w:val="center"/>
                </w:tcPr>
                <w:p w14:paraId="54417B64">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产生量t/a</w:t>
                  </w:r>
                </w:p>
              </w:tc>
              <w:tc>
                <w:tcPr>
                  <w:tcW w:w="1038" w:type="pct"/>
                  <w:vMerge w:val="restart"/>
                  <w:noWrap w:val="0"/>
                  <w:vAlign w:val="center"/>
                </w:tcPr>
                <w:p w14:paraId="7F8DE4B1">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治理措施</w:t>
                  </w:r>
                </w:p>
              </w:tc>
              <w:tc>
                <w:tcPr>
                  <w:tcW w:w="1606" w:type="pct"/>
                  <w:gridSpan w:val="2"/>
                  <w:noWrap w:val="0"/>
                  <w:vAlign w:val="center"/>
                </w:tcPr>
                <w:p w14:paraId="0E6F170A">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排放情况</w:t>
                  </w:r>
                </w:p>
              </w:tc>
            </w:tr>
            <w:tr w14:paraId="4A69D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0" w:type="pct"/>
                  <w:vMerge w:val="continue"/>
                  <w:noWrap w:val="0"/>
                  <w:vAlign w:val="center"/>
                </w:tcPr>
                <w:p w14:paraId="1326B942">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p>
              </w:tc>
              <w:tc>
                <w:tcPr>
                  <w:tcW w:w="803" w:type="pct"/>
                  <w:vMerge w:val="continue"/>
                  <w:noWrap w:val="0"/>
                  <w:vAlign w:val="center"/>
                </w:tcPr>
                <w:p w14:paraId="5220A050">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p>
              </w:tc>
              <w:tc>
                <w:tcPr>
                  <w:tcW w:w="782" w:type="pct"/>
                  <w:vMerge w:val="continue"/>
                  <w:noWrap w:val="0"/>
                  <w:vAlign w:val="center"/>
                </w:tcPr>
                <w:p w14:paraId="1157EE70">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p>
              </w:tc>
              <w:tc>
                <w:tcPr>
                  <w:tcW w:w="1038" w:type="pct"/>
                  <w:vMerge w:val="continue"/>
                  <w:noWrap w:val="0"/>
                  <w:vAlign w:val="center"/>
                </w:tcPr>
                <w:p w14:paraId="35DA7DD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tc>
              <w:tc>
                <w:tcPr>
                  <w:tcW w:w="677" w:type="pct"/>
                  <w:noWrap w:val="0"/>
                  <w:vAlign w:val="center"/>
                </w:tcPr>
                <w:p w14:paraId="31A8738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排放量t/a</w:t>
                  </w:r>
                </w:p>
              </w:tc>
              <w:tc>
                <w:tcPr>
                  <w:tcW w:w="928" w:type="pct"/>
                  <w:noWrap w:val="0"/>
                  <w:vAlign w:val="center"/>
                </w:tcPr>
                <w:p w14:paraId="1FB59C8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速率kg/h</w:t>
                  </w:r>
                </w:p>
              </w:tc>
            </w:tr>
            <w:tr w14:paraId="6E300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0" w:type="pct"/>
                  <w:vMerge w:val="restart"/>
                  <w:noWrap w:val="0"/>
                  <w:vAlign w:val="center"/>
                </w:tcPr>
                <w:p w14:paraId="2F083FF0">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发泡、流化干燥、成型、烘干工序</w:t>
                  </w:r>
                </w:p>
              </w:tc>
              <w:tc>
                <w:tcPr>
                  <w:tcW w:w="803" w:type="pct"/>
                  <w:noWrap w:val="0"/>
                  <w:vAlign w:val="center"/>
                </w:tcPr>
                <w:p w14:paraId="17BE50A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非甲烷总烃</w:t>
                  </w:r>
                </w:p>
              </w:tc>
              <w:tc>
                <w:tcPr>
                  <w:tcW w:w="782" w:type="pct"/>
                  <w:noWrap w:val="0"/>
                  <w:vAlign w:val="center"/>
                </w:tcPr>
                <w:p w14:paraId="72F66585">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0.204</w:t>
                  </w:r>
                </w:p>
              </w:tc>
              <w:tc>
                <w:tcPr>
                  <w:tcW w:w="1038" w:type="pct"/>
                  <w:vMerge w:val="restart"/>
                  <w:noWrap w:val="0"/>
                  <w:vAlign w:val="center"/>
                </w:tcPr>
                <w:p w14:paraId="6453D6B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车间加强通风、自然稀释扩散</w:t>
                  </w:r>
                </w:p>
              </w:tc>
              <w:tc>
                <w:tcPr>
                  <w:tcW w:w="677" w:type="pct"/>
                  <w:noWrap w:val="0"/>
                  <w:vAlign w:val="center"/>
                </w:tcPr>
                <w:p w14:paraId="46DC630D">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0.204</w:t>
                  </w:r>
                </w:p>
              </w:tc>
              <w:tc>
                <w:tcPr>
                  <w:tcW w:w="928" w:type="pct"/>
                  <w:noWrap w:val="0"/>
                  <w:vAlign w:val="center"/>
                </w:tcPr>
                <w:p w14:paraId="3B3815F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0.085</w:t>
                  </w:r>
                </w:p>
              </w:tc>
            </w:tr>
            <w:tr w14:paraId="22A1C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70" w:type="pct"/>
                  <w:vMerge w:val="continue"/>
                  <w:noWrap w:val="0"/>
                  <w:vAlign w:val="center"/>
                </w:tcPr>
                <w:p w14:paraId="7FC1624E">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p>
              </w:tc>
              <w:tc>
                <w:tcPr>
                  <w:tcW w:w="803" w:type="pct"/>
                  <w:noWrap w:val="0"/>
                  <w:vAlign w:val="center"/>
                </w:tcPr>
                <w:p w14:paraId="49FF7D6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甲苯</w:t>
                  </w:r>
                </w:p>
              </w:tc>
              <w:tc>
                <w:tcPr>
                  <w:tcW w:w="782" w:type="pct"/>
                  <w:noWrap w:val="0"/>
                  <w:vAlign w:val="center"/>
                </w:tcPr>
                <w:p w14:paraId="463524AC">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0.00066</w:t>
                  </w:r>
                </w:p>
              </w:tc>
              <w:tc>
                <w:tcPr>
                  <w:tcW w:w="1038" w:type="pct"/>
                  <w:vMerge w:val="continue"/>
                  <w:noWrap w:val="0"/>
                  <w:vAlign w:val="center"/>
                </w:tcPr>
                <w:p w14:paraId="5B3F7DD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677" w:type="pct"/>
                  <w:noWrap w:val="0"/>
                  <w:vAlign w:val="center"/>
                </w:tcPr>
                <w:p w14:paraId="257ABDF7">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0.00066</w:t>
                  </w:r>
                </w:p>
              </w:tc>
              <w:tc>
                <w:tcPr>
                  <w:tcW w:w="928" w:type="pct"/>
                  <w:noWrap w:val="0"/>
                  <w:vAlign w:val="center"/>
                </w:tcPr>
                <w:p w14:paraId="079C360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0.000275</w:t>
                  </w:r>
                </w:p>
              </w:tc>
            </w:tr>
            <w:tr w14:paraId="2F4C2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0" w:type="pct"/>
                  <w:vMerge w:val="continue"/>
                  <w:noWrap w:val="0"/>
                  <w:vAlign w:val="center"/>
                </w:tcPr>
                <w:p w14:paraId="535ABAB8">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p>
              </w:tc>
              <w:tc>
                <w:tcPr>
                  <w:tcW w:w="803" w:type="pct"/>
                  <w:noWrap w:val="0"/>
                  <w:vAlign w:val="center"/>
                </w:tcPr>
                <w:p w14:paraId="379B9AC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乙苯</w:t>
                  </w:r>
                </w:p>
              </w:tc>
              <w:tc>
                <w:tcPr>
                  <w:tcW w:w="782" w:type="pct"/>
                  <w:noWrap w:val="0"/>
                  <w:vAlign w:val="center"/>
                </w:tcPr>
                <w:p w14:paraId="688A69D5">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0.00054</w:t>
                  </w:r>
                </w:p>
              </w:tc>
              <w:tc>
                <w:tcPr>
                  <w:tcW w:w="1038" w:type="pct"/>
                  <w:vMerge w:val="continue"/>
                  <w:noWrap w:val="0"/>
                  <w:vAlign w:val="center"/>
                </w:tcPr>
                <w:p w14:paraId="541A991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677" w:type="pct"/>
                  <w:noWrap w:val="0"/>
                  <w:vAlign w:val="center"/>
                </w:tcPr>
                <w:p w14:paraId="5025DE60">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0.00054</w:t>
                  </w:r>
                </w:p>
              </w:tc>
              <w:tc>
                <w:tcPr>
                  <w:tcW w:w="928" w:type="pct"/>
                  <w:noWrap w:val="0"/>
                  <w:vAlign w:val="center"/>
                </w:tcPr>
                <w:p w14:paraId="02AEC64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0.000225</w:t>
                  </w:r>
                </w:p>
              </w:tc>
            </w:tr>
            <w:tr w14:paraId="5EC88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0" w:type="pct"/>
                  <w:vMerge w:val="continue"/>
                  <w:noWrap w:val="0"/>
                  <w:vAlign w:val="center"/>
                </w:tcPr>
                <w:p w14:paraId="74154D0C">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p>
              </w:tc>
              <w:tc>
                <w:tcPr>
                  <w:tcW w:w="803" w:type="pct"/>
                  <w:noWrap w:val="0"/>
                  <w:vAlign w:val="center"/>
                </w:tcPr>
                <w:p w14:paraId="3634C57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苯乙烯</w:t>
                  </w:r>
                </w:p>
              </w:tc>
              <w:tc>
                <w:tcPr>
                  <w:tcW w:w="782" w:type="pct"/>
                  <w:noWrap w:val="0"/>
                  <w:vAlign w:val="center"/>
                </w:tcPr>
                <w:p w14:paraId="3435AAA1">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0.018</w:t>
                  </w:r>
                </w:p>
              </w:tc>
              <w:tc>
                <w:tcPr>
                  <w:tcW w:w="1038" w:type="pct"/>
                  <w:vMerge w:val="continue"/>
                  <w:noWrap w:val="0"/>
                  <w:vAlign w:val="center"/>
                </w:tcPr>
                <w:p w14:paraId="74163B6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677" w:type="pct"/>
                  <w:noWrap w:val="0"/>
                  <w:vAlign w:val="center"/>
                </w:tcPr>
                <w:p w14:paraId="09AA0468">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0.018</w:t>
                  </w:r>
                </w:p>
              </w:tc>
              <w:tc>
                <w:tcPr>
                  <w:tcW w:w="928" w:type="pct"/>
                  <w:noWrap w:val="0"/>
                  <w:vAlign w:val="center"/>
                </w:tcPr>
                <w:p w14:paraId="14D321A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0.0075</w:t>
                  </w:r>
                </w:p>
              </w:tc>
            </w:tr>
            <w:tr w14:paraId="044F7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770" w:type="pct"/>
                  <w:vMerge w:val="restart"/>
                  <w:noWrap w:val="0"/>
                  <w:vAlign w:val="center"/>
                </w:tcPr>
                <w:p w14:paraId="7D11D304">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切割工序</w:t>
                  </w:r>
                </w:p>
              </w:tc>
              <w:tc>
                <w:tcPr>
                  <w:tcW w:w="803" w:type="pct"/>
                  <w:noWrap w:val="0"/>
                  <w:vAlign w:val="center"/>
                </w:tcPr>
                <w:p w14:paraId="22EFB00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非甲烷总烃</w:t>
                  </w:r>
                </w:p>
              </w:tc>
              <w:tc>
                <w:tcPr>
                  <w:tcW w:w="782" w:type="pct"/>
                  <w:noWrap w:val="0"/>
                  <w:vAlign w:val="center"/>
                </w:tcPr>
                <w:p w14:paraId="2989ED0B">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0.0228</w:t>
                  </w:r>
                </w:p>
              </w:tc>
              <w:tc>
                <w:tcPr>
                  <w:tcW w:w="1038" w:type="pct"/>
                  <w:vMerge w:val="restart"/>
                  <w:noWrap w:val="0"/>
                  <w:vAlign w:val="center"/>
                </w:tcPr>
                <w:p w14:paraId="3C4E9B4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车间加强通风、自然稀释扩散</w:t>
                  </w:r>
                </w:p>
              </w:tc>
              <w:tc>
                <w:tcPr>
                  <w:tcW w:w="677" w:type="pct"/>
                  <w:noWrap w:val="0"/>
                  <w:vAlign w:val="center"/>
                </w:tcPr>
                <w:p w14:paraId="088FF420">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0.0228</w:t>
                  </w:r>
                </w:p>
              </w:tc>
              <w:tc>
                <w:tcPr>
                  <w:tcW w:w="928" w:type="pct"/>
                  <w:noWrap w:val="0"/>
                  <w:vAlign w:val="center"/>
                </w:tcPr>
                <w:p w14:paraId="08ED5FD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0.0095</w:t>
                  </w:r>
                </w:p>
              </w:tc>
            </w:tr>
            <w:tr w14:paraId="5F123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0" w:type="pct"/>
                  <w:vMerge w:val="continue"/>
                  <w:noWrap w:val="0"/>
                  <w:vAlign w:val="center"/>
                </w:tcPr>
                <w:p w14:paraId="2BE1B3F4">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p>
              </w:tc>
              <w:tc>
                <w:tcPr>
                  <w:tcW w:w="803" w:type="pct"/>
                  <w:noWrap w:val="0"/>
                  <w:vAlign w:val="center"/>
                </w:tcPr>
                <w:p w14:paraId="061BB2F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甲苯</w:t>
                  </w:r>
                </w:p>
              </w:tc>
              <w:tc>
                <w:tcPr>
                  <w:tcW w:w="782" w:type="pct"/>
                  <w:noWrap w:val="0"/>
                  <w:vAlign w:val="center"/>
                </w:tcPr>
                <w:p w14:paraId="763B03BD">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0.0000528</w:t>
                  </w:r>
                </w:p>
              </w:tc>
              <w:tc>
                <w:tcPr>
                  <w:tcW w:w="1038" w:type="pct"/>
                  <w:vMerge w:val="continue"/>
                  <w:noWrap w:val="0"/>
                  <w:vAlign w:val="center"/>
                </w:tcPr>
                <w:p w14:paraId="7397771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677" w:type="pct"/>
                  <w:noWrap w:val="0"/>
                  <w:vAlign w:val="center"/>
                </w:tcPr>
                <w:p w14:paraId="472A8D40">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0.0000528</w:t>
                  </w:r>
                </w:p>
              </w:tc>
              <w:tc>
                <w:tcPr>
                  <w:tcW w:w="928" w:type="pct"/>
                  <w:noWrap w:val="0"/>
                  <w:vAlign w:val="center"/>
                </w:tcPr>
                <w:p w14:paraId="6522CD8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0.000022</w:t>
                  </w:r>
                </w:p>
              </w:tc>
            </w:tr>
            <w:tr w14:paraId="4D10A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0" w:type="pct"/>
                  <w:vMerge w:val="continue"/>
                  <w:noWrap w:val="0"/>
                  <w:vAlign w:val="center"/>
                </w:tcPr>
                <w:p w14:paraId="12F99F1C">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p>
              </w:tc>
              <w:tc>
                <w:tcPr>
                  <w:tcW w:w="803" w:type="pct"/>
                  <w:noWrap w:val="0"/>
                  <w:vAlign w:val="center"/>
                </w:tcPr>
                <w:p w14:paraId="0DA5E6C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乙苯</w:t>
                  </w:r>
                </w:p>
              </w:tc>
              <w:tc>
                <w:tcPr>
                  <w:tcW w:w="782" w:type="pct"/>
                  <w:noWrap w:val="0"/>
                  <w:vAlign w:val="center"/>
                </w:tcPr>
                <w:p w14:paraId="6E20DCEC">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0.0000432</w:t>
                  </w:r>
                </w:p>
              </w:tc>
              <w:tc>
                <w:tcPr>
                  <w:tcW w:w="1038" w:type="pct"/>
                  <w:vMerge w:val="continue"/>
                  <w:noWrap w:val="0"/>
                  <w:vAlign w:val="center"/>
                </w:tcPr>
                <w:p w14:paraId="6264583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677" w:type="pct"/>
                  <w:noWrap w:val="0"/>
                  <w:vAlign w:val="center"/>
                </w:tcPr>
                <w:p w14:paraId="31C6D815">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0.0000432</w:t>
                  </w:r>
                </w:p>
              </w:tc>
              <w:tc>
                <w:tcPr>
                  <w:tcW w:w="928" w:type="pct"/>
                  <w:noWrap w:val="0"/>
                  <w:vAlign w:val="center"/>
                </w:tcPr>
                <w:p w14:paraId="265B8FC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0.000018</w:t>
                  </w:r>
                </w:p>
              </w:tc>
            </w:tr>
          </w:tbl>
          <w:p w14:paraId="10CD1CDB">
            <w:pPr>
              <w:adjustRightInd w:val="0"/>
              <w:snapToGrid w:val="0"/>
              <w:spacing w:line="360" w:lineRule="auto"/>
              <w:ind w:firstLine="480" w:firstLineChars="200"/>
              <w:rPr>
                <w:rFonts w:hint="eastAsia" w:cs="Times New Roman"/>
                <w:color w:val="000000" w:themeColor="text1"/>
                <w:sz w:val="24"/>
                <w:lang w:eastAsia="zh-CN"/>
                <w14:textFill>
                  <w14:solidFill>
                    <w14:schemeClr w14:val="tx1"/>
                  </w14:solidFill>
                </w14:textFill>
              </w:rPr>
            </w:pPr>
            <w:r>
              <w:rPr>
                <w:rFonts w:hint="eastAsia" w:cs="Times New Roman"/>
                <w:color w:val="000000" w:themeColor="text1"/>
                <w:sz w:val="24"/>
                <w:lang w:eastAsia="zh-CN"/>
                <w14:textFill>
                  <w14:solidFill>
                    <w14:schemeClr w14:val="tx1"/>
                  </w14:solidFill>
                </w14:textFill>
              </w:rPr>
              <w:t>原有生产过程中有机废气经车间通风后进行无组织排放。</w:t>
            </w:r>
          </w:p>
          <w:p w14:paraId="59C77D0E">
            <w:pPr>
              <w:adjustRightInd w:val="0"/>
              <w:snapToGrid w:val="0"/>
              <w:spacing w:line="360" w:lineRule="auto"/>
              <w:ind w:firstLine="480" w:firstLineChars="200"/>
              <w:rPr>
                <w:rFonts w:hint="default"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eastAsia="zh-CN"/>
                <w14:textFill>
                  <w14:solidFill>
                    <w14:schemeClr w14:val="tx1"/>
                  </w14:solidFill>
                </w14:textFill>
              </w:rPr>
              <w:t>本项目新增</w:t>
            </w:r>
            <w:r>
              <w:rPr>
                <w:rFonts w:hint="eastAsia" w:cs="Times New Roman"/>
                <w:color w:val="000000" w:themeColor="text1"/>
                <w:sz w:val="24"/>
                <w:lang w:val="en-US" w:eastAsia="zh-CN"/>
                <w14:textFill>
                  <w14:solidFill>
                    <w14:schemeClr w14:val="tx1"/>
                  </w14:solidFill>
                </w14:textFill>
              </w:rPr>
              <w:t>1套“两级活性炭吸附装置”设施处理有机废气，发泡、成型设备上方设置集气罩，有机废气经收集后进入“两级活性炭吸附装置”处理后通过1根新增15m高排气筒DA002排放。</w:t>
            </w:r>
          </w:p>
          <w:p w14:paraId="366C4D63">
            <w:pPr>
              <w:adjustRightInd w:val="0"/>
              <w:snapToGrid w:val="0"/>
              <w:spacing w:line="360" w:lineRule="auto"/>
              <w:ind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②风机风量</w:t>
            </w:r>
          </w:p>
          <w:p w14:paraId="071DF368">
            <w:pPr>
              <w:adjustRightInd w:val="0"/>
              <w:snapToGrid w:val="0"/>
              <w:spacing w:line="360" w:lineRule="auto"/>
              <w:ind w:firstLine="480" w:firstLineChars="200"/>
              <w:rPr>
                <w:rFonts w:hint="eastAsia"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项目设置有</w:t>
            </w:r>
            <w:r>
              <w:rPr>
                <w:rFonts w:hint="eastAsia" w:cs="Times New Roman" w:eastAsiaTheme="minorEastAsia"/>
                <w:b w:val="0"/>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台发泡机</w:t>
            </w:r>
            <w:r>
              <w:rPr>
                <w:rFonts w:hint="eastAsia" w:cs="Times New Roman" w:eastAsiaTheme="minorEastAsia"/>
                <w:b w:val="0"/>
                <w:bCs/>
                <w:color w:val="000000" w:themeColor="text1"/>
                <w:sz w:val="24"/>
                <w:szCs w:val="24"/>
                <w:lang w:val="en-US" w:eastAsia="zh-CN"/>
                <w14:textFill>
                  <w14:solidFill>
                    <w14:schemeClr w14:val="tx1"/>
                  </w14:solidFill>
                </w14:textFill>
              </w:rPr>
              <w:t>、1台成型机</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，拟在发泡机</w:t>
            </w:r>
            <w:r>
              <w:rPr>
                <w:rFonts w:hint="eastAsia" w:cs="Times New Roman" w:eastAsiaTheme="minorEastAsia"/>
                <w:b w:val="0"/>
                <w:bCs/>
                <w:color w:val="000000" w:themeColor="text1"/>
                <w:sz w:val="24"/>
                <w:szCs w:val="24"/>
                <w:lang w:val="en-US" w:eastAsia="zh-CN"/>
                <w14:textFill>
                  <w14:solidFill>
                    <w14:schemeClr w14:val="tx1"/>
                  </w14:solidFill>
                </w14:textFill>
              </w:rPr>
              <w:t>、成型机</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顶部</w:t>
            </w:r>
            <w:r>
              <w:rPr>
                <w:rFonts w:hint="eastAsia" w:cs="Times New Roman" w:eastAsiaTheme="minorEastAsia"/>
                <w:b w:val="0"/>
                <w:bCs/>
                <w:color w:val="000000" w:themeColor="text1"/>
                <w:sz w:val="24"/>
                <w:szCs w:val="24"/>
                <w:lang w:val="en-US" w:eastAsia="zh-CN"/>
                <w14:textFill>
                  <w14:solidFill>
                    <w14:schemeClr w14:val="tx1"/>
                  </w14:solidFill>
                </w14:textFill>
              </w:rPr>
              <w:t>各</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设置</w:t>
            </w:r>
            <w:r>
              <w:rPr>
                <w:rFonts w:hint="eastAsia" w:cs="Times New Roman" w:eastAsiaTheme="minorEastAsia"/>
                <w:b w:val="0"/>
                <w:bCs/>
                <w:color w:val="000000" w:themeColor="text1"/>
                <w:sz w:val="24"/>
                <w:szCs w:val="24"/>
                <w:lang w:val="en-US" w:eastAsia="zh-CN"/>
                <w14:textFill>
                  <w14:solidFill>
                    <w14:schemeClr w14:val="tx1"/>
                  </w14:solidFill>
                </w14:textFill>
              </w:rPr>
              <w:t>1套</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集气罩</w:t>
            </w:r>
            <w:r>
              <w:rPr>
                <w:rFonts w:hint="eastAsia" w:cs="Times New Roman" w:eastAsiaTheme="minorEastAsia"/>
                <w:b w:val="0"/>
                <w:bCs/>
                <w:color w:val="000000" w:themeColor="text1"/>
                <w:sz w:val="24"/>
                <w:szCs w:val="24"/>
                <w:lang w:val="en-US" w:eastAsia="zh-CN"/>
                <w14:textFill>
                  <w14:solidFill>
                    <w14:schemeClr w14:val="tx1"/>
                  </w14:solidFill>
                </w14:textFill>
              </w:rPr>
              <w:t>（共3套）</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根据《云南省重点行业挥发性有机物综合治理实施方案》，采用局部集气罩的，距集气罩开口面最远处的VOCs无组织排放位置，控制风速应不低于0.3m/s，</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根据集气罩的类型和风量计算，罩口平均风速为0.5</w:t>
            </w:r>
            <w:r>
              <w:rPr>
                <w:rFonts w:hint="default" w:ascii="Times New Roman" w:hAnsi="Times New Roman" w:cs="Times New Roman" w:eastAsiaTheme="minorEastAsia"/>
                <w:color w:val="000000" w:themeColor="text1"/>
                <w:sz w:val="24"/>
                <w:szCs w:val="24"/>
                <w14:textFill>
                  <w14:solidFill>
                    <w14:schemeClr w14:val="tx1"/>
                  </w14:solidFill>
                </w14:textFill>
              </w:rPr>
              <w:t>m/s</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~1.25</w:t>
            </w:r>
            <w:r>
              <w:rPr>
                <w:rFonts w:hint="default" w:ascii="Times New Roman" w:hAnsi="Times New Roman" w:cs="Times New Roman" w:eastAsiaTheme="minorEastAsia"/>
                <w:color w:val="000000" w:themeColor="text1"/>
                <w:sz w:val="24"/>
                <w:szCs w:val="24"/>
                <w14:textFill>
                  <w14:solidFill>
                    <w14:schemeClr w14:val="tx1"/>
                  </w14:solidFill>
                </w14:textFill>
              </w:rPr>
              <w:t>m/s</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参考《吸附法工业有机废气治理工程技术规范》（HJ2026-2013）中</w:t>
            </w:r>
            <w:r>
              <w:rPr>
                <w:rFonts w:hint="eastAsia"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6.1.2治理工程的处理能力应根据废气的处理量确定，设计风量宜按照最大废气排放量的120%进行设计</w:t>
            </w:r>
            <w:r>
              <w:rPr>
                <w:rFonts w:hint="eastAsia"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相关要求，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本次评价罩口平均风速按0.</w:t>
            </w:r>
            <w:r>
              <w:rPr>
                <w:rFonts w:hint="eastAsia" w:cs="Times New Roman" w:eastAsiaTheme="minorEastAsia"/>
                <w:color w:val="000000" w:themeColor="text1"/>
                <w:sz w:val="24"/>
                <w:szCs w:val="24"/>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4"/>
                <w:szCs w:val="24"/>
                <w14:textFill>
                  <w14:solidFill>
                    <w14:schemeClr w14:val="tx1"/>
                  </w14:solidFill>
                </w14:textFill>
              </w:rPr>
              <w:t>m/s</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计，则风机风速为</w:t>
            </w:r>
            <w:r>
              <w:rPr>
                <w:rFonts w:hint="eastAsia" w:cs="Times New Roman" w:eastAsiaTheme="minorEastAsia"/>
                <w:color w:val="000000" w:themeColor="text1"/>
                <w:sz w:val="24"/>
                <w:szCs w:val="24"/>
                <w:lang w:val="en-US" w:eastAsia="zh-CN"/>
                <w14:textFill>
                  <w14:solidFill>
                    <w14:schemeClr w14:val="tx1"/>
                  </w14:solidFill>
                </w14:textFill>
              </w:rPr>
              <w:t>2520</w:t>
            </w:r>
            <w:r>
              <w:rPr>
                <w:rFonts w:hint="default" w:ascii="Times New Roman" w:hAnsi="Times New Roman" w:cs="Times New Roman" w:eastAsiaTheme="minorEastAsia"/>
                <w:color w:val="000000" w:themeColor="text1"/>
                <w:sz w:val="24"/>
                <w:szCs w:val="24"/>
                <w14:textFill>
                  <w14:solidFill>
                    <w14:schemeClr w14:val="tx1"/>
                  </w14:solidFill>
                </w14:textFill>
              </w:rPr>
              <w:t>m/h。</w:t>
            </w:r>
          </w:p>
          <w:p w14:paraId="4F3C0ABB">
            <w:pPr>
              <w:pStyle w:val="51"/>
              <w:keepNext w:val="0"/>
              <w:keepLines/>
              <w:pageBreakBefore w:val="0"/>
              <w:kinsoku/>
              <w:overflowPunct/>
              <w:bidi w:val="0"/>
              <w:adjustRightInd/>
              <w:ind w:firstLine="480"/>
              <w:rPr>
                <w:rFonts w:hint="eastAsia" w:ascii="Times New Roman" w:hAnsi="Times New Roman" w:eastAsia="宋体" w:cs="Times New Roman"/>
                <w:b w:val="0"/>
                <w:bCs w:val="0"/>
                <w:color w:val="000000" w:themeColor="text1"/>
                <w:lang w:val="en-US" w:eastAsia="zh-CN"/>
                <w14:textFill>
                  <w14:solidFill>
                    <w14:schemeClr w14:val="tx1"/>
                  </w14:solidFill>
                </w14:textFill>
              </w:rPr>
            </w:pPr>
            <w:r>
              <w:rPr>
                <w:rFonts w:hint="eastAsia" w:eastAsia="宋体" w:cs="Times New Roman"/>
                <w:b w:val="0"/>
                <w:bCs w:val="0"/>
                <w:color w:val="000000" w:themeColor="text1"/>
                <w:lang w:val="en-US" w:eastAsia="zh-CN"/>
                <w14:textFill>
                  <w14:solidFill>
                    <w14:schemeClr w14:val="tx1"/>
                  </w14:solidFill>
                </w14:textFill>
              </w:rPr>
              <w:t>根据</w:t>
            </w:r>
            <w:r>
              <w:rPr>
                <w:rFonts w:hint="eastAsia" w:ascii="Times New Roman" w:hAnsi="Times New Roman" w:eastAsia="宋体" w:cs="Times New Roman"/>
                <w:b w:val="0"/>
                <w:bCs w:val="0"/>
                <w:color w:val="000000" w:themeColor="text1"/>
                <w:lang w:val="en-US" w:eastAsia="zh-CN"/>
                <w14:textFill>
                  <w14:solidFill>
                    <w14:schemeClr w14:val="tx1"/>
                  </w14:solidFill>
                </w14:textFill>
              </w:rPr>
              <w:t>建设单位提供的资料，</w:t>
            </w:r>
            <w:r>
              <w:rPr>
                <w:rFonts w:hint="eastAsia" w:eastAsia="宋体" w:cs="Times New Roman"/>
                <w:b w:val="0"/>
                <w:bCs w:val="0"/>
                <w:color w:val="000000" w:themeColor="text1"/>
                <w:lang w:val="en-US" w:eastAsia="zh-CN"/>
                <w14:textFill>
                  <w14:solidFill>
                    <w14:schemeClr w14:val="tx1"/>
                  </w14:solidFill>
                </w14:textFill>
              </w:rPr>
              <w:t>发泡机</w:t>
            </w:r>
            <w:r>
              <w:rPr>
                <w:rFonts w:hint="eastAsia" w:ascii="Times New Roman" w:hAnsi="Times New Roman" w:eastAsia="宋体" w:cs="Times New Roman"/>
                <w:b w:val="0"/>
                <w:bCs w:val="0"/>
                <w:color w:val="000000" w:themeColor="text1"/>
                <w:lang w:val="en-US" w:eastAsia="zh-CN"/>
                <w14:textFill>
                  <w14:solidFill>
                    <w14:schemeClr w14:val="tx1"/>
                  </w14:solidFill>
                </w14:textFill>
              </w:rPr>
              <w:t>的热源尺寸长和宽</w:t>
            </w:r>
            <w:r>
              <w:rPr>
                <w:rFonts w:hint="eastAsia" w:cs="Times New Roman"/>
                <w:b w:val="0"/>
                <w:bCs w:val="0"/>
                <w:color w:val="000000" w:themeColor="text1"/>
                <w:lang w:val="en-US" w:eastAsia="zh-CN"/>
                <w14:textFill>
                  <w14:solidFill>
                    <w14:schemeClr w14:val="tx1"/>
                  </w14:solidFill>
                </w14:textFill>
              </w:rPr>
              <w:t>均</w:t>
            </w:r>
            <w:r>
              <w:rPr>
                <w:rFonts w:hint="eastAsia" w:ascii="Times New Roman" w:hAnsi="Times New Roman" w:eastAsia="宋体" w:cs="Times New Roman"/>
                <w:b w:val="0"/>
                <w:bCs w:val="0"/>
                <w:color w:val="000000" w:themeColor="text1"/>
                <w:lang w:val="en-US" w:eastAsia="zh-CN"/>
                <w14:textFill>
                  <w14:solidFill>
                    <w14:schemeClr w14:val="tx1"/>
                  </w14:solidFill>
                </w14:textFill>
              </w:rPr>
              <w:t>为</w:t>
            </w:r>
            <w:r>
              <w:rPr>
                <w:rFonts w:hint="eastAsia" w:cs="Times New Roman"/>
                <w:b w:val="0"/>
                <w:bCs w:val="0"/>
                <w:color w:val="000000" w:themeColor="text1"/>
                <w:lang w:val="en-US" w:eastAsia="zh-CN"/>
                <w14:textFill>
                  <w14:solidFill>
                    <w14:schemeClr w14:val="tx1"/>
                  </w14:solidFill>
                </w14:textFill>
              </w:rPr>
              <w:t>0.6：0.6</w:t>
            </w:r>
            <w:r>
              <w:rPr>
                <w:rFonts w:hint="eastAsia" w:ascii="Times New Roman" w:hAnsi="Times New Roman" w:eastAsia="宋体" w:cs="Times New Roman"/>
                <w:b w:val="0"/>
                <w:bCs w:val="0"/>
                <w:color w:val="000000" w:themeColor="text1"/>
                <w:lang w:val="en-US" w:eastAsia="zh-CN"/>
                <w14:textFill>
                  <w14:solidFill>
                    <w14:schemeClr w14:val="tx1"/>
                  </w14:solidFill>
                </w14:textFill>
              </w:rPr>
              <w:t>m，</w:t>
            </w:r>
            <w:r>
              <w:rPr>
                <w:rFonts w:hint="eastAsia" w:cs="Times New Roman"/>
                <w:b w:val="0"/>
                <w:bCs w:val="0"/>
                <w:color w:val="000000" w:themeColor="text1"/>
                <w:lang w:val="en-US" w:eastAsia="zh-CN"/>
                <w14:textFill>
                  <w14:solidFill>
                    <w14:schemeClr w14:val="tx1"/>
                  </w14:solidFill>
                </w14:textFill>
              </w:rPr>
              <w:t>成型机</w:t>
            </w:r>
            <w:r>
              <w:rPr>
                <w:rFonts w:hint="eastAsia" w:ascii="Times New Roman" w:hAnsi="Times New Roman" w:eastAsia="宋体" w:cs="Times New Roman"/>
                <w:b w:val="0"/>
                <w:bCs w:val="0"/>
                <w:color w:val="000000" w:themeColor="text1"/>
                <w:lang w:val="en-US" w:eastAsia="zh-CN"/>
                <w14:textFill>
                  <w14:solidFill>
                    <w14:schemeClr w14:val="tx1"/>
                  </w14:solidFill>
                </w14:textFill>
              </w:rPr>
              <w:t>的热源</w:t>
            </w:r>
            <w:r>
              <w:rPr>
                <w:rFonts w:hint="eastAsia" w:cs="Times New Roman"/>
                <w:b w:val="0"/>
                <w:bCs w:val="0"/>
                <w:color w:val="000000" w:themeColor="text1"/>
                <w:lang w:val="en-US" w:eastAsia="zh-CN"/>
                <w14:textFill>
                  <w14:solidFill>
                    <w14:schemeClr w14:val="tx1"/>
                  </w14:solidFill>
                </w14:textFill>
              </w:rPr>
              <w:t>尺寸长2：宽0.5m。集气罩悬挂距离设备高度约0.4m。</w:t>
            </w:r>
            <w:r>
              <w:rPr>
                <w:rFonts w:hint="eastAsia" w:ascii="Times New Roman" w:hAnsi="Times New Roman" w:eastAsia="宋体" w:cs="Times New Roman"/>
                <w:b w:val="0"/>
                <w:bCs w:val="0"/>
                <w:color w:val="000000" w:themeColor="text1"/>
                <w:lang w:val="en-US" w:eastAsia="zh-CN"/>
                <w14:textFill>
                  <w14:solidFill>
                    <w14:schemeClr w14:val="tx1"/>
                  </w14:solidFill>
                </w14:textFill>
              </w:rPr>
              <w:t>参照《排风罩的分类及技术条件》（GB/T16758-2008）第6.3.4章节中的相关要求：对于悬挂高度H≤1m的接受罩，罩口尺寸应比热源尺寸每边扩大150mm~200mm。本次评价取值150mm，则</w:t>
            </w:r>
            <w:r>
              <w:rPr>
                <w:rFonts w:hint="eastAsia" w:eastAsia="宋体" w:cs="Times New Roman"/>
                <w:b w:val="0"/>
                <w:bCs w:val="0"/>
                <w:color w:val="000000" w:themeColor="text1"/>
                <w:lang w:val="en-US" w:eastAsia="zh-CN"/>
                <w14:textFill>
                  <w14:solidFill>
                    <w14:schemeClr w14:val="tx1"/>
                  </w14:solidFill>
                </w14:textFill>
              </w:rPr>
              <w:t>发泡机</w:t>
            </w:r>
            <w:r>
              <w:rPr>
                <w:rFonts w:hint="eastAsia" w:ascii="Times New Roman" w:hAnsi="Times New Roman" w:eastAsia="宋体" w:cs="Times New Roman"/>
                <w:b w:val="0"/>
                <w:bCs w:val="0"/>
                <w:color w:val="000000" w:themeColor="text1"/>
                <w:lang w:val="en-US" w:eastAsia="zh-CN"/>
                <w14:textFill>
                  <w14:solidFill>
                    <w14:schemeClr w14:val="tx1"/>
                  </w14:solidFill>
                </w14:textFill>
              </w:rPr>
              <w:t>上方设置的集气罩尺寸为</w:t>
            </w:r>
            <w:r>
              <w:rPr>
                <w:rFonts w:hint="eastAsia" w:cs="Times New Roman"/>
                <w:b w:val="0"/>
                <w:bCs w:val="0"/>
                <w:color w:val="000000" w:themeColor="text1"/>
                <w:lang w:val="en-US" w:eastAsia="zh-CN"/>
                <w14:textFill>
                  <w14:solidFill>
                    <w14:schemeClr w14:val="tx1"/>
                  </w14:solidFill>
                </w14:textFill>
              </w:rPr>
              <w:t>0.75：0.75</w:t>
            </w:r>
            <w:r>
              <w:rPr>
                <w:rFonts w:hint="eastAsia" w:ascii="Times New Roman" w:hAnsi="Times New Roman" w:eastAsia="宋体" w:cs="Times New Roman"/>
                <w:b w:val="0"/>
                <w:bCs w:val="0"/>
                <w:color w:val="000000" w:themeColor="text1"/>
                <w:lang w:val="en-US" w:eastAsia="zh-CN"/>
                <w14:textFill>
                  <w14:solidFill>
                    <w14:schemeClr w14:val="tx1"/>
                  </w14:solidFill>
                </w14:textFill>
              </w:rPr>
              <w:t>m，集气罩投影面积约为0.</w:t>
            </w:r>
            <w:r>
              <w:rPr>
                <w:rFonts w:hint="eastAsia" w:cs="Times New Roman"/>
                <w:b w:val="0"/>
                <w:bCs w:val="0"/>
                <w:color w:val="000000" w:themeColor="text1"/>
                <w:lang w:val="en-US" w:eastAsia="zh-CN"/>
                <w14:textFill>
                  <w14:solidFill>
                    <w14:schemeClr w14:val="tx1"/>
                  </w14:solidFill>
                </w14:textFill>
              </w:rPr>
              <w:t>5625</w:t>
            </w:r>
            <w:r>
              <w:rPr>
                <w:rFonts w:hint="eastAsia" w:ascii="Times New Roman" w:hAnsi="Times New Roman" w:eastAsia="宋体" w:cs="Times New Roman"/>
                <w:b w:val="0"/>
                <w:bCs w:val="0"/>
                <w:color w:val="000000" w:themeColor="text1"/>
                <w:lang w:val="en-US" w:eastAsia="zh-CN"/>
                <w14:textFill>
                  <w14:solidFill>
                    <w14:schemeClr w14:val="tx1"/>
                  </w14:solidFill>
                </w14:textFill>
              </w:rPr>
              <w:t>m</w:t>
            </w:r>
            <w:r>
              <w:rPr>
                <w:rFonts w:hint="eastAsia" w:ascii="Times New Roman" w:hAnsi="Times New Roman" w:eastAsia="宋体" w:cs="Times New Roman"/>
                <w:b w:val="0"/>
                <w:bCs w:val="0"/>
                <w:color w:val="000000" w:themeColor="text1"/>
                <w:vertAlign w:val="superscript"/>
                <w:lang w:val="en-US" w:eastAsia="zh-CN"/>
                <w14:textFill>
                  <w14:solidFill>
                    <w14:schemeClr w14:val="tx1"/>
                  </w14:solidFill>
                </w14:textFill>
              </w:rPr>
              <w:t>2</w:t>
            </w:r>
            <w:r>
              <w:rPr>
                <w:rFonts w:hint="eastAsia" w:cs="Times New Roman"/>
                <w:b w:val="0"/>
                <w:bCs w:val="0"/>
                <w:color w:val="000000" w:themeColor="text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lang w:val="en-US" w:eastAsia="zh-CN"/>
                <w14:textFill>
                  <w14:solidFill>
                    <w14:schemeClr w14:val="tx1"/>
                  </w14:solidFill>
                </w14:textFill>
              </w:rPr>
              <w:t>则单台发泡机集气罩风量不低于</w:t>
            </w:r>
            <w:r>
              <w:rPr>
                <w:rFonts w:hint="eastAsia" w:cs="Times New Roman"/>
                <w:b w:val="0"/>
                <w:bCs w:val="0"/>
                <w:color w:val="000000" w:themeColor="text1"/>
                <w:lang w:val="en-US" w:eastAsia="zh-CN"/>
                <w14:textFill>
                  <w14:solidFill>
                    <w14:schemeClr w14:val="tx1"/>
                  </w14:solidFill>
                </w14:textFill>
              </w:rPr>
              <w:t>1417.5</w:t>
            </w:r>
            <w:r>
              <w:rPr>
                <w:rFonts w:hint="eastAsia" w:ascii="Times New Roman" w:hAnsi="Times New Roman" w:eastAsia="宋体" w:cs="Times New Roman"/>
                <w:b w:val="0"/>
                <w:bCs w:val="0"/>
                <w:color w:val="000000" w:themeColor="text1"/>
                <w:lang w:val="en-US" w:eastAsia="zh-CN"/>
                <w14:textFill>
                  <w14:solidFill>
                    <w14:schemeClr w14:val="tx1"/>
                  </w14:solidFill>
                </w14:textFill>
              </w:rPr>
              <w:t>m</w:t>
            </w:r>
            <w:r>
              <w:rPr>
                <w:rFonts w:hint="eastAsia" w:ascii="Times New Roman" w:hAnsi="Times New Roman" w:eastAsia="宋体" w:cs="Times New Roman"/>
                <w:b w:val="0"/>
                <w:bCs w:val="0"/>
                <w:color w:val="000000" w:themeColor="text1"/>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lang w:val="en-US" w:eastAsia="zh-CN"/>
                <w14:textFill>
                  <w14:solidFill>
                    <w14:schemeClr w14:val="tx1"/>
                  </w14:solidFill>
                </w14:textFill>
              </w:rPr>
              <w:t>/h</w:t>
            </w:r>
            <w:r>
              <w:rPr>
                <w:rFonts w:hint="eastAsia" w:cs="Times New Roman"/>
                <w:b w:val="0"/>
                <w:bCs w:val="0"/>
                <w:color w:val="000000" w:themeColor="text1"/>
                <w:lang w:val="en-US" w:eastAsia="zh-CN"/>
                <w14:textFill>
                  <w14:solidFill>
                    <w14:schemeClr w14:val="tx1"/>
                  </w14:solidFill>
                </w14:textFill>
              </w:rPr>
              <w:t>；成型</w:t>
            </w:r>
            <w:r>
              <w:rPr>
                <w:rFonts w:hint="eastAsia" w:eastAsia="宋体" w:cs="Times New Roman"/>
                <w:b w:val="0"/>
                <w:bCs w:val="0"/>
                <w:color w:val="000000" w:themeColor="text1"/>
                <w:lang w:val="en-US" w:eastAsia="zh-CN"/>
                <w14:textFill>
                  <w14:solidFill>
                    <w14:schemeClr w14:val="tx1"/>
                  </w14:solidFill>
                </w14:textFill>
              </w:rPr>
              <w:t>机</w:t>
            </w:r>
            <w:r>
              <w:rPr>
                <w:rFonts w:hint="eastAsia" w:ascii="Times New Roman" w:hAnsi="Times New Roman" w:eastAsia="宋体" w:cs="Times New Roman"/>
                <w:b w:val="0"/>
                <w:bCs w:val="0"/>
                <w:color w:val="000000" w:themeColor="text1"/>
                <w:lang w:val="en-US" w:eastAsia="zh-CN"/>
                <w14:textFill>
                  <w14:solidFill>
                    <w14:schemeClr w14:val="tx1"/>
                  </w14:solidFill>
                </w14:textFill>
              </w:rPr>
              <w:t>上方设置的集气罩尺寸为</w:t>
            </w:r>
            <w:r>
              <w:rPr>
                <w:rFonts w:hint="eastAsia" w:cs="Times New Roman"/>
                <w:b w:val="0"/>
                <w:bCs w:val="0"/>
                <w:color w:val="000000" w:themeColor="text1"/>
                <w:lang w:val="en-US" w:eastAsia="zh-CN"/>
                <w14:textFill>
                  <w14:solidFill>
                    <w14:schemeClr w14:val="tx1"/>
                  </w14:solidFill>
                </w14:textFill>
              </w:rPr>
              <w:t>2.15：0.65</w:t>
            </w:r>
            <w:r>
              <w:rPr>
                <w:rFonts w:hint="eastAsia" w:ascii="Times New Roman" w:hAnsi="Times New Roman" w:eastAsia="宋体" w:cs="Times New Roman"/>
                <w:b w:val="0"/>
                <w:bCs w:val="0"/>
                <w:color w:val="000000" w:themeColor="text1"/>
                <w:lang w:val="en-US" w:eastAsia="zh-CN"/>
                <w14:textFill>
                  <w14:solidFill>
                    <w14:schemeClr w14:val="tx1"/>
                  </w14:solidFill>
                </w14:textFill>
              </w:rPr>
              <w:t>m，集气罩投影面积约为1.3975m</w:t>
            </w:r>
            <w:r>
              <w:rPr>
                <w:rFonts w:hint="eastAsia" w:ascii="Times New Roman" w:hAnsi="Times New Roman" w:eastAsia="宋体" w:cs="Times New Roman"/>
                <w:b w:val="0"/>
                <w:bCs w:val="0"/>
                <w:color w:val="000000" w:themeColor="text1"/>
                <w:vertAlign w:val="superscript"/>
                <w:lang w:val="en-US" w:eastAsia="zh-CN"/>
                <w14:textFill>
                  <w14:solidFill>
                    <w14:schemeClr w14:val="tx1"/>
                  </w14:solidFill>
                </w14:textFill>
              </w:rPr>
              <w:t>2</w:t>
            </w:r>
            <w:r>
              <w:rPr>
                <w:rFonts w:hint="eastAsia" w:cs="Times New Roman"/>
                <w:b w:val="0"/>
                <w:bCs w:val="0"/>
                <w:color w:val="000000" w:themeColor="text1"/>
                <w:lang w:val="en-US" w:eastAsia="zh-CN"/>
                <w14:textFill>
                  <w14:solidFill>
                    <w14:schemeClr w14:val="tx1"/>
                  </w14:solidFill>
                </w14:textFill>
              </w:rPr>
              <w:t>，则成型机</w:t>
            </w:r>
            <w:r>
              <w:rPr>
                <w:rFonts w:hint="eastAsia" w:ascii="Times New Roman" w:hAnsi="Times New Roman" w:eastAsia="宋体" w:cs="Times New Roman"/>
                <w:b w:val="0"/>
                <w:bCs w:val="0"/>
                <w:color w:val="000000" w:themeColor="text1"/>
                <w:lang w:val="en-US" w:eastAsia="zh-CN"/>
                <w14:textFill>
                  <w14:solidFill>
                    <w14:schemeClr w14:val="tx1"/>
                  </w14:solidFill>
                </w14:textFill>
              </w:rPr>
              <w:t>集气罩风量不低于</w:t>
            </w:r>
            <w:r>
              <w:rPr>
                <w:rFonts w:hint="eastAsia" w:cs="Times New Roman"/>
                <w:b w:val="0"/>
                <w:bCs w:val="0"/>
                <w:color w:val="000000" w:themeColor="text1"/>
                <w:lang w:val="en-US" w:eastAsia="zh-CN"/>
                <w14:textFill>
                  <w14:solidFill>
                    <w14:schemeClr w14:val="tx1"/>
                  </w14:solidFill>
                </w14:textFill>
              </w:rPr>
              <w:t>3521.7</w:t>
            </w:r>
            <w:r>
              <w:rPr>
                <w:rFonts w:hint="eastAsia" w:ascii="Times New Roman" w:hAnsi="Times New Roman" w:eastAsia="宋体" w:cs="Times New Roman"/>
                <w:b w:val="0"/>
                <w:bCs w:val="0"/>
                <w:color w:val="000000" w:themeColor="text1"/>
                <w:lang w:val="en-US" w:eastAsia="zh-CN"/>
                <w14:textFill>
                  <w14:solidFill>
                    <w14:schemeClr w14:val="tx1"/>
                  </w14:solidFill>
                </w14:textFill>
              </w:rPr>
              <w:t>m</w:t>
            </w:r>
            <w:r>
              <w:rPr>
                <w:rFonts w:hint="eastAsia" w:ascii="Times New Roman" w:hAnsi="Times New Roman" w:eastAsia="宋体" w:cs="Times New Roman"/>
                <w:b w:val="0"/>
                <w:bCs w:val="0"/>
                <w:color w:val="000000" w:themeColor="text1"/>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lang w:val="en-US" w:eastAsia="zh-CN"/>
                <w14:textFill>
                  <w14:solidFill>
                    <w14:schemeClr w14:val="tx1"/>
                  </w14:solidFill>
                </w14:textFill>
              </w:rPr>
              <w:t>/h</w:t>
            </w:r>
            <w:r>
              <w:rPr>
                <w:rFonts w:hint="eastAsia" w:cs="Times New Roman"/>
                <w:b w:val="0"/>
                <w:bCs w:val="0"/>
                <w:color w:val="000000" w:themeColor="text1"/>
                <w:lang w:val="en-US" w:eastAsia="zh-CN"/>
                <w14:textFill>
                  <w14:solidFill>
                    <w14:schemeClr w14:val="tx1"/>
                  </w14:solidFill>
                </w14:textFill>
              </w:rPr>
              <w:t>。即</w:t>
            </w:r>
            <w:r>
              <w:rPr>
                <w:rFonts w:hint="eastAsia" w:ascii="Times New Roman" w:hAnsi="Times New Roman" w:eastAsia="宋体" w:cs="Times New Roman"/>
                <w:b w:val="0"/>
                <w:bCs w:val="0"/>
                <w:color w:val="000000" w:themeColor="text1"/>
                <w:lang w:val="en-US" w:eastAsia="zh-CN"/>
                <w14:textFill>
                  <w14:solidFill>
                    <w14:schemeClr w14:val="tx1"/>
                  </w14:solidFill>
                </w14:textFill>
              </w:rPr>
              <w:t>即风机风量不小于</w:t>
            </w:r>
            <w:r>
              <w:rPr>
                <w:rFonts w:hint="eastAsia" w:cs="Times New Roman"/>
                <w:b w:val="0"/>
                <w:bCs w:val="0"/>
                <w:color w:val="000000" w:themeColor="text1"/>
                <w:lang w:val="en-US" w:eastAsia="zh-CN"/>
                <w14:textFill>
                  <w14:solidFill>
                    <w14:schemeClr w14:val="tx1"/>
                  </w14:solidFill>
                </w14:textFill>
              </w:rPr>
              <w:t>6356.7</w:t>
            </w:r>
            <w:r>
              <w:rPr>
                <w:rFonts w:hint="eastAsia" w:ascii="Times New Roman" w:hAnsi="Times New Roman" w:eastAsia="宋体" w:cs="Times New Roman"/>
                <w:b w:val="0"/>
                <w:bCs w:val="0"/>
                <w:color w:val="000000" w:themeColor="text1"/>
                <w:lang w:val="en-US" w:eastAsia="zh-CN"/>
                <w14:textFill>
                  <w14:solidFill>
                    <w14:schemeClr w14:val="tx1"/>
                  </w14:solidFill>
                </w14:textFill>
              </w:rPr>
              <w:t>m</w:t>
            </w:r>
            <w:r>
              <w:rPr>
                <w:rFonts w:hint="eastAsia" w:ascii="Times New Roman" w:hAnsi="Times New Roman" w:eastAsia="宋体" w:cs="Times New Roman"/>
                <w:b w:val="0"/>
                <w:bCs w:val="0"/>
                <w:color w:val="000000" w:themeColor="text1"/>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lang w:val="en-US" w:eastAsia="zh-CN"/>
                <w14:textFill>
                  <w14:solidFill>
                    <w14:schemeClr w14:val="tx1"/>
                  </w14:solidFill>
                </w14:textFill>
              </w:rPr>
              <w:t>/h</w:t>
            </w:r>
            <w:r>
              <w:rPr>
                <w:rFonts w:hint="eastAsia" w:cs="Times New Roman"/>
                <w:b w:val="0"/>
                <w:bCs w:val="0"/>
                <w:color w:val="000000" w:themeColor="text1"/>
                <w:lang w:val="en-US" w:eastAsia="zh-CN"/>
                <w14:textFill>
                  <w14:solidFill>
                    <w14:schemeClr w14:val="tx1"/>
                  </w14:solidFill>
                </w14:textFill>
              </w:rPr>
              <w:t>。</w:t>
            </w:r>
          </w:p>
          <w:p w14:paraId="02F15368">
            <w:pPr>
              <w:pStyle w:val="51"/>
              <w:keepNext w:val="0"/>
              <w:keepLines/>
              <w:pageBreakBefore w:val="0"/>
              <w:kinsoku/>
              <w:overflowPunct/>
              <w:bidi w:val="0"/>
              <w:adjustRightInd/>
              <w:ind w:firstLine="48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本次评价提出</w:t>
            </w:r>
            <w:r>
              <w:rPr>
                <w:rFonts w:hint="eastAsia" w:ascii="Times New Roman" w:hAnsi="Times New Roman" w:eastAsia="宋体" w:cs="Times New Roman"/>
                <w:b w:val="0"/>
                <w:bCs w:val="0"/>
                <w:color w:val="000000" w:themeColor="text1"/>
                <w:lang w:val="en-US" w:eastAsia="zh-CN"/>
                <w14:textFill>
                  <w14:solidFill>
                    <w14:schemeClr w14:val="tx1"/>
                  </w14:solidFill>
                </w14:textFill>
              </w:rPr>
              <w:t>设置风量</w:t>
            </w:r>
            <w:r>
              <w:rPr>
                <w:rFonts w:hint="eastAsia" w:cs="Times New Roman"/>
                <w:b w:val="0"/>
                <w:bCs w:val="0"/>
                <w:color w:val="000000" w:themeColor="text1"/>
                <w:lang w:val="en-US" w:eastAsia="zh-CN"/>
                <w14:textFill>
                  <w14:solidFill>
                    <w14:schemeClr w14:val="tx1"/>
                  </w14:solidFill>
                </w14:textFill>
              </w:rPr>
              <w:t>70</w:t>
            </w:r>
            <w:r>
              <w:rPr>
                <w:rFonts w:hint="eastAsia" w:ascii="Times New Roman" w:hAnsi="Times New Roman" w:eastAsia="宋体" w:cs="Times New Roman"/>
                <w:b w:val="0"/>
                <w:bCs w:val="0"/>
                <w:color w:val="000000" w:themeColor="text1"/>
                <w:lang w:val="en-US" w:eastAsia="zh-CN"/>
                <w14:textFill>
                  <w14:solidFill>
                    <w14:schemeClr w14:val="tx1"/>
                  </w14:solidFill>
                </w14:textFill>
              </w:rPr>
              <w:t>00m</w:t>
            </w:r>
            <w:r>
              <w:rPr>
                <w:rFonts w:hint="eastAsia" w:ascii="Times New Roman" w:hAnsi="Times New Roman" w:eastAsia="宋体" w:cs="Times New Roman"/>
                <w:b w:val="0"/>
                <w:bCs w:val="0"/>
                <w:color w:val="000000" w:themeColor="text1"/>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lang w:val="en-US" w:eastAsia="zh-CN"/>
                <w14:textFill>
                  <w14:solidFill>
                    <w14:schemeClr w14:val="tx1"/>
                  </w14:solidFill>
                </w14:textFill>
              </w:rPr>
              <w:t>/h的风机，</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将</w:t>
            </w:r>
            <w:r>
              <w:rPr>
                <w:rFonts w:hint="eastAsia" w:cs="Times New Roman" w:eastAsiaTheme="minorEastAsia"/>
                <w:color w:val="000000" w:themeColor="text1"/>
                <w:sz w:val="24"/>
                <w:szCs w:val="24"/>
                <w:lang w:val="en-US" w:eastAsia="zh-CN"/>
                <w14:textFill>
                  <w14:solidFill>
                    <w14:schemeClr w14:val="tx1"/>
                  </w14:solidFill>
                </w14:textFill>
              </w:rPr>
              <w:t>有机</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废气引至有机废气处理系统进行处理。</w:t>
            </w:r>
          </w:p>
          <w:p w14:paraId="60FEF406">
            <w:pPr>
              <w:pStyle w:val="51"/>
              <w:keepNext w:val="0"/>
              <w:keepLines/>
              <w:pageBreakBefore w:val="0"/>
              <w:kinsoku/>
              <w:overflowPunct/>
              <w:bidi w:val="0"/>
              <w:adjustRightInd/>
              <w:ind w:firstLine="480"/>
              <w:rPr>
                <w:rFonts w:hint="eastAsia"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③收集效率</w:t>
            </w:r>
          </w:p>
          <w:p w14:paraId="45D9B0E2">
            <w:pPr>
              <w:pStyle w:val="51"/>
              <w:keepNext w:val="0"/>
              <w:keepLines/>
              <w:pageBreakBefore w:val="0"/>
              <w:kinsoku/>
              <w:overflowPunct/>
              <w:bidi w:val="0"/>
              <w:adjustRightInd/>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本项目集气罩废气收集效率</w:t>
            </w:r>
            <w:r>
              <w:rPr>
                <w:rFonts w:hint="default" w:ascii="Times New Roman" w:hAnsi="Times New Roman" w:eastAsia="宋体" w:cs="Times New Roman"/>
                <w:color w:val="000000" w:themeColor="text1"/>
                <w:lang w:eastAsia="zh-CN"/>
                <w14:textFill>
                  <w14:solidFill>
                    <w14:schemeClr w14:val="tx1"/>
                  </w14:solidFill>
                </w14:textFill>
              </w:rPr>
              <w:t>参考《浙江省重点行业</w:t>
            </w:r>
            <w:r>
              <w:rPr>
                <w:rFonts w:hint="default" w:ascii="Times New Roman" w:hAnsi="Times New Roman" w:eastAsia="宋体" w:cs="Times New Roman"/>
                <w:color w:val="000000" w:themeColor="text1"/>
                <w:lang w:val="en-US" w:eastAsia="zh-CN"/>
                <w14:textFill>
                  <w14:solidFill>
                    <w14:schemeClr w14:val="tx1"/>
                  </w14:solidFill>
                </w14:textFill>
              </w:rPr>
              <w:t>VOCs污染排放源排放量计算方法</w:t>
            </w:r>
            <w:r>
              <w:rPr>
                <w:rFonts w:hint="default" w:ascii="Times New Roman" w:hAnsi="Times New Roman" w:eastAsia="宋体" w:cs="Times New Roman"/>
                <w:color w:val="000000" w:themeColor="text1"/>
                <w:lang w:eastAsia="zh-CN"/>
                <w14:textFill>
                  <w14:solidFill>
                    <w14:schemeClr w14:val="tx1"/>
                  </w14:solidFill>
                </w14:textFill>
              </w:rPr>
              <w:t>》（浙江省环境保护科学设计研究院、浙江环科环境研究院有限公司），</w:t>
            </w:r>
            <w:r>
              <w:rPr>
                <w:rFonts w:hint="eastAsia" w:cs="Times New Roman"/>
                <w:color w:val="000000" w:themeColor="text1"/>
                <w:lang w:eastAsia="zh-CN"/>
                <w14:textFill>
                  <w14:solidFill>
                    <w14:schemeClr w14:val="tx1"/>
                  </w14:solidFill>
                </w14:textFill>
              </w:rPr>
              <w:t>“半密闭罩或通风橱方式收集，收集效率为</w:t>
            </w:r>
            <w:r>
              <w:rPr>
                <w:rFonts w:hint="eastAsia" w:cs="Times New Roman"/>
                <w:color w:val="000000" w:themeColor="text1"/>
                <w:lang w:val="en-US" w:eastAsia="zh-CN"/>
                <w14:textFill>
                  <w14:solidFill>
                    <w14:schemeClr w14:val="tx1"/>
                  </w14:solidFill>
                </w14:textFill>
              </w:rPr>
              <w:t>65~85%。”，“</w:t>
            </w:r>
            <w:r>
              <w:rPr>
                <w:rFonts w:hint="default" w:ascii="Times New Roman" w:hAnsi="Times New Roman" w:cs="Times New Roman"/>
                <w:color w:val="000000" w:themeColor="text1"/>
                <w:lang w:val="en-US" w:eastAsia="zh-CN"/>
                <w14:textFill>
                  <w14:solidFill>
                    <w14:schemeClr w14:val="tx1"/>
                  </w14:solidFill>
                </w14:textFill>
              </w:rPr>
              <w:t>达到上限必须满足的条件</w:t>
            </w:r>
            <w:r>
              <w:rPr>
                <w:rFonts w:hint="eastAsia" w:ascii="Times New Roman" w:hAnsi="Times New Roman" w:cs="Times New Roman"/>
                <w:color w:val="000000" w:themeColor="text1"/>
                <w:lang w:val="en-US" w:eastAsia="zh-CN"/>
                <w14:textFill>
                  <w14:solidFill>
                    <w14:schemeClr w14:val="tx1"/>
                  </w14:solidFill>
                </w14:textFill>
              </w:rPr>
              <w:t>，否则按下限计</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污染物产生点（面）处，往吸入口方向的控制风速不小于某一数值（喷漆不小于0.75m/s，其余不小于0.5m/s</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根据上文风机风量计算，本项目</w:t>
            </w:r>
            <w:r>
              <w:rPr>
                <w:rFonts w:hint="eastAsia" w:ascii="Times New Roman" w:hAnsi="Times New Roman" w:eastAsia="宋体" w:cs="Times New Roman"/>
                <w:b w:val="0"/>
                <w:bCs w:val="0"/>
                <w:color w:val="000000" w:themeColor="text1"/>
                <w:lang w:val="en-US" w:eastAsia="zh-CN"/>
                <w14:textFill>
                  <w14:solidFill>
                    <w14:schemeClr w14:val="tx1"/>
                  </w14:solidFill>
                </w14:textFill>
              </w:rPr>
              <w:t>罩口处平均设计风速约</w:t>
            </w:r>
            <w:r>
              <w:rPr>
                <w:rFonts w:hint="eastAsia" w:cs="Times New Roman"/>
                <w:color w:val="000000" w:themeColor="text1"/>
                <w:lang w:val="en-US" w:eastAsia="zh-CN"/>
                <w14:textFill>
                  <w14:solidFill>
                    <w14:schemeClr w14:val="tx1"/>
                  </w14:solidFill>
                </w14:textFill>
              </w:rPr>
              <w:t>0.7m/s，考虑实际运行情况，</w:t>
            </w:r>
            <w:r>
              <w:rPr>
                <w:rFonts w:hint="default" w:ascii="Times New Roman" w:hAnsi="Times New Roman" w:eastAsia="宋体" w:cs="Times New Roman"/>
                <w:color w:val="000000" w:themeColor="text1"/>
                <w:lang w:val="en-US" w:eastAsia="zh-CN"/>
                <w14:textFill>
                  <w14:solidFill>
                    <w14:schemeClr w14:val="tx1"/>
                  </w14:solidFill>
                </w14:textFill>
              </w:rPr>
              <w:t>故本项目收集效率按</w:t>
            </w:r>
            <w:r>
              <w:rPr>
                <w:rFonts w:hint="eastAsia" w:cs="Times New Roman"/>
                <w:color w:val="000000" w:themeColor="text1"/>
                <w:lang w:val="en-US" w:eastAsia="zh-CN"/>
                <w14:textFill>
                  <w14:solidFill>
                    <w14:schemeClr w14:val="tx1"/>
                  </w14:solidFill>
                </w14:textFill>
              </w:rPr>
              <w:t>80</w:t>
            </w:r>
            <w:r>
              <w:rPr>
                <w:rFonts w:hint="default" w:ascii="Times New Roman" w:hAnsi="Times New Roman" w:eastAsia="宋体" w:cs="Times New Roman"/>
                <w:color w:val="000000" w:themeColor="text1"/>
                <w:lang w:val="en-US" w:eastAsia="zh-CN"/>
                <w14:textFill>
                  <w14:solidFill>
                    <w14:schemeClr w14:val="tx1"/>
                  </w14:solidFill>
                </w14:textFill>
              </w:rPr>
              <w:t>%计，则</w:t>
            </w:r>
            <w:r>
              <w:rPr>
                <w:rFonts w:hint="default" w:ascii="Times New Roman" w:hAnsi="Times New Roman" w:eastAsia="宋体" w:cs="Times New Roman"/>
                <w:color w:val="000000" w:themeColor="text1"/>
                <w14:textFill>
                  <w14:solidFill>
                    <w14:schemeClr w14:val="tx1"/>
                  </w14:solidFill>
                </w14:textFill>
              </w:rPr>
              <w:t>剩余</w:t>
            </w:r>
            <w:r>
              <w:rPr>
                <w:rFonts w:hint="eastAsia" w:ascii="Times New Roman" w:hAnsi="Times New Roman" w:eastAsia="宋体" w:cs="Times New Roman"/>
                <w:color w:val="000000" w:themeColor="text1"/>
                <w:lang w:val="en-US" w:eastAsia="zh-CN"/>
                <w14:textFill>
                  <w14:solidFill>
                    <w14:schemeClr w14:val="tx1"/>
                  </w14:solidFill>
                </w14:textFill>
              </w:rPr>
              <w:t>20</w:t>
            </w:r>
            <w:r>
              <w:rPr>
                <w:rFonts w:hint="default" w:ascii="Times New Roman" w:hAnsi="Times New Roman" w:eastAsia="宋体" w:cs="Times New Roman"/>
                <w:color w:val="000000" w:themeColor="text1"/>
                <w14:textFill>
                  <w14:solidFill>
                    <w14:schemeClr w14:val="tx1"/>
                  </w14:solidFill>
                </w14:textFill>
              </w:rPr>
              <w:t>%未收集的废气为无组织排放</w:t>
            </w:r>
            <w:r>
              <w:rPr>
                <w:rFonts w:hint="default" w:ascii="Times New Roman" w:hAnsi="Times New Roman" w:eastAsia="宋体" w:cs="Times New Roman"/>
                <w:color w:val="000000" w:themeColor="text1"/>
                <w:lang w:val="en-US" w:eastAsia="zh-CN"/>
                <w14:textFill>
                  <w14:solidFill>
                    <w14:schemeClr w14:val="tx1"/>
                  </w14:solidFill>
                </w14:textFill>
              </w:rPr>
              <w:t>。</w:t>
            </w:r>
          </w:p>
          <w:p w14:paraId="68C2F656">
            <w:pPr>
              <w:pStyle w:val="51"/>
              <w:keepNext w:val="0"/>
              <w:keepLines/>
              <w:pageBreakBefore w:val="0"/>
              <w:kinsoku/>
              <w:overflowPunct/>
              <w:bidi w:val="0"/>
              <w:adjustRightInd/>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为保障处理设施能够稳定，从而保证收集效率，本环评建议建设单位：</w:t>
            </w:r>
          </w:p>
          <w:p w14:paraId="42F58764">
            <w:pPr>
              <w:pStyle w:val="51"/>
              <w:keepNext w:val="0"/>
              <w:keepLines/>
              <w:pageBreakBefore w:val="0"/>
              <w:kinsoku/>
              <w:overflowPunct/>
              <w:bidi w:val="0"/>
              <w:adjustRightInd/>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A.</w:t>
            </w:r>
            <w:r>
              <w:rPr>
                <w:rFonts w:hint="default" w:ascii="Times New Roman" w:hAnsi="Times New Roman" w:cs="Times New Roman"/>
                <w:color w:val="000000" w:themeColor="text1"/>
                <w14:textFill>
                  <w14:solidFill>
                    <w14:schemeClr w14:val="tx1"/>
                  </w14:solidFill>
                </w14:textFill>
              </w:rPr>
              <w:t>在尽可能保证操作流程的情况下减少横向气流对产生废气的影响，且废气设施运行时车间门窗尽可能密闭，减少外部车间横向气流对吸气收集影响，从而保证收集效率。</w:t>
            </w:r>
          </w:p>
          <w:p w14:paraId="0559E23A">
            <w:pPr>
              <w:pStyle w:val="51"/>
              <w:keepNext w:val="0"/>
              <w:keepLines/>
              <w:pageBreakBefore w:val="0"/>
              <w:kinsoku/>
              <w:overflowPunct/>
              <w:bidi w:val="0"/>
              <w:adjustRightInd/>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B.</w:t>
            </w:r>
            <w:r>
              <w:rPr>
                <w:rFonts w:hint="default" w:ascii="Times New Roman" w:hAnsi="Times New Roman" w:cs="Times New Roman"/>
                <w:color w:val="000000" w:themeColor="text1"/>
                <w14:textFill>
                  <w14:solidFill>
                    <w14:schemeClr w14:val="tx1"/>
                  </w14:solidFill>
                </w14:textFill>
              </w:rPr>
              <w:t>集气罩的收集效率与收集方式、集气罩大小、距污染源距离、收集风速和风量等有关，为提高集气罩控制效果，本次设计罩口尽可能靠近污染物发生源，减少横向气流的干扰。</w:t>
            </w:r>
          </w:p>
          <w:p w14:paraId="05942D58">
            <w:pPr>
              <w:pStyle w:val="51"/>
              <w:keepNext w:val="0"/>
              <w:keepLines/>
              <w:pageBreakBefore w:val="0"/>
              <w:kinsoku/>
              <w:overflowPunct/>
              <w:bidi w:val="0"/>
              <w:adjustRightInd/>
              <w:ind w:firstLine="480"/>
              <w:rPr>
                <w:rFonts w:hint="eastAsia" w:ascii="Times New Roman" w:hAnsi="Times New Roman" w:eastAsia="宋体" w:cs="Times New Roman"/>
                <w:b/>
                <w:bCs/>
                <w:color w:val="000000" w:themeColor="text1"/>
                <w:lang w:eastAsia="zh-CN"/>
                <w14:textFill>
                  <w14:solidFill>
                    <w14:schemeClr w14:val="tx1"/>
                  </w14:solidFill>
                </w14:textFill>
              </w:rPr>
            </w:pPr>
            <w:r>
              <w:rPr>
                <w:rFonts w:hint="eastAsia" w:ascii="Times New Roman" w:hAnsi="Times New Roman" w:cs="Times New Roman"/>
                <w:b/>
                <w:bCs/>
                <w:color w:val="000000" w:themeColor="text1"/>
                <w:lang w:eastAsia="zh-CN"/>
                <w14:textFill>
                  <w14:solidFill>
                    <w14:schemeClr w14:val="tx1"/>
                  </w14:solidFill>
                </w14:textFill>
              </w:rPr>
              <w:t>④废气处理效率</w:t>
            </w:r>
          </w:p>
          <w:p w14:paraId="35A0B302">
            <w:pPr>
              <w:spacing w:line="360"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活性炭吸附工作原理：</w:t>
            </w:r>
            <w:r>
              <w:rPr>
                <w:color w:val="000000" w:themeColor="text1"/>
                <w:sz w:val="24"/>
                <w14:textFill>
                  <w14:solidFill>
                    <w14:schemeClr w14:val="tx1"/>
                  </w14:solidFill>
                </w14:textFill>
              </w:rPr>
              <w:t>活性炭是由各种含碳物质（如木材、泥煤、果核、椰壳等原料）在高温下炭化后，再经活化处理，然后制成的孔隙十分丰富的吸附剂，具有非极性表面、疏水性、亲有机物的吸附剂，常用来吸附空气中的有机溶剂和恶臭物质，</w:t>
            </w:r>
            <w:r>
              <w:rPr>
                <w:rFonts w:ascii="Times New Roman" w:hAnsi="Times New Roman" w:eastAsia="宋体" w:cs="Times New Roman"/>
                <w:color w:val="000000" w:themeColor="text1"/>
                <w:sz w:val="24"/>
                <w14:textFill>
                  <w14:solidFill>
                    <w14:schemeClr w14:val="tx1"/>
                  </w14:solidFill>
                </w14:textFill>
              </w:rPr>
              <w:t>它可以根据需要制成不同性状和粒度，如粉末活性炭、颗粒活性炭及柱状活性炭。</w:t>
            </w:r>
            <w:r>
              <w:rPr>
                <w:rFonts w:hint="eastAsia" w:ascii="Times New Roman" w:hAnsi="Times New Roman" w:eastAsia="宋体" w:cs="Times New Roman"/>
                <w:color w:val="000000" w:themeColor="text1"/>
                <w:sz w:val="24"/>
                <w:lang w:eastAsia="zh-CN"/>
                <w14:textFill>
                  <w14:solidFill>
                    <w14:schemeClr w14:val="tx1"/>
                  </w14:solidFill>
                </w14:textFill>
              </w:rPr>
              <w:t>活性炭</w:t>
            </w:r>
            <w:r>
              <w:rPr>
                <w:rFonts w:hint="default" w:ascii="Times New Roman" w:hAnsi="Times New Roman" w:eastAsia="宋体" w:cs="Times New Roman"/>
                <w:color w:val="000000" w:themeColor="text1"/>
                <w:sz w:val="24"/>
                <w14:textFill>
                  <w14:solidFill>
                    <w14:schemeClr w14:val="tx1"/>
                  </w14:solidFill>
                </w14:textFill>
              </w:rPr>
              <w:t>可以较彻底地净化废气，即可进行深度净化，特别是对于低浓度废气的净化，</w:t>
            </w:r>
            <w:r>
              <w:rPr>
                <w:color w:val="000000" w:themeColor="text1"/>
                <w:sz w:val="24"/>
                <w14:textFill>
                  <w14:solidFill>
                    <w14:schemeClr w14:val="tx1"/>
                  </w14:solidFill>
                </w14:textFill>
              </w:rPr>
              <w:t>能耗低，运行费用相对其他方法低；在确保活性炭更换及时的情况下，处理效率较稳定。</w:t>
            </w:r>
          </w:p>
          <w:p w14:paraId="356F500F">
            <w:pPr>
              <w:pStyle w:val="51"/>
              <w:keepNext w:val="0"/>
              <w:keepLines/>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本次评价通过类比《东营市辉阳包装材料有限公司EPS包装制品加工迁建项目竣工环境保护验收监测报告表》</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得出本项目有机废气处理效率，具体如下：</w:t>
            </w:r>
          </w:p>
          <w:p w14:paraId="208C0BFD">
            <w:pPr>
              <w:pStyle w:val="51"/>
              <w:keepNext w:val="0"/>
              <w:keepLines/>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东营市辉阳包装材料有限公司</w:t>
            </w:r>
            <w:r>
              <w:rPr>
                <w:rFonts w:hint="eastAsia" w:cs="Times New Roman"/>
                <w:color w:val="000000" w:themeColor="text1"/>
                <w:highlight w:val="none"/>
                <w:lang w:val="en-US" w:eastAsia="zh-CN"/>
                <w14:textFill>
                  <w14:solidFill>
                    <w14:schemeClr w14:val="tx1"/>
                  </w14:solidFill>
                </w14:textFill>
              </w:rPr>
              <w:t>通过</w:t>
            </w:r>
            <w:r>
              <w:rPr>
                <w:rFonts w:hint="eastAsia" w:ascii="宋体" w:hAnsi="宋体" w:eastAsia="宋体" w:cs="宋体"/>
                <w:color w:val="000000" w:themeColor="text1"/>
                <w:kern w:val="0"/>
                <w:sz w:val="24"/>
                <w:szCs w:val="24"/>
                <w:lang w:val="en-US" w:eastAsia="zh-CN" w:bidi="ar"/>
                <w14:textFill>
                  <w14:solidFill>
                    <w14:schemeClr w14:val="tx1"/>
                  </w14:solidFill>
                </w14:textFill>
              </w:rPr>
              <w:t>可发性聚苯乙烯颗粒经过发泡、熟化、成型、烘干工序生产EPS包装制品，主要生产设备包括成型机、空压机、发泡机、蒸汽罐、烘干房等。</w:t>
            </w:r>
            <w:r>
              <w:rPr>
                <w:rFonts w:hint="eastAsia" w:cs="Times New Roman"/>
                <w:color w:val="000000" w:themeColor="text1"/>
                <w:highlight w:val="none"/>
                <w:lang w:val="en-US" w:eastAsia="zh-CN"/>
                <w14:textFill>
                  <w14:solidFill>
                    <w14:schemeClr w14:val="tx1"/>
                  </w14:solidFill>
                </w14:textFill>
              </w:rPr>
              <w:t>其中，发泡工序、熟化工序、成型工序、烘干工序废气经收集后进入“两级活性炭装置”处理，处理后通过1根15m高排气筒DA002排放。</w:t>
            </w:r>
          </w:p>
          <w:p w14:paraId="7D1325FC">
            <w:pPr>
              <w:pStyle w:val="51"/>
              <w:keepNext w:val="0"/>
              <w:keepLines/>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本项目使用的生产原料、生产工艺、发泡工段废气治理工艺基本一致，故本项目类比《</w:t>
            </w:r>
            <w:r>
              <w:rPr>
                <w:rFonts w:hint="eastAsia" w:ascii="Times New Roman" w:hAnsi="Times New Roman" w:eastAsia="宋体" w:cs="Times New Roman"/>
                <w:color w:val="000000" w:themeColor="text1"/>
                <w:sz w:val="24"/>
                <w:lang w:val="en-US" w:eastAsia="zh-CN"/>
                <w14:textFill>
                  <w14:solidFill>
                    <w14:schemeClr w14:val="tx1"/>
                  </w14:solidFill>
                </w14:textFill>
              </w:rPr>
              <w:t>东营市辉阳包装材料有限公司《EPS包装制品加工迁建项目竣工环境保护验收监测报告表</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》是可行的。</w:t>
            </w:r>
          </w:p>
          <w:p w14:paraId="4EDD6FD5">
            <w:pPr>
              <w:pStyle w:val="51"/>
              <w:keepNext w:val="0"/>
              <w:keepLines/>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本次评价收集了《</w:t>
            </w:r>
            <w:r>
              <w:rPr>
                <w:rFonts w:hint="eastAsia" w:ascii="Times New Roman" w:hAnsi="Times New Roman" w:eastAsia="宋体" w:cs="Times New Roman"/>
                <w:color w:val="000000" w:themeColor="text1"/>
                <w:sz w:val="24"/>
                <w:lang w:val="en-US" w:eastAsia="zh-CN"/>
                <w14:textFill>
                  <w14:solidFill>
                    <w14:schemeClr w14:val="tx1"/>
                  </w14:solidFill>
                </w14:textFill>
              </w:rPr>
              <w:t>东营市辉阳包装材料有限公司《EPS包装制品加工迁建项目竣工环境保护验收监测报告表</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》中关于</w:t>
            </w:r>
            <w:r>
              <w:rPr>
                <w:rFonts w:hint="eastAsia" w:cs="Times New Roman"/>
                <w:color w:val="000000" w:themeColor="text1"/>
                <w:highlight w:val="none"/>
                <w:lang w:val="en-US" w:eastAsia="zh-CN"/>
                <w14:textFill>
                  <w14:solidFill>
                    <w14:schemeClr w14:val="tx1"/>
                  </w14:solidFill>
                </w14:textFill>
              </w:rPr>
              <w:t>排气筒进出口</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的相关监测结果，详见下表。</w:t>
            </w:r>
          </w:p>
          <w:p w14:paraId="10DB5A86">
            <w:pPr>
              <w:pStyle w:val="51"/>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表4-</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 xml:space="preserve"> 有组织废气监测结果一览表 </w:t>
            </w:r>
          </w:p>
          <w:tbl>
            <w:tblPr>
              <w:tblStyle w:val="34"/>
              <w:tblW w:w="7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1335"/>
              <w:gridCol w:w="870"/>
              <w:gridCol w:w="1005"/>
              <w:gridCol w:w="1976"/>
              <w:gridCol w:w="1698"/>
            </w:tblGrid>
            <w:tr w14:paraId="6EEAB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restart"/>
                  <w:vAlign w:val="center"/>
                </w:tcPr>
                <w:p w14:paraId="3C66E621">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日期</w:t>
                  </w:r>
                </w:p>
              </w:tc>
              <w:tc>
                <w:tcPr>
                  <w:tcW w:w="1335" w:type="dxa"/>
                  <w:vMerge w:val="restart"/>
                  <w:vAlign w:val="center"/>
                </w:tcPr>
                <w:p w14:paraId="65C9AFFE">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检测点位</w:t>
                  </w:r>
                </w:p>
              </w:tc>
              <w:tc>
                <w:tcPr>
                  <w:tcW w:w="870" w:type="dxa"/>
                  <w:vMerge w:val="restart"/>
                  <w:vAlign w:val="center"/>
                </w:tcPr>
                <w:p w14:paraId="12267190">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检测项目</w:t>
                  </w:r>
                </w:p>
              </w:tc>
              <w:tc>
                <w:tcPr>
                  <w:tcW w:w="1005" w:type="dxa"/>
                  <w:vMerge w:val="restart"/>
                  <w:vAlign w:val="center"/>
                </w:tcPr>
                <w:p w14:paraId="1D9B3C3D">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频次</w:t>
                  </w:r>
                </w:p>
              </w:tc>
              <w:tc>
                <w:tcPr>
                  <w:tcW w:w="3674" w:type="dxa"/>
                  <w:gridSpan w:val="2"/>
                  <w:vAlign w:val="center"/>
                </w:tcPr>
                <w:p w14:paraId="472BED6A">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检测结果</w:t>
                  </w:r>
                </w:p>
              </w:tc>
            </w:tr>
            <w:tr w14:paraId="6F4BA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continue"/>
                  <w:vAlign w:val="center"/>
                </w:tcPr>
                <w:p w14:paraId="475BD1DE">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pPr>
                </w:p>
              </w:tc>
              <w:tc>
                <w:tcPr>
                  <w:tcW w:w="1335" w:type="dxa"/>
                  <w:vMerge w:val="continue"/>
                  <w:vAlign w:val="center"/>
                </w:tcPr>
                <w:p w14:paraId="5497DCDB">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pPr>
                </w:p>
              </w:tc>
              <w:tc>
                <w:tcPr>
                  <w:tcW w:w="870" w:type="dxa"/>
                  <w:vMerge w:val="continue"/>
                  <w:vAlign w:val="center"/>
                </w:tcPr>
                <w:p w14:paraId="75FB2654">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pPr>
                </w:p>
              </w:tc>
              <w:tc>
                <w:tcPr>
                  <w:tcW w:w="1005" w:type="dxa"/>
                  <w:vMerge w:val="continue"/>
                  <w:vAlign w:val="center"/>
                </w:tcPr>
                <w:p w14:paraId="35639A4F">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pPr>
                </w:p>
              </w:tc>
              <w:tc>
                <w:tcPr>
                  <w:tcW w:w="1976" w:type="dxa"/>
                  <w:vAlign w:val="center"/>
                </w:tcPr>
                <w:p w14:paraId="44F7972D">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实测浓度（</w:t>
                  </w: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mg/m</w:t>
                  </w:r>
                  <w:r>
                    <w:rPr>
                      <w:rFonts w:hint="default" w:ascii="Times New Roman" w:hAnsi="Times New Roman" w:cs="Times New Roman" w:eastAsiaTheme="minorEastAsia"/>
                      <w:b/>
                      <w:bCs/>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w:t>
                  </w:r>
                </w:p>
              </w:tc>
              <w:tc>
                <w:tcPr>
                  <w:tcW w:w="1698" w:type="dxa"/>
                  <w:vAlign w:val="center"/>
                </w:tcPr>
                <w:p w14:paraId="54DE5DDE">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排放速率（</w:t>
                  </w: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kg/h</w:t>
                  </w: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w:t>
                  </w:r>
                </w:p>
              </w:tc>
            </w:tr>
            <w:tr w14:paraId="7482D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restart"/>
                  <w:vAlign w:val="center"/>
                </w:tcPr>
                <w:p w14:paraId="57D8C2BC">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20</w:t>
                  </w: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25</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年12月</w:t>
                  </w: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03</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日</w:t>
                  </w:r>
                </w:p>
              </w:tc>
              <w:tc>
                <w:tcPr>
                  <w:tcW w:w="1335" w:type="dxa"/>
                  <w:vMerge w:val="restart"/>
                  <w:vAlign w:val="center"/>
                </w:tcPr>
                <w:p w14:paraId="7BD49D4C">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进口</w:t>
                  </w:r>
                </w:p>
              </w:tc>
              <w:tc>
                <w:tcPr>
                  <w:tcW w:w="870" w:type="dxa"/>
                  <w:vMerge w:val="restart"/>
                  <w:vAlign w:val="center"/>
                </w:tcPr>
                <w:p w14:paraId="24B02E27">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VOCs</w:t>
                  </w:r>
                </w:p>
              </w:tc>
              <w:tc>
                <w:tcPr>
                  <w:tcW w:w="1005" w:type="dxa"/>
                  <w:vAlign w:val="center"/>
                </w:tcPr>
                <w:p w14:paraId="4DC4A86B">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1</w:t>
                  </w:r>
                </w:p>
              </w:tc>
              <w:tc>
                <w:tcPr>
                  <w:tcW w:w="1976" w:type="dxa"/>
                  <w:vAlign w:val="center"/>
                </w:tcPr>
                <w:p w14:paraId="5754EB2F">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33.3</w:t>
                  </w:r>
                </w:p>
              </w:tc>
              <w:tc>
                <w:tcPr>
                  <w:tcW w:w="1698" w:type="dxa"/>
                  <w:vAlign w:val="center"/>
                </w:tcPr>
                <w:p w14:paraId="6EC7253A">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0.063</w:t>
                  </w:r>
                </w:p>
              </w:tc>
            </w:tr>
            <w:tr w14:paraId="12EB9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continue"/>
                  <w:vAlign w:val="center"/>
                </w:tcPr>
                <w:p w14:paraId="066CD396">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p>
              </w:tc>
              <w:tc>
                <w:tcPr>
                  <w:tcW w:w="1335" w:type="dxa"/>
                  <w:vMerge w:val="continue"/>
                  <w:vAlign w:val="center"/>
                </w:tcPr>
                <w:p w14:paraId="0F998AA0">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p>
              </w:tc>
              <w:tc>
                <w:tcPr>
                  <w:tcW w:w="870" w:type="dxa"/>
                  <w:vMerge w:val="continue"/>
                  <w:vAlign w:val="center"/>
                </w:tcPr>
                <w:p w14:paraId="4F6F851C">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p>
              </w:tc>
              <w:tc>
                <w:tcPr>
                  <w:tcW w:w="1005" w:type="dxa"/>
                  <w:vAlign w:val="center"/>
                </w:tcPr>
                <w:p w14:paraId="49B4C171">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2</w:t>
                  </w:r>
                </w:p>
              </w:tc>
              <w:tc>
                <w:tcPr>
                  <w:tcW w:w="1976" w:type="dxa"/>
                  <w:vAlign w:val="center"/>
                </w:tcPr>
                <w:p w14:paraId="6123BC94">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36.1</w:t>
                  </w:r>
                </w:p>
              </w:tc>
              <w:tc>
                <w:tcPr>
                  <w:tcW w:w="1698" w:type="dxa"/>
                  <w:vAlign w:val="center"/>
                </w:tcPr>
                <w:p w14:paraId="2C63A36B">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pacing w:val="-4"/>
                      <w:sz w:val="21"/>
                      <w:szCs w:val="21"/>
                      <w:lang w:val="en-US" w:eastAsia="zh-CN"/>
                      <w14:textFill>
                        <w14:solidFill>
                          <w14:schemeClr w14:val="tx1"/>
                        </w14:solidFill>
                      </w14:textFill>
                    </w:rPr>
                  </w:pPr>
                  <w:r>
                    <w:rPr>
                      <w:rFonts w:hint="eastAsia" w:cs="Times New Roman" w:eastAsiaTheme="minorEastAsia"/>
                      <w:color w:val="000000" w:themeColor="text1"/>
                      <w:spacing w:val="-4"/>
                      <w:sz w:val="21"/>
                      <w:szCs w:val="21"/>
                      <w:lang w:val="en-US" w:eastAsia="zh-CN"/>
                      <w14:textFill>
                        <w14:solidFill>
                          <w14:schemeClr w14:val="tx1"/>
                        </w14:solidFill>
                      </w14:textFill>
                    </w:rPr>
                    <w:t>0.067</w:t>
                  </w:r>
                </w:p>
              </w:tc>
            </w:tr>
            <w:tr w14:paraId="6C19E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continue"/>
                  <w:vAlign w:val="center"/>
                </w:tcPr>
                <w:p w14:paraId="4A1DE7E1">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p>
              </w:tc>
              <w:tc>
                <w:tcPr>
                  <w:tcW w:w="1335" w:type="dxa"/>
                  <w:vMerge w:val="continue"/>
                  <w:vAlign w:val="center"/>
                </w:tcPr>
                <w:p w14:paraId="1E1D9A4C">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p>
              </w:tc>
              <w:tc>
                <w:tcPr>
                  <w:tcW w:w="870" w:type="dxa"/>
                  <w:vMerge w:val="continue"/>
                  <w:vAlign w:val="center"/>
                </w:tcPr>
                <w:p w14:paraId="25944ED3">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p>
              </w:tc>
              <w:tc>
                <w:tcPr>
                  <w:tcW w:w="1005" w:type="dxa"/>
                  <w:vAlign w:val="center"/>
                </w:tcPr>
                <w:p w14:paraId="1E59B998">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3</w:t>
                  </w:r>
                </w:p>
              </w:tc>
              <w:tc>
                <w:tcPr>
                  <w:tcW w:w="1976" w:type="dxa"/>
                  <w:vAlign w:val="center"/>
                </w:tcPr>
                <w:p w14:paraId="0A19CE25">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35.8</w:t>
                  </w:r>
                </w:p>
              </w:tc>
              <w:tc>
                <w:tcPr>
                  <w:tcW w:w="1698" w:type="dxa"/>
                  <w:vAlign w:val="center"/>
                </w:tcPr>
                <w:p w14:paraId="431586F2">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pacing w:val="-4"/>
                      <w:sz w:val="21"/>
                      <w:szCs w:val="21"/>
                      <w:lang w:val="en-US" w:eastAsia="zh-CN"/>
                      <w14:textFill>
                        <w14:solidFill>
                          <w14:schemeClr w14:val="tx1"/>
                        </w14:solidFill>
                      </w14:textFill>
                    </w:rPr>
                  </w:pPr>
                  <w:r>
                    <w:rPr>
                      <w:rFonts w:hint="eastAsia" w:cs="Times New Roman" w:eastAsiaTheme="minorEastAsia"/>
                      <w:color w:val="000000" w:themeColor="text1"/>
                      <w:spacing w:val="-4"/>
                      <w:sz w:val="21"/>
                      <w:szCs w:val="21"/>
                      <w:lang w:val="en-US" w:eastAsia="zh-CN"/>
                      <w14:textFill>
                        <w14:solidFill>
                          <w14:schemeClr w14:val="tx1"/>
                        </w14:solidFill>
                      </w14:textFill>
                    </w:rPr>
                    <w:t>0.067</w:t>
                  </w:r>
                </w:p>
              </w:tc>
            </w:tr>
            <w:tr w14:paraId="0E2C4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continue"/>
                  <w:vAlign w:val="center"/>
                </w:tcPr>
                <w:p w14:paraId="60CB52A1">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p>
              </w:tc>
              <w:tc>
                <w:tcPr>
                  <w:tcW w:w="1335" w:type="dxa"/>
                  <w:vMerge w:val="restart"/>
                  <w:vAlign w:val="center"/>
                </w:tcPr>
                <w:p w14:paraId="5BC70742">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出口</w:t>
                  </w:r>
                </w:p>
              </w:tc>
              <w:tc>
                <w:tcPr>
                  <w:tcW w:w="870" w:type="dxa"/>
                  <w:vMerge w:val="restart"/>
                  <w:vAlign w:val="center"/>
                </w:tcPr>
                <w:p w14:paraId="432FA5AC">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VOCs</w:t>
                  </w:r>
                </w:p>
              </w:tc>
              <w:tc>
                <w:tcPr>
                  <w:tcW w:w="1005" w:type="dxa"/>
                  <w:vAlign w:val="center"/>
                </w:tcPr>
                <w:p w14:paraId="45E96C9A">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1</w:t>
                  </w:r>
                </w:p>
              </w:tc>
              <w:tc>
                <w:tcPr>
                  <w:tcW w:w="1976" w:type="dxa"/>
                  <w:vAlign w:val="center"/>
                </w:tcPr>
                <w:p w14:paraId="30FC4403">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5.27</w:t>
                  </w:r>
                </w:p>
              </w:tc>
              <w:tc>
                <w:tcPr>
                  <w:tcW w:w="1698" w:type="dxa"/>
                  <w:vAlign w:val="center"/>
                </w:tcPr>
                <w:p w14:paraId="7EBF334B">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pacing w:val="-4"/>
                      <w:sz w:val="21"/>
                      <w:szCs w:val="21"/>
                      <w:lang w:val="en-US" w:eastAsia="zh-CN"/>
                      <w14:textFill>
                        <w14:solidFill>
                          <w14:schemeClr w14:val="tx1"/>
                        </w14:solidFill>
                      </w14:textFill>
                    </w:rPr>
                  </w:pPr>
                  <w:r>
                    <w:rPr>
                      <w:rFonts w:hint="eastAsia" w:cs="Times New Roman" w:eastAsiaTheme="minorEastAsia"/>
                      <w:color w:val="000000" w:themeColor="text1"/>
                      <w:spacing w:val="-4"/>
                      <w:sz w:val="21"/>
                      <w:szCs w:val="21"/>
                      <w:lang w:val="en-US" w:eastAsia="zh-CN"/>
                      <w14:textFill>
                        <w14:solidFill>
                          <w14:schemeClr w14:val="tx1"/>
                        </w14:solidFill>
                      </w14:textFill>
                    </w:rPr>
                    <w:t>0.00956</w:t>
                  </w:r>
                </w:p>
              </w:tc>
            </w:tr>
            <w:tr w14:paraId="30B58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continue"/>
                  <w:vAlign w:val="center"/>
                </w:tcPr>
                <w:p w14:paraId="4DBF3930">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p>
              </w:tc>
              <w:tc>
                <w:tcPr>
                  <w:tcW w:w="1335" w:type="dxa"/>
                  <w:vMerge w:val="continue"/>
                  <w:vAlign w:val="center"/>
                </w:tcPr>
                <w:p w14:paraId="13B86F30">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p>
              </w:tc>
              <w:tc>
                <w:tcPr>
                  <w:tcW w:w="870" w:type="dxa"/>
                  <w:vMerge w:val="continue"/>
                  <w:vAlign w:val="center"/>
                </w:tcPr>
                <w:p w14:paraId="5A2BE087">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p>
              </w:tc>
              <w:tc>
                <w:tcPr>
                  <w:tcW w:w="1005" w:type="dxa"/>
                  <w:vAlign w:val="center"/>
                </w:tcPr>
                <w:p w14:paraId="2AB34FA2">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2</w:t>
                  </w:r>
                </w:p>
              </w:tc>
              <w:tc>
                <w:tcPr>
                  <w:tcW w:w="1976" w:type="dxa"/>
                  <w:vAlign w:val="center"/>
                </w:tcPr>
                <w:p w14:paraId="274BF4EE">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5.53</w:t>
                  </w:r>
                </w:p>
              </w:tc>
              <w:tc>
                <w:tcPr>
                  <w:tcW w:w="1698" w:type="dxa"/>
                  <w:vAlign w:val="center"/>
                </w:tcPr>
                <w:p w14:paraId="42C60DBF">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pacing w:val="-4"/>
                      <w:sz w:val="21"/>
                      <w:szCs w:val="21"/>
                      <w:lang w:val="en-US" w:eastAsia="zh-CN"/>
                      <w14:textFill>
                        <w14:solidFill>
                          <w14:schemeClr w14:val="tx1"/>
                        </w14:solidFill>
                      </w14:textFill>
                    </w:rPr>
                  </w:pPr>
                  <w:r>
                    <w:rPr>
                      <w:rFonts w:hint="eastAsia" w:cs="Times New Roman" w:eastAsiaTheme="minorEastAsia"/>
                      <w:color w:val="000000" w:themeColor="text1"/>
                      <w:spacing w:val="-4"/>
                      <w:sz w:val="21"/>
                      <w:szCs w:val="21"/>
                      <w:lang w:val="en-US" w:eastAsia="zh-CN"/>
                      <w14:textFill>
                        <w14:solidFill>
                          <w14:schemeClr w14:val="tx1"/>
                        </w14:solidFill>
                      </w14:textFill>
                    </w:rPr>
                    <w:t>0.001</w:t>
                  </w:r>
                </w:p>
              </w:tc>
            </w:tr>
            <w:tr w14:paraId="211C1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continue"/>
                  <w:vAlign w:val="center"/>
                </w:tcPr>
                <w:p w14:paraId="6FE51475">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p>
              </w:tc>
              <w:tc>
                <w:tcPr>
                  <w:tcW w:w="1335" w:type="dxa"/>
                  <w:vMerge w:val="continue"/>
                  <w:vAlign w:val="center"/>
                </w:tcPr>
                <w:p w14:paraId="7C357189">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p>
              </w:tc>
              <w:tc>
                <w:tcPr>
                  <w:tcW w:w="870" w:type="dxa"/>
                  <w:vMerge w:val="continue"/>
                  <w:vAlign w:val="center"/>
                </w:tcPr>
                <w:p w14:paraId="3621B8C7">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p>
              </w:tc>
              <w:tc>
                <w:tcPr>
                  <w:tcW w:w="1005" w:type="dxa"/>
                  <w:vAlign w:val="center"/>
                </w:tcPr>
                <w:p w14:paraId="3C286482">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3</w:t>
                  </w:r>
                </w:p>
              </w:tc>
              <w:tc>
                <w:tcPr>
                  <w:tcW w:w="1976" w:type="dxa"/>
                  <w:vAlign w:val="center"/>
                </w:tcPr>
                <w:p w14:paraId="13051DF0">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5.52</w:t>
                  </w:r>
                </w:p>
              </w:tc>
              <w:tc>
                <w:tcPr>
                  <w:tcW w:w="1698" w:type="dxa"/>
                  <w:vAlign w:val="center"/>
                </w:tcPr>
                <w:p w14:paraId="3691FF6E">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pacing w:val="-4"/>
                      <w:sz w:val="21"/>
                      <w:szCs w:val="21"/>
                      <w:lang w:val="en-US" w:eastAsia="zh-CN"/>
                      <w14:textFill>
                        <w14:solidFill>
                          <w14:schemeClr w14:val="tx1"/>
                        </w14:solidFill>
                      </w14:textFill>
                    </w:rPr>
                  </w:pPr>
                  <w:r>
                    <w:rPr>
                      <w:rFonts w:hint="eastAsia" w:cs="Times New Roman" w:eastAsiaTheme="minorEastAsia"/>
                      <w:color w:val="000000" w:themeColor="text1"/>
                      <w:spacing w:val="-4"/>
                      <w:sz w:val="21"/>
                      <w:szCs w:val="21"/>
                      <w:lang w:val="en-US" w:eastAsia="zh-CN"/>
                      <w14:textFill>
                        <w14:solidFill>
                          <w14:schemeClr w14:val="tx1"/>
                        </w14:solidFill>
                      </w14:textFill>
                    </w:rPr>
                    <w:t>0.00988</w:t>
                  </w:r>
                </w:p>
              </w:tc>
            </w:tr>
            <w:tr w14:paraId="29939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restart"/>
                  <w:vAlign w:val="center"/>
                </w:tcPr>
                <w:p w14:paraId="4912B71A">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20</w:t>
                  </w: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25</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年12月</w:t>
                  </w: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04</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日</w:t>
                  </w:r>
                </w:p>
              </w:tc>
              <w:tc>
                <w:tcPr>
                  <w:tcW w:w="1335" w:type="dxa"/>
                  <w:vMerge w:val="restart"/>
                  <w:vAlign w:val="center"/>
                </w:tcPr>
                <w:p w14:paraId="782BA14E">
                  <w:pPr>
                    <w:pStyle w:val="51"/>
                    <w:keepNext w:val="0"/>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进口</w:t>
                  </w:r>
                </w:p>
              </w:tc>
              <w:tc>
                <w:tcPr>
                  <w:tcW w:w="870" w:type="dxa"/>
                  <w:vMerge w:val="restart"/>
                  <w:vAlign w:val="center"/>
                </w:tcPr>
                <w:p w14:paraId="534F24CC">
                  <w:pPr>
                    <w:pStyle w:val="51"/>
                    <w:keepNext w:val="0"/>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VOCs</w:t>
                  </w:r>
                </w:p>
              </w:tc>
              <w:tc>
                <w:tcPr>
                  <w:tcW w:w="1005" w:type="dxa"/>
                  <w:vAlign w:val="center"/>
                </w:tcPr>
                <w:p w14:paraId="2DA609A6">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1</w:t>
                  </w:r>
                </w:p>
              </w:tc>
              <w:tc>
                <w:tcPr>
                  <w:tcW w:w="1976" w:type="dxa"/>
                  <w:vAlign w:val="center"/>
                </w:tcPr>
                <w:p w14:paraId="23C9B069">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33.6</w:t>
                  </w:r>
                </w:p>
              </w:tc>
              <w:tc>
                <w:tcPr>
                  <w:tcW w:w="1698" w:type="dxa"/>
                  <w:vAlign w:val="center"/>
                </w:tcPr>
                <w:p w14:paraId="182D680E">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pacing w:val="-4"/>
                      <w:sz w:val="21"/>
                      <w:szCs w:val="21"/>
                      <w:lang w:val="en-US" w:eastAsia="zh-CN"/>
                      <w14:textFill>
                        <w14:solidFill>
                          <w14:schemeClr w14:val="tx1"/>
                        </w14:solidFill>
                      </w14:textFill>
                    </w:rPr>
                  </w:pPr>
                  <w:r>
                    <w:rPr>
                      <w:rFonts w:hint="eastAsia" w:cs="Times New Roman" w:eastAsiaTheme="minorEastAsia"/>
                      <w:color w:val="000000" w:themeColor="text1"/>
                      <w:spacing w:val="-4"/>
                      <w:sz w:val="21"/>
                      <w:szCs w:val="21"/>
                      <w:lang w:val="en-US" w:eastAsia="zh-CN"/>
                      <w14:textFill>
                        <w14:solidFill>
                          <w14:schemeClr w14:val="tx1"/>
                        </w14:solidFill>
                      </w14:textFill>
                    </w:rPr>
                    <w:t>0.068</w:t>
                  </w:r>
                </w:p>
              </w:tc>
            </w:tr>
            <w:tr w14:paraId="2E198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continue"/>
                  <w:vAlign w:val="center"/>
                </w:tcPr>
                <w:p w14:paraId="7CAB4594">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p>
              </w:tc>
              <w:tc>
                <w:tcPr>
                  <w:tcW w:w="1335" w:type="dxa"/>
                  <w:vMerge w:val="continue"/>
                  <w:vAlign w:val="center"/>
                </w:tcPr>
                <w:p w14:paraId="1CC17599">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p>
              </w:tc>
              <w:tc>
                <w:tcPr>
                  <w:tcW w:w="870" w:type="dxa"/>
                  <w:vMerge w:val="continue"/>
                  <w:vAlign w:val="center"/>
                </w:tcPr>
                <w:p w14:paraId="0E5058A7">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p>
              </w:tc>
              <w:tc>
                <w:tcPr>
                  <w:tcW w:w="1005" w:type="dxa"/>
                  <w:vAlign w:val="center"/>
                </w:tcPr>
                <w:p w14:paraId="3308C3E0">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2</w:t>
                  </w:r>
                </w:p>
              </w:tc>
              <w:tc>
                <w:tcPr>
                  <w:tcW w:w="1976" w:type="dxa"/>
                  <w:vAlign w:val="center"/>
                </w:tcPr>
                <w:p w14:paraId="51C78309">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32.7</w:t>
                  </w:r>
                </w:p>
              </w:tc>
              <w:tc>
                <w:tcPr>
                  <w:tcW w:w="1698" w:type="dxa"/>
                  <w:vAlign w:val="center"/>
                </w:tcPr>
                <w:p w14:paraId="4AEF134C">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pacing w:val="-4"/>
                      <w:sz w:val="21"/>
                      <w:szCs w:val="21"/>
                      <w:lang w:val="en-US" w:eastAsia="zh-CN"/>
                      <w14:textFill>
                        <w14:solidFill>
                          <w14:schemeClr w14:val="tx1"/>
                        </w14:solidFill>
                      </w14:textFill>
                    </w:rPr>
                  </w:pPr>
                  <w:r>
                    <w:rPr>
                      <w:rFonts w:hint="eastAsia" w:cs="Times New Roman" w:eastAsiaTheme="minorEastAsia"/>
                      <w:color w:val="000000" w:themeColor="text1"/>
                      <w:spacing w:val="-4"/>
                      <w:sz w:val="21"/>
                      <w:szCs w:val="21"/>
                      <w:lang w:val="en-US" w:eastAsia="zh-CN"/>
                      <w14:textFill>
                        <w14:solidFill>
                          <w14:schemeClr w14:val="tx1"/>
                        </w14:solidFill>
                      </w14:textFill>
                    </w:rPr>
                    <w:t>0.063</w:t>
                  </w:r>
                </w:p>
              </w:tc>
            </w:tr>
            <w:tr w14:paraId="5131C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continue"/>
                  <w:vAlign w:val="center"/>
                </w:tcPr>
                <w:p w14:paraId="24F71787">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p>
              </w:tc>
              <w:tc>
                <w:tcPr>
                  <w:tcW w:w="1335" w:type="dxa"/>
                  <w:vMerge w:val="continue"/>
                  <w:vAlign w:val="center"/>
                </w:tcPr>
                <w:p w14:paraId="262442CD">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p>
              </w:tc>
              <w:tc>
                <w:tcPr>
                  <w:tcW w:w="870" w:type="dxa"/>
                  <w:vMerge w:val="continue"/>
                  <w:vAlign w:val="center"/>
                </w:tcPr>
                <w:p w14:paraId="321DBFC2">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p>
              </w:tc>
              <w:tc>
                <w:tcPr>
                  <w:tcW w:w="1005" w:type="dxa"/>
                  <w:vAlign w:val="center"/>
                </w:tcPr>
                <w:p w14:paraId="1BDFA318">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3</w:t>
                  </w:r>
                </w:p>
              </w:tc>
              <w:tc>
                <w:tcPr>
                  <w:tcW w:w="1976" w:type="dxa"/>
                  <w:vAlign w:val="center"/>
                </w:tcPr>
                <w:p w14:paraId="088CB8D3">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35.2</w:t>
                  </w:r>
                </w:p>
              </w:tc>
              <w:tc>
                <w:tcPr>
                  <w:tcW w:w="1698" w:type="dxa"/>
                  <w:vAlign w:val="center"/>
                </w:tcPr>
                <w:p w14:paraId="18C16E6C">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pacing w:val="-4"/>
                      <w:sz w:val="21"/>
                      <w:szCs w:val="21"/>
                      <w:lang w:val="en-US" w:eastAsia="zh-CN"/>
                      <w14:textFill>
                        <w14:solidFill>
                          <w14:schemeClr w14:val="tx1"/>
                        </w14:solidFill>
                      </w14:textFill>
                    </w:rPr>
                  </w:pPr>
                  <w:r>
                    <w:rPr>
                      <w:rFonts w:hint="eastAsia" w:cs="Times New Roman" w:eastAsiaTheme="minorEastAsia"/>
                      <w:color w:val="000000" w:themeColor="text1"/>
                      <w:spacing w:val="-4"/>
                      <w:sz w:val="21"/>
                      <w:szCs w:val="21"/>
                      <w:lang w:val="en-US" w:eastAsia="zh-CN"/>
                      <w14:textFill>
                        <w14:solidFill>
                          <w14:schemeClr w14:val="tx1"/>
                        </w14:solidFill>
                      </w14:textFill>
                    </w:rPr>
                    <w:t>0.066</w:t>
                  </w:r>
                </w:p>
              </w:tc>
            </w:tr>
            <w:tr w14:paraId="4182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continue"/>
                  <w:vAlign w:val="center"/>
                </w:tcPr>
                <w:p w14:paraId="10A6E9EC">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p>
              </w:tc>
              <w:tc>
                <w:tcPr>
                  <w:tcW w:w="1335" w:type="dxa"/>
                  <w:vMerge w:val="restart"/>
                  <w:vAlign w:val="center"/>
                </w:tcPr>
                <w:p w14:paraId="4881C7B4">
                  <w:pPr>
                    <w:pStyle w:val="51"/>
                    <w:keepNext w:val="0"/>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出口</w:t>
                  </w:r>
                </w:p>
              </w:tc>
              <w:tc>
                <w:tcPr>
                  <w:tcW w:w="870" w:type="dxa"/>
                  <w:vMerge w:val="restart"/>
                  <w:vAlign w:val="center"/>
                </w:tcPr>
                <w:p w14:paraId="6B23E29D">
                  <w:pPr>
                    <w:pStyle w:val="51"/>
                    <w:keepNext w:val="0"/>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VOCs</w:t>
                  </w:r>
                </w:p>
              </w:tc>
              <w:tc>
                <w:tcPr>
                  <w:tcW w:w="1005" w:type="dxa"/>
                  <w:vAlign w:val="center"/>
                </w:tcPr>
                <w:p w14:paraId="110C7226">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1</w:t>
                  </w:r>
                </w:p>
              </w:tc>
              <w:tc>
                <w:tcPr>
                  <w:tcW w:w="1976" w:type="dxa"/>
                  <w:vAlign w:val="center"/>
                </w:tcPr>
                <w:p w14:paraId="0DE4E3F1">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5.63</w:t>
                  </w:r>
                </w:p>
              </w:tc>
              <w:tc>
                <w:tcPr>
                  <w:tcW w:w="1698" w:type="dxa"/>
                  <w:vAlign w:val="center"/>
                </w:tcPr>
                <w:p w14:paraId="57ADDAE0">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pacing w:val="-4"/>
                      <w:sz w:val="21"/>
                      <w:szCs w:val="21"/>
                      <w:lang w:val="en-US" w:eastAsia="zh-CN"/>
                      <w14:textFill>
                        <w14:solidFill>
                          <w14:schemeClr w14:val="tx1"/>
                        </w14:solidFill>
                      </w14:textFill>
                    </w:rPr>
                  </w:pPr>
                  <w:r>
                    <w:rPr>
                      <w:rFonts w:hint="eastAsia" w:cs="Times New Roman" w:eastAsiaTheme="minorEastAsia"/>
                      <w:color w:val="000000" w:themeColor="text1"/>
                      <w:spacing w:val="-4"/>
                      <w:sz w:val="21"/>
                      <w:szCs w:val="21"/>
                      <w:lang w:val="en-US" w:eastAsia="zh-CN"/>
                      <w14:textFill>
                        <w14:solidFill>
                          <w14:schemeClr w14:val="tx1"/>
                        </w14:solidFill>
                      </w14:textFill>
                    </w:rPr>
                    <w:t>0.011</w:t>
                  </w:r>
                </w:p>
              </w:tc>
            </w:tr>
            <w:tr w14:paraId="286C4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continue"/>
                  <w:vAlign w:val="center"/>
                </w:tcPr>
                <w:p w14:paraId="2725D243">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p>
              </w:tc>
              <w:tc>
                <w:tcPr>
                  <w:tcW w:w="1335" w:type="dxa"/>
                  <w:vMerge w:val="continue"/>
                  <w:vAlign w:val="center"/>
                </w:tcPr>
                <w:p w14:paraId="7DC45977">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p>
              </w:tc>
              <w:tc>
                <w:tcPr>
                  <w:tcW w:w="870" w:type="dxa"/>
                  <w:vMerge w:val="continue"/>
                  <w:vAlign w:val="center"/>
                </w:tcPr>
                <w:p w14:paraId="5CBF1CFD">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p>
              </w:tc>
              <w:tc>
                <w:tcPr>
                  <w:tcW w:w="1005" w:type="dxa"/>
                  <w:vAlign w:val="center"/>
                </w:tcPr>
                <w:p w14:paraId="280A0D96">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2</w:t>
                  </w:r>
                </w:p>
              </w:tc>
              <w:tc>
                <w:tcPr>
                  <w:tcW w:w="1976" w:type="dxa"/>
                  <w:vAlign w:val="center"/>
                </w:tcPr>
                <w:p w14:paraId="4EC7D006">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5.29</w:t>
                  </w:r>
                </w:p>
              </w:tc>
              <w:tc>
                <w:tcPr>
                  <w:tcW w:w="1698" w:type="dxa"/>
                  <w:vAlign w:val="center"/>
                </w:tcPr>
                <w:p w14:paraId="3983C6AC">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pacing w:val="-4"/>
                      <w:sz w:val="21"/>
                      <w:szCs w:val="21"/>
                      <w:lang w:val="en-US" w:eastAsia="zh-CN"/>
                      <w14:textFill>
                        <w14:solidFill>
                          <w14:schemeClr w14:val="tx1"/>
                        </w14:solidFill>
                      </w14:textFill>
                    </w:rPr>
                  </w:pPr>
                  <w:r>
                    <w:rPr>
                      <w:rFonts w:hint="eastAsia" w:cs="Times New Roman" w:eastAsiaTheme="minorEastAsia"/>
                      <w:color w:val="000000" w:themeColor="text1"/>
                      <w:spacing w:val="-4"/>
                      <w:sz w:val="21"/>
                      <w:szCs w:val="21"/>
                      <w:lang w:val="en-US" w:eastAsia="zh-CN"/>
                      <w14:textFill>
                        <w14:solidFill>
                          <w14:schemeClr w14:val="tx1"/>
                        </w14:solidFill>
                      </w14:textFill>
                    </w:rPr>
                    <w:t>0.00942</w:t>
                  </w:r>
                </w:p>
              </w:tc>
            </w:tr>
            <w:tr w14:paraId="468E3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continue"/>
                  <w:vAlign w:val="center"/>
                </w:tcPr>
                <w:p w14:paraId="0078B8BA">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p>
              </w:tc>
              <w:tc>
                <w:tcPr>
                  <w:tcW w:w="1335" w:type="dxa"/>
                  <w:vMerge w:val="continue"/>
                  <w:vAlign w:val="center"/>
                </w:tcPr>
                <w:p w14:paraId="1270A501">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p>
              </w:tc>
              <w:tc>
                <w:tcPr>
                  <w:tcW w:w="870" w:type="dxa"/>
                  <w:vMerge w:val="continue"/>
                  <w:vAlign w:val="center"/>
                </w:tcPr>
                <w:p w14:paraId="53222885">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p>
              </w:tc>
              <w:tc>
                <w:tcPr>
                  <w:tcW w:w="1005" w:type="dxa"/>
                  <w:vAlign w:val="center"/>
                </w:tcPr>
                <w:p w14:paraId="3E69DC8C">
                  <w:pPr>
                    <w:pStyle w:val="51"/>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3</w:t>
                  </w:r>
                </w:p>
              </w:tc>
              <w:tc>
                <w:tcPr>
                  <w:tcW w:w="1976" w:type="dxa"/>
                  <w:vAlign w:val="center"/>
                </w:tcPr>
                <w:p w14:paraId="58F61C83">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5.41</w:t>
                  </w:r>
                </w:p>
              </w:tc>
              <w:tc>
                <w:tcPr>
                  <w:tcW w:w="1698" w:type="dxa"/>
                  <w:vAlign w:val="center"/>
                </w:tcPr>
                <w:p w14:paraId="11EE0B4C">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spacing w:val="-4"/>
                      <w:sz w:val="21"/>
                      <w:szCs w:val="21"/>
                      <w:lang w:val="en-US" w:eastAsia="zh-CN"/>
                      <w14:textFill>
                        <w14:solidFill>
                          <w14:schemeClr w14:val="tx1"/>
                        </w14:solidFill>
                      </w14:textFill>
                    </w:rPr>
                  </w:pPr>
                  <w:r>
                    <w:rPr>
                      <w:rFonts w:hint="eastAsia" w:cs="Times New Roman" w:eastAsiaTheme="minorEastAsia"/>
                      <w:color w:val="000000" w:themeColor="text1"/>
                      <w:spacing w:val="-4"/>
                      <w:sz w:val="21"/>
                      <w:szCs w:val="21"/>
                      <w:lang w:val="en-US" w:eastAsia="zh-CN"/>
                      <w14:textFill>
                        <w14:solidFill>
                          <w14:schemeClr w14:val="tx1"/>
                        </w14:solidFill>
                      </w14:textFill>
                    </w:rPr>
                    <w:t>0.00961</w:t>
                  </w:r>
                </w:p>
              </w:tc>
            </w:tr>
          </w:tbl>
          <w:p w14:paraId="7E8A8FA6">
            <w:pPr>
              <w:pStyle w:val="51"/>
              <w:keepNext w:val="0"/>
              <w:keepLines/>
              <w:pageBreakBefore w:val="0"/>
              <w:widowControl w:val="0"/>
              <w:kinsoku/>
              <w:wordWrap/>
              <w:overflowPunct/>
              <w:topLinePunct w:val="0"/>
              <w:autoSpaceDE/>
              <w:autoSpaceDN/>
              <w:bidi w:val="0"/>
              <w:adjustRightInd/>
              <w:snapToGrid/>
              <w:ind w:firstLine="480"/>
              <w:textAlignment w:val="auto"/>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通过上表可知（按最大浓度进行核算），有机废气（</w:t>
            </w:r>
            <w:r>
              <w:rPr>
                <w:rFonts w:hint="eastAsia" w:cs="Times New Roman" w:eastAsiaTheme="minorEastAsia"/>
                <w:b w:val="0"/>
                <w:bCs w:val="0"/>
                <w:color w:val="000000" w:themeColor="text1"/>
                <w:kern w:val="2"/>
                <w:sz w:val="24"/>
                <w:szCs w:val="24"/>
                <w:lang w:val="en-US" w:eastAsia="zh-CN" w:bidi="ar-SA"/>
                <w14:textFill>
                  <w14:solidFill>
                    <w14:schemeClr w14:val="tx1"/>
                  </w14:solidFill>
                </w14:textFill>
              </w:rPr>
              <w:t>两级</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活性炭吸附）的处理效率为（</w:t>
            </w:r>
            <w:r>
              <w:rPr>
                <w:rFonts w:hint="eastAsia" w:cs="Times New Roman" w:eastAsiaTheme="minorEastAsia"/>
                <w:b w:val="0"/>
                <w:bCs w:val="0"/>
                <w:color w:val="000000" w:themeColor="text1"/>
                <w:kern w:val="2"/>
                <w:sz w:val="24"/>
                <w:szCs w:val="24"/>
                <w:lang w:val="en-US" w:eastAsia="zh-CN" w:bidi="ar-SA"/>
                <w14:textFill>
                  <w14:solidFill>
                    <w14:schemeClr w14:val="tx1"/>
                  </w14:solidFill>
                </w14:textFill>
              </w:rPr>
              <w:t>36.1</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cs="Times New Roman" w:eastAsiaTheme="minorEastAsia"/>
                <w:b w:val="0"/>
                <w:bCs w:val="0"/>
                <w:color w:val="000000" w:themeColor="text1"/>
                <w:kern w:val="2"/>
                <w:sz w:val="24"/>
                <w:szCs w:val="24"/>
                <w:lang w:val="en-US" w:eastAsia="zh-CN" w:bidi="ar-SA"/>
                <w14:textFill>
                  <w14:solidFill>
                    <w14:schemeClr w14:val="tx1"/>
                  </w14:solidFill>
                </w14:textFill>
              </w:rPr>
              <w:t>5.53</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cs="Times New Roman" w:eastAsiaTheme="minorEastAsia"/>
                <w:b w:val="0"/>
                <w:bCs w:val="0"/>
                <w:color w:val="000000" w:themeColor="text1"/>
                <w:kern w:val="2"/>
                <w:sz w:val="24"/>
                <w:szCs w:val="24"/>
                <w:lang w:val="en-US" w:eastAsia="zh-CN" w:bidi="ar-SA"/>
                <w14:textFill>
                  <w14:solidFill>
                    <w14:schemeClr w14:val="tx1"/>
                  </w14:solidFill>
                </w14:textFill>
              </w:rPr>
              <w:t>36.1</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cs="Times New Roman" w:eastAsiaTheme="minorEastAsia"/>
                <w:b w:val="0"/>
                <w:bCs w:val="0"/>
                <w:color w:val="000000" w:themeColor="text1"/>
                <w:kern w:val="2"/>
                <w:sz w:val="24"/>
                <w:szCs w:val="24"/>
                <w:lang w:val="en-US" w:eastAsia="zh-CN" w:bidi="ar-SA"/>
                <w14:textFill>
                  <w14:solidFill>
                    <w14:schemeClr w14:val="tx1"/>
                  </w14:solidFill>
                </w14:textFill>
              </w:rPr>
              <w:t>84.68</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%，本次评价考虑活性炭吸附装置之间的差异问题，</w:t>
            </w:r>
            <w:r>
              <w:rPr>
                <w:rFonts w:hint="eastAsia" w:cs="Times New Roman" w:eastAsiaTheme="minorEastAsia"/>
                <w:b w:val="0"/>
                <w:bCs w:val="0"/>
                <w:color w:val="000000" w:themeColor="text1"/>
                <w:kern w:val="2"/>
                <w:sz w:val="24"/>
                <w:szCs w:val="24"/>
                <w:lang w:val="en-US" w:eastAsia="zh-CN" w:bidi="ar-SA"/>
                <w14:textFill>
                  <w14:solidFill>
                    <w14:schemeClr w14:val="tx1"/>
                  </w14:solidFill>
                </w14:textFill>
              </w:rPr>
              <w:t>考虑0.9的差异情况系数，</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故</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本次评价活性炭吸附装置</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（两级活性炭）</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去除效率按</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75</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%计</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p>
          <w:p w14:paraId="3E29BCA5">
            <w:pPr>
              <w:pStyle w:val="51"/>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根据《2020年挥发性有机物治理攻坚方案》提出的要求：采用活性炭吸附治理技术的，应采用碘值不低于800mg/g的</w:t>
            </w:r>
            <w:r>
              <w:rPr>
                <w:rFonts w:hint="eastAsia"/>
                <w:color w:val="000000" w:themeColor="text1"/>
                <w:lang w:eastAsia="zh-CN"/>
                <w14:textFill>
                  <w14:solidFill>
                    <w14:schemeClr w14:val="tx1"/>
                  </w14:solidFill>
                </w14:textFill>
              </w:rPr>
              <w:t>蜂窝状</w:t>
            </w:r>
            <w:r>
              <w:rPr>
                <w:rFonts w:hint="eastAsia"/>
                <w:color w:val="000000" w:themeColor="text1"/>
                <w14:textFill>
                  <w14:solidFill>
                    <w14:schemeClr w14:val="tx1"/>
                  </w14:solidFill>
                </w14:textFill>
              </w:rPr>
              <w:t>活性炭，并按照废气治理设计要求足量添加、及时更换。</w:t>
            </w:r>
          </w:p>
          <w:p w14:paraId="59A18ED7">
            <w:pPr>
              <w:pStyle w:val="51"/>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本环评提出，项目应按照要求采用</w:t>
            </w:r>
            <w:r>
              <w:rPr>
                <w:rFonts w:hint="eastAsia"/>
                <w:color w:val="000000" w:themeColor="text1"/>
                <w:lang w:eastAsia="zh-CN"/>
                <w14:textFill>
                  <w14:solidFill>
                    <w14:schemeClr w14:val="tx1"/>
                  </w14:solidFill>
                </w14:textFill>
              </w:rPr>
              <w:t>碘值不低于800mg/g的蜂窝状活性炭</w:t>
            </w:r>
            <w:r>
              <w:rPr>
                <w:rFonts w:hint="eastAsia"/>
                <w:color w:val="000000" w:themeColor="text1"/>
                <w14:textFill>
                  <w14:solidFill>
                    <w14:schemeClr w14:val="tx1"/>
                  </w14:solidFill>
                </w14:textFill>
              </w:rPr>
              <w:t>，</w:t>
            </w:r>
            <w:r>
              <w:rPr>
                <w:rFonts w:hint="default"/>
                <w:color w:val="000000" w:themeColor="text1"/>
                <w:lang w:eastAsia="zh-CN"/>
                <w14:textFill>
                  <w14:solidFill>
                    <w14:schemeClr w14:val="tx1"/>
                  </w14:solidFill>
                </w14:textFill>
              </w:rPr>
              <w:t>单块活性炭质量为0.</w:t>
            </w:r>
            <w:r>
              <w:rPr>
                <w:rFonts w:hint="eastAsia"/>
                <w:color w:val="000000" w:themeColor="text1"/>
                <w:lang w:val="en-US" w:eastAsia="zh-CN"/>
                <w14:textFill>
                  <w14:solidFill>
                    <w14:schemeClr w14:val="tx1"/>
                  </w14:solidFill>
                </w14:textFill>
              </w:rPr>
              <w:t>5</w:t>
            </w:r>
            <w:r>
              <w:rPr>
                <w:rFonts w:hint="default"/>
                <w:color w:val="000000" w:themeColor="text1"/>
                <w:lang w:eastAsia="zh-CN"/>
                <w14:textFill>
                  <w14:solidFill>
                    <w14:schemeClr w14:val="tx1"/>
                  </w14:solidFill>
                </w14:textFill>
              </w:rPr>
              <w:t>5kg，本项目活性炭吸附装置须装填</w:t>
            </w:r>
            <w:r>
              <w:rPr>
                <w:rFonts w:hint="eastAsia"/>
                <w:color w:val="000000" w:themeColor="text1"/>
                <w:lang w:val="en-US" w:eastAsia="zh-CN"/>
                <w14:textFill>
                  <w14:solidFill>
                    <w14:schemeClr w14:val="tx1"/>
                  </w14:solidFill>
                </w14:textFill>
              </w:rPr>
              <w:t>800</w:t>
            </w:r>
            <w:r>
              <w:rPr>
                <w:rFonts w:hint="default"/>
                <w:color w:val="000000" w:themeColor="text1"/>
                <w:lang w:eastAsia="zh-CN"/>
                <w14:textFill>
                  <w14:solidFill>
                    <w14:schemeClr w14:val="tx1"/>
                  </w14:solidFill>
                </w14:textFill>
              </w:rPr>
              <w:t>块（</w:t>
            </w:r>
            <w:r>
              <w:rPr>
                <w:rFonts w:hint="default"/>
                <w:color w:val="000000" w:themeColor="text1"/>
                <w:lang w:val="en-US" w:eastAsia="zh-CN"/>
                <w14:textFill>
                  <w14:solidFill>
                    <w14:schemeClr w14:val="tx1"/>
                  </w14:solidFill>
                </w14:textFill>
              </w:rPr>
              <w:t>每级活性炭布设</w:t>
            </w:r>
            <w:r>
              <w:rPr>
                <w:rFonts w:hint="eastAsia"/>
                <w:color w:val="000000" w:themeColor="text1"/>
                <w:lang w:val="en-US" w:eastAsia="zh-CN"/>
                <w14:textFill>
                  <w14:solidFill>
                    <w14:schemeClr w14:val="tx1"/>
                  </w14:solidFill>
                </w14:textFill>
              </w:rPr>
              <w:t>400</w:t>
            </w:r>
            <w:r>
              <w:rPr>
                <w:rFonts w:hint="default"/>
                <w:color w:val="000000" w:themeColor="text1"/>
                <w:lang w:val="en-US" w:eastAsia="zh-CN"/>
                <w14:textFill>
                  <w14:solidFill>
                    <w14:schemeClr w14:val="tx1"/>
                  </w14:solidFill>
                </w14:textFill>
              </w:rPr>
              <w:t>块，两级共布设</w:t>
            </w:r>
            <w:r>
              <w:rPr>
                <w:rFonts w:hint="eastAsia"/>
                <w:color w:val="000000" w:themeColor="text1"/>
                <w:lang w:val="en-US" w:eastAsia="zh-CN"/>
                <w14:textFill>
                  <w14:solidFill>
                    <w14:schemeClr w14:val="tx1"/>
                  </w14:solidFill>
                </w14:textFill>
              </w:rPr>
              <w:t>800</w:t>
            </w:r>
            <w:r>
              <w:rPr>
                <w:rFonts w:hint="default"/>
                <w:color w:val="000000" w:themeColor="text1"/>
                <w:lang w:val="en-US" w:eastAsia="zh-CN"/>
                <w14:textFill>
                  <w14:solidFill>
                    <w14:schemeClr w14:val="tx1"/>
                  </w14:solidFill>
                </w14:textFill>
              </w:rPr>
              <w:t>块</w:t>
            </w:r>
            <w:r>
              <w:rPr>
                <w:rFonts w:hint="default"/>
                <w:color w:val="000000" w:themeColor="text1"/>
                <w:lang w:eastAsia="zh-CN"/>
                <w14:textFill>
                  <w14:solidFill>
                    <w14:schemeClr w14:val="tx1"/>
                  </w14:solidFill>
                </w14:textFill>
              </w:rPr>
              <w:t>），则每次更换活性炭重量为</w:t>
            </w:r>
            <w:r>
              <w:rPr>
                <w:rFonts w:hint="eastAsia"/>
                <w:color w:val="000000" w:themeColor="text1"/>
                <w:lang w:val="en-US" w:eastAsia="zh-CN"/>
                <w14:textFill>
                  <w14:solidFill>
                    <w14:schemeClr w14:val="tx1"/>
                  </w14:solidFill>
                </w14:textFill>
              </w:rPr>
              <w:t>800</w:t>
            </w:r>
            <w:r>
              <w:rPr>
                <w:rFonts w:hint="default"/>
                <w:color w:val="000000" w:themeColor="text1"/>
                <w:lang w:eastAsia="zh-CN"/>
                <w14:textFill>
                  <w14:solidFill>
                    <w14:schemeClr w14:val="tx1"/>
                  </w14:solidFill>
                </w14:textFill>
              </w:rPr>
              <w:t>×0.</w:t>
            </w:r>
            <w:r>
              <w:rPr>
                <w:rFonts w:hint="eastAsia"/>
                <w:color w:val="000000" w:themeColor="text1"/>
                <w:lang w:val="en-US" w:eastAsia="zh-CN"/>
                <w14:textFill>
                  <w14:solidFill>
                    <w14:schemeClr w14:val="tx1"/>
                  </w14:solidFill>
                </w14:textFill>
              </w:rPr>
              <w:t>5</w:t>
            </w:r>
            <w:r>
              <w:rPr>
                <w:rFonts w:hint="default"/>
                <w:color w:val="000000" w:themeColor="text1"/>
                <w:lang w:eastAsia="zh-CN"/>
                <w14:textFill>
                  <w14:solidFill>
                    <w14:schemeClr w14:val="tx1"/>
                  </w14:solidFill>
                </w14:textFill>
              </w:rPr>
              <w:t>5/1000=</w:t>
            </w:r>
            <w:r>
              <w:rPr>
                <w:rFonts w:hint="eastAsia"/>
                <w:color w:val="000000" w:themeColor="text1"/>
                <w:lang w:val="en-US" w:eastAsia="zh-CN"/>
                <w14:textFill>
                  <w14:solidFill>
                    <w14:schemeClr w14:val="tx1"/>
                  </w14:solidFill>
                </w14:textFill>
              </w:rPr>
              <w:t>0.44</w:t>
            </w:r>
            <w:r>
              <w:rPr>
                <w:rFonts w:hint="default"/>
                <w:color w:val="000000" w:themeColor="text1"/>
                <w:lang w:eastAsia="zh-CN"/>
                <w14:textFill>
                  <w14:solidFill>
                    <w14:schemeClr w14:val="tx1"/>
                  </w14:solidFill>
                </w14:textFill>
              </w:rPr>
              <w:t>t/次</w:t>
            </w:r>
            <w:r>
              <w:rPr>
                <w:rFonts w:hint="eastAsia"/>
                <w:color w:val="000000" w:themeColor="text1"/>
                <w:lang w:eastAsia="zh-CN"/>
                <w14:textFill>
                  <w14:solidFill>
                    <w14:schemeClr w14:val="tx1"/>
                  </w14:solidFill>
                </w14:textFill>
              </w:rPr>
              <w:t>，同时</w:t>
            </w:r>
            <w:r>
              <w:rPr>
                <w:rFonts w:hint="eastAsia"/>
                <w:color w:val="000000" w:themeColor="text1"/>
                <w14:textFill>
                  <w14:solidFill>
                    <w14:schemeClr w14:val="tx1"/>
                  </w14:solidFill>
                </w14:textFill>
              </w:rPr>
              <w:t>并按照废气治理设计要求对活性炭足量添加、及时更换。</w:t>
            </w:r>
          </w:p>
          <w:p w14:paraId="6F72C50E">
            <w:pPr>
              <w:pStyle w:val="51"/>
              <w:keepNext w:val="0"/>
              <w:keepLines/>
              <w:pageBreakBefore w:val="0"/>
              <w:kinsoku/>
              <w:overflowPunct/>
              <w:bidi w:val="0"/>
              <w:adjustRightInd/>
              <w:ind w:firstLine="480"/>
              <w:rPr>
                <w:rFonts w:hint="eastAsia" w:ascii="Times New Roman" w:hAnsi="Times New Roman" w:eastAsia="宋体" w:cs="Times New Roman"/>
                <w:b/>
                <w:bCs/>
                <w:color w:val="000000" w:themeColor="text1"/>
                <w:lang w:eastAsia="zh-CN"/>
                <w14:textFill>
                  <w14:solidFill>
                    <w14:schemeClr w14:val="tx1"/>
                  </w14:solidFill>
                </w14:textFill>
              </w:rPr>
            </w:pPr>
            <w:r>
              <w:rPr>
                <w:rFonts w:hint="eastAsia" w:ascii="Times New Roman" w:hAnsi="Times New Roman" w:cs="Times New Roman"/>
                <w:b/>
                <w:bCs/>
                <w:color w:val="000000" w:themeColor="text1"/>
                <w:lang w:eastAsia="zh-CN"/>
                <w14:textFill>
                  <w14:solidFill>
                    <w14:schemeClr w14:val="tx1"/>
                  </w14:solidFill>
                </w14:textFill>
              </w:rPr>
              <w:t>⑤有机废气排放量</w:t>
            </w:r>
          </w:p>
          <w:p w14:paraId="75C235AE">
            <w:pPr>
              <w:pStyle w:val="51"/>
              <w:keepNext w:val="0"/>
              <w:keepLines/>
              <w:pageBreakBefore w:val="0"/>
              <w:kinsoku/>
              <w:overflowPunct/>
              <w:bidi w:val="0"/>
              <w:adjustRightInd/>
              <w:ind w:firstLine="480"/>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项目产生的有机废气经1套</w:t>
            </w:r>
            <w:r>
              <w:rPr>
                <w:rFonts w:hint="eastAsia" w:cs="Times New Roman" w:eastAsiaTheme="minorEastAsia"/>
                <w:color w:val="000000" w:themeColor="text1"/>
                <w:sz w:val="24"/>
                <w:szCs w:val="24"/>
                <w:highlight w:val="none"/>
                <w:lang w:val="en-US" w:eastAsia="zh-CN"/>
                <w14:textFill>
                  <w14:solidFill>
                    <w14:schemeClr w14:val="tx1"/>
                  </w14:solidFill>
                </w14:textFill>
              </w:rPr>
              <w:t>“两级活性炭吸附”</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装置</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处理后</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通过</w:t>
            </w:r>
            <w:r>
              <w:rPr>
                <w:rFonts w:hint="eastAsia" w:cs="Times New Roman" w:eastAsiaTheme="minorEastAsia"/>
                <w:color w:val="000000" w:themeColor="text1"/>
                <w:sz w:val="24"/>
                <w:szCs w:val="24"/>
                <w:highlight w:val="none"/>
                <w:lang w:val="en-US" w:eastAsia="zh-CN"/>
                <w14:textFill>
                  <w14:solidFill>
                    <w14:schemeClr w14:val="tx1"/>
                  </w14:solidFill>
                </w14:textFill>
              </w:rPr>
              <w:t>1根15m排气筒DA002</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（DA00</w:t>
            </w:r>
            <w:r>
              <w:rPr>
                <w:rFonts w:hint="eastAsia" w:cs="Times New Roman" w:eastAsiaTheme="minorEastAsia"/>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cs="Times New Roman" w:eastAsiaTheme="minorEastAsia"/>
                <w:color w:val="000000" w:themeColor="text1"/>
                <w:sz w:val="24"/>
                <w:szCs w:val="24"/>
                <w:highlight w:val="none"/>
                <w:lang w:val="en-US" w:eastAsia="zh-CN"/>
                <w14:textFill>
                  <w14:solidFill>
                    <w14:schemeClr w14:val="tx1"/>
                  </w14:solidFill>
                </w14:textFill>
              </w:rPr>
              <w:t>排放。</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本项目年工作300d，每天工作8h，风机风量按</w:t>
            </w:r>
            <w:r>
              <w:rPr>
                <w:rFonts w:hint="eastAsia" w:cs="Times New Roman" w:eastAsiaTheme="minorEastAsia"/>
                <w:color w:val="000000" w:themeColor="text1"/>
                <w:sz w:val="24"/>
                <w:szCs w:val="24"/>
                <w:highlight w:val="none"/>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000m</w:t>
            </w:r>
            <w:r>
              <w:rPr>
                <w:rFonts w:hint="default" w:ascii="Times New Roman" w:hAnsi="Times New Roman" w:cs="Times New Roman" w:eastAsiaTheme="minorEastAsia"/>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/h计，</w:t>
            </w:r>
            <w:r>
              <w:rPr>
                <w:rFonts w:hint="eastAsia" w:cs="Times New Roman" w:eastAsiaTheme="minorEastAsia"/>
                <w:color w:val="000000" w:themeColor="text1"/>
                <w:sz w:val="24"/>
                <w:szCs w:val="24"/>
                <w:highlight w:val="none"/>
                <w:lang w:val="en-US" w:eastAsia="zh-CN"/>
                <w14:textFill>
                  <w14:solidFill>
                    <w14:schemeClr w14:val="tx1"/>
                  </w14:solidFill>
                </w14:textFill>
              </w:rPr>
              <w:t>废气收集效率为80%，废气治理效率为75%。</w:t>
            </w:r>
          </w:p>
          <w:p w14:paraId="569E5573">
            <w:pPr>
              <w:pStyle w:val="51"/>
              <w:keepNext w:val="0"/>
              <w:keepLines/>
              <w:pageBreakBefore w:val="0"/>
              <w:kinsoku/>
              <w:overflowPunct/>
              <w:bidi w:val="0"/>
              <w:adjustRightInd/>
              <w:ind w:firstLine="480"/>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根据上文，本项目发泡</w:t>
            </w:r>
            <w:r>
              <w:rPr>
                <w:rFonts w:hint="eastAsia" w:cs="Times New Roman"/>
                <w:color w:val="000000" w:themeColor="text1"/>
                <w:sz w:val="24"/>
                <w:lang w:val="en-US" w:eastAsia="zh-CN"/>
                <w14:textFill>
                  <w14:solidFill>
                    <w14:schemeClr w14:val="tx1"/>
                  </w14:solidFill>
                </w14:textFill>
              </w:rPr>
              <w:t>、成型</w:t>
            </w:r>
            <w:r>
              <w:rPr>
                <w:rFonts w:hint="eastAsia" w:ascii="Times New Roman" w:hAnsi="Times New Roman" w:eastAsia="宋体" w:cs="Times New Roman"/>
                <w:color w:val="000000" w:themeColor="text1"/>
                <w:sz w:val="24"/>
                <w:lang w:val="en-US" w:eastAsia="zh-CN"/>
                <w14:textFill>
                  <w14:solidFill>
                    <w14:schemeClr w14:val="tx1"/>
                  </w14:solidFill>
                </w14:textFill>
              </w:rPr>
              <w:t>工序非甲烷总烃产生量为0.2</w:t>
            </w:r>
            <w:r>
              <w:rPr>
                <w:rFonts w:hint="eastAsia" w:cs="Times New Roman"/>
                <w:color w:val="000000" w:themeColor="text1"/>
                <w:sz w:val="24"/>
                <w:lang w:val="en-US" w:eastAsia="zh-CN"/>
                <w14:textFill>
                  <w14:solidFill>
                    <w14:schemeClr w14:val="tx1"/>
                  </w14:solidFill>
                </w14:textFill>
              </w:rPr>
              <w:t>04</w:t>
            </w:r>
            <w:r>
              <w:rPr>
                <w:rFonts w:hint="eastAsia" w:ascii="Times New Roman" w:hAnsi="Times New Roman" w:eastAsia="宋体" w:cs="Times New Roman"/>
                <w:color w:val="000000" w:themeColor="text1"/>
                <w:sz w:val="24"/>
                <w:lang w:val="en-US" w:eastAsia="zh-CN"/>
                <w14:textFill>
                  <w14:solidFill>
                    <w14:schemeClr w14:val="tx1"/>
                  </w14:solidFill>
                </w14:textFill>
              </w:rPr>
              <w:t>t/a</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甲苯产生量为0.00066t/a，乙苯产生量为0.00054t/a，苯乙烯产生量为0.0</w:t>
            </w:r>
            <w:r>
              <w:rPr>
                <w:rFonts w:hint="eastAsia" w:cs="Times New Roman"/>
                <w:color w:val="000000" w:themeColor="text1"/>
                <w:sz w:val="24"/>
                <w:lang w:val="en-US" w:eastAsia="zh-CN"/>
                <w14:textFill>
                  <w14:solidFill>
                    <w14:schemeClr w14:val="tx1"/>
                  </w14:solidFill>
                </w14:textFill>
              </w:rPr>
              <w:t>18</w:t>
            </w:r>
            <w:r>
              <w:rPr>
                <w:rFonts w:hint="eastAsia" w:ascii="Times New Roman" w:hAnsi="Times New Roman" w:eastAsia="宋体" w:cs="Times New Roman"/>
                <w:color w:val="000000" w:themeColor="text1"/>
                <w:sz w:val="24"/>
                <w:lang w:val="en-US" w:eastAsia="zh-CN"/>
                <w14:textFill>
                  <w14:solidFill>
                    <w14:schemeClr w14:val="tx1"/>
                  </w14:solidFill>
                </w14:textFill>
              </w:rPr>
              <w:t>t/a。</w:t>
            </w:r>
          </w:p>
          <w:p w14:paraId="0BF27928">
            <w:pPr>
              <w:pStyle w:val="51"/>
              <w:keepNext w:val="0"/>
              <w:keepLines/>
              <w:pageBreakBefore w:val="0"/>
              <w:kinsoku/>
              <w:overflowPunct/>
              <w:bidi w:val="0"/>
              <w:adjustRightInd/>
              <w:ind w:firstLine="480"/>
              <w:rPr>
                <w:rFonts w:hint="eastAsia"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综上所述，本项目DA002排放口非甲烷总烃排放量为0.0408t/a，0.017kg/h，2.429mg/m</w:t>
            </w:r>
            <w:r>
              <w:rPr>
                <w:rFonts w:hint="eastAsia" w:cs="Times New Roman" w:eastAsiaTheme="minorEastAsia"/>
                <w:color w:val="000000" w:themeColor="text1"/>
                <w:sz w:val="24"/>
                <w:szCs w:val="24"/>
                <w:highlight w:val="none"/>
                <w:vertAlign w:val="superscript"/>
                <w:lang w:val="en-US" w:eastAsia="zh-CN"/>
                <w14:textFill>
                  <w14:solidFill>
                    <w14:schemeClr w14:val="tx1"/>
                  </w14:solidFill>
                </w14:textFill>
              </w:rPr>
              <w:t>3</w:t>
            </w:r>
            <w:r>
              <w:rPr>
                <w:rFonts w:hint="eastAsia" w:cs="Times New Roman" w:eastAsiaTheme="minorEastAsia"/>
                <w:color w:val="000000" w:themeColor="text1"/>
                <w:sz w:val="24"/>
                <w:szCs w:val="24"/>
                <w:highlight w:val="none"/>
                <w:lang w:val="en-US" w:eastAsia="zh-CN"/>
                <w14:textFill>
                  <w14:solidFill>
                    <w14:schemeClr w14:val="tx1"/>
                  </w14:solidFill>
                </w14:textFill>
              </w:rPr>
              <w:t>；</w:t>
            </w:r>
          </w:p>
          <w:p w14:paraId="0E0EAE2A">
            <w:pPr>
              <w:pStyle w:val="51"/>
              <w:keepNext w:val="0"/>
              <w:keepLines/>
              <w:pageBreakBefore w:val="0"/>
              <w:kinsoku/>
              <w:overflowPunct/>
              <w:bidi w:val="0"/>
              <w:adjustRightInd/>
              <w:ind w:firstLine="480"/>
              <w:rPr>
                <w:rFonts w:hint="eastAsia"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甲苯排放量为0.000132t/a，0.000055kg/h，0.00786mg/m</w:t>
            </w:r>
            <w:r>
              <w:rPr>
                <w:rFonts w:hint="eastAsia" w:cs="Times New Roman" w:eastAsiaTheme="minorEastAsia"/>
                <w:color w:val="000000" w:themeColor="text1"/>
                <w:sz w:val="24"/>
                <w:szCs w:val="24"/>
                <w:highlight w:val="none"/>
                <w:vertAlign w:val="superscript"/>
                <w:lang w:val="en-US" w:eastAsia="zh-CN"/>
                <w14:textFill>
                  <w14:solidFill>
                    <w14:schemeClr w14:val="tx1"/>
                  </w14:solidFill>
                </w14:textFill>
              </w:rPr>
              <w:t>3</w:t>
            </w:r>
            <w:r>
              <w:rPr>
                <w:rFonts w:hint="eastAsia" w:cs="Times New Roman" w:eastAsiaTheme="minorEastAsia"/>
                <w:color w:val="000000" w:themeColor="text1"/>
                <w:sz w:val="24"/>
                <w:szCs w:val="24"/>
                <w:highlight w:val="none"/>
                <w:lang w:val="en-US" w:eastAsia="zh-CN"/>
                <w14:textFill>
                  <w14:solidFill>
                    <w14:schemeClr w14:val="tx1"/>
                  </w14:solidFill>
                </w14:textFill>
              </w:rPr>
              <w:t>；</w:t>
            </w:r>
          </w:p>
          <w:p w14:paraId="65585A9E">
            <w:pPr>
              <w:pStyle w:val="51"/>
              <w:keepNext w:val="0"/>
              <w:keepLines/>
              <w:pageBreakBefore w:val="0"/>
              <w:kinsoku/>
              <w:overflowPunct/>
              <w:bidi w:val="0"/>
              <w:adjustRightInd/>
              <w:ind w:firstLine="480"/>
              <w:rPr>
                <w:rFonts w:hint="eastAsia"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乙苯排放量为0.000108t/a，0.000045kg/h，0.00643mg/m</w:t>
            </w:r>
            <w:r>
              <w:rPr>
                <w:rFonts w:hint="eastAsia" w:cs="Times New Roman" w:eastAsiaTheme="minorEastAsia"/>
                <w:color w:val="000000" w:themeColor="text1"/>
                <w:sz w:val="24"/>
                <w:szCs w:val="24"/>
                <w:highlight w:val="none"/>
                <w:vertAlign w:val="superscript"/>
                <w:lang w:val="en-US" w:eastAsia="zh-CN"/>
                <w14:textFill>
                  <w14:solidFill>
                    <w14:schemeClr w14:val="tx1"/>
                  </w14:solidFill>
                </w14:textFill>
              </w:rPr>
              <w:t>3</w:t>
            </w:r>
            <w:r>
              <w:rPr>
                <w:rFonts w:hint="eastAsia" w:cs="Times New Roman" w:eastAsiaTheme="minorEastAsia"/>
                <w:color w:val="000000" w:themeColor="text1"/>
                <w:sz w:val="24"/>
                <w:szCs w:val="24"/>
                <w:highlight w:val="none"/>
                <w:lang w:val="en-US" w:eastAsia="zh-CN"/>
                <w14:textFill>
                  <w14:solidFill>
                    <w14:schemeClr w14:val="tx1"/>
                  </w14:solidFill>
                </w14:textFill>
              </w:rPr>
              <w:t>；</w:t>
            </w:r>
          </w:p>
          <w:p w14:paraId="0FBC0A3B">
            <w:pPr>
              <w:pStyle w:val="51"/>
              <w:keepNext w:val="0"/>
              <w:keepLines/>
              <w:pageBreakBefore w:val="0"/>
              <w:kinsoku/>
              <w:overflowPunct/>
              <w:bidi w:val="0"/>
              <w:adjustRightInd/>
              <w:ind w:firstLine="480"/>
              <w:rPr>
                <w:rFonts w:hint="default"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苯乙烯排放量为</w:t>
            </w:r>
            <w:r>
              <w:rPr>
                <w:rFonts w:hint="eastAsia" w:cs="Times New Roman"/>
                <w:color w:val="000000" w:themeColor="text1"/>
                <w:lang w:val="en-US" w:eastAsia="zh-CN"/>
                <w14:textFill>
                  <w14:solidFill>
                    <w14:schemeClr w14:val="tx1"/>
                  </w14:solidFill>
                </w14:textFill>
              </w:rPr>
              <w:t>0.0036</w:t>
            </w:r>
            <w:r>
              <w:rPr>
                <w:rFonts w:hint="eastAsia" w:cs="Times New Roman" w:eastAsiaTheme="minorEastAsia"/>
                <w:color w:val="000000" w:themeColor="text1"/>
                <w:sz w:val="24"/>
                <w:szCs w:val="24"/>
                <w:highlight w:val="none"/>
                <w:lang w:val="en-US" w:eastAsia="zh-CN"/>
                <w14:textFill>
                  <w14:solidFill>
                    <w14:schemeClr w14:val="tx1"/>
                  </w14:solidFill>
                </w14:textFill>
              </w:rPr>
              <w:t>t/a，0.0015kg/h，0.2143mg/m</w:t>
            </w:r>
            <w:r>
              <w:rPr>
                <w:rFonts w:hint="eastAsia" w:cs="Times New Roman" w:eastAsiaTheme="minorEastAsia"/>
                <w:color w:val="000000" w:themeColor="text1"/>
                <w:sz w:val="24"/>
                <w:szCs w:val="24"/>
                <w:highlight w:val="none"/>
                <w:vertAlign w:val="superscript"/>
                <w:lang w:val="en-US" w:eastAsia="zh-CN"/>
                <w14:textFill>
                  <w14:solidFill>
                    <w14:schemeClr w14:val="tx1"/>
                  </w14:solidFill>
                </w14:textFill>
              </w:rPr>
              <w:t>3</w:t>
            </w:r>
            <w:r>
              <w:rPr>
                <w:rFonts w:hint="eastAsia" w:cs="Times New Roman" w:eastAsiaTheme="minorEastAsia"/>
                <w:color w:val="000000" w:themeColor="text1"/>
                <w:sz w:val="24"/>
                <w:szCs w:val="24"/>
                <w:highlight w:val="none"/>
                <w:lang w:val="en-US" w:eastAsia="zh-CN"/>
                <w14:textFill>
                  <w14:solidFill>
                    <w14:schemeClr w14:val="tx1"/>
                  </w14:solidFill>
                </w14:textFill>
              </w:rPr>
              <w:t>。</w:t>
            </w:r>
          </w:p>
          <w:p w14:paraId="750BB836">
            <w:pPr>
              <w:pStyle w:val="51"/>
              <w:keepNext w:val="0"/>
              <w:keepLines/>
              <w:pageBreakBefore w:val="0"/>
              <w:kinsoku/>
              <w:overflowPunct/>
              <w:bidi w:val="0"/>
              <w:adjustRightInd/>
              <w:ind w:firstLine="480"/>
              <w:rPr>
                <w:rFonts w:hint="default"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未被集气罩收集的有机废气（20%）经车间门窗自然通风无组织排放，则本项目无组织</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非甲烷总烃</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排放</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量</w:t>
            </w:r>
            <w:r>
              <w:rPr>
                <w:rFonts w:hint="eastAsia" w:cs="Times New Roman" w:eastAsiaTheme="minorEastAsia"/>
                <w:color w:val="000000" w:themeColor="text1"/>
                <w:sz w:val="24"/>
                <w:szCs w:val="24"/>
                <w:highlight w:val="none"/>
                <w:lang w:val="en-US" w:eastAsia="zh-CN"/>
                <w14:textFill>
                  <w14:solidFill>
                    <w14:schemeClr w14:val="tx1"/>
                  </w14:solidFill>
                </w14:textFill>
              </w:rPr>
              <w:t>0.0408t/a</w:t>
            </w:r>
            <w:r>
              <w:rPr>
                <w:rFonts w:hint="eastAsia" w:cs="Times New Roman" w:eastAsiaTheme="minorEastAsia"/>
                <w:color w:val="000000" w:themeColor="text1"/>
                <w:sz w:val="24"/>
                <w:szCs w:val="24"/>
                <w:highlight w:val="none"/>
                <w:lang w:eastAsia="zh-CN"/>
                <w14:textFill>
                  <w14:solidFill>
                    <w14:schemeClr w14:val="tx1"/>
                  </w14:solidFill>
                </w14:textFill>
              </w:rPr>
              <w:t>，</w:t>
            </w:r>
            <w:r>
              <w:rPr>
                <w:rFonts w:hint="eastAsia" w:cs="Times New Roman" w:eastAsiaTheme="minorEastAsia"/>
                <w:color w:val="000000" w:themeColor="text1"/>
                <w:sz w:val="24"/>
                <w:szCs w:val="24"/>
                <w:highlight w:val="none"/>
                <w:lang w:val="en-US" w:eastAsia="zh-CN"/>
                <w14:textFill>
                  <w14:solidFill>
                    <w14:schemeClr w14:val="tx1"/>
                  </w14:solidFill>
                </w14:textFill>
              </w:rPr>
              <w:t>0.017kg/h；甲苯0.000132t/a，0.000055kg/；乙苯0.000108t/a，0.000045kg/h；苯乙烯0.0036t/a，0.0015kg/h。</w:t>
            </w:r>
          </w:p>
          <w:p w14:paraId="6F3D1353">
            <w:pPr>
              <w:pStyle w:val="12"/>
              <w:keepNext w:val="0"/>
              <w:keepLines/>
              <w:pageBreakBefore w:val="0"/>
              <w:kinsoku/>
              <w:overflowPunct/>
              <w:bidi w:val="0"/>
              <w:adjustRightInd/>
              <w:ind w:firstLine="480"/>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综上所述，本项目废气产排措施、排放情况一览表详见</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下表。</w:t>
            </w:r>
          </w:p>
          <w:p w14:paraId="2849AD19">
            <w:pPr>
              <w:pStyle w:val="51"/>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表4-</w:t>
            </w:r>
            <w:r>
              <w:rPr>
                <w:rFonts w:hint="eastAsia" w:cs="Times New Roman"/>
                <w:b/>
                <w:bCs/>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 项目有组织废气源强一览表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607"/>
              <w:gridCol w:w="653"/>
              <w:gridCol w:w="593"/>
              <w:gridCol w:w="942"/>
              <w:gridCol w:w="942"/>
              <w:gridCol w:w="967"/>
              <w:gridCol w:w="1041"/>
              <w:gridCol w:w="942"/>
              <w:gridCol w:w="845"/>
            </w:tblGrid>
            <w:tr w14:paraId="50D44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410" w:type="pct"/>
                  <w:noWrap w:val="0"/>
                  <w:vAlign w:val="center"/>
                </w:tcPr>
                <w:p w14:paraId="5170A53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废气类型</w:t>
                  </w:r>
                </w:p>
              </w:tc>
              <w:tc>
                <w:tcPr>
                  <w:tcW w:w="369" w:type="pct"/>
                  <w:noWrap w:val="0"/>
                  <w:vAlign w:val="center"/>
                </w:tcPr>
                <w:p w14:paraId="4757D6A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污染物</w:t>
                  </w:r>
                </w:p>
              </w:tc>
              <w:tc>
                <w:tcPr>
                  <w:tcW w:w="397" w:type="pct"/>
                  <w:noWrap w:val="0"/>
                  <w:vAlign w:val="center"/>
                </w:tcPr>
                <w:p w14:paraId="78ADF53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产生量</w:t>
                  </w:r>
                </w:p>
                <w:p w14:paraId="6BEC247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（t/a）</w:t>
                  </w:r>
                </w:p>
              </w:tc>
              <w:tc>
                <w:tcPr>
                  <w:tcW w:w="361" w:type="pct"/>
                  <w:noWrap w:val="0"/>
                  <w:vAlign w:val="center"/>
                </w:tcPr>
                <w:p w14:paraId="47D3865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收集效率</w:t>
                  </w:r>
                </w:p>
                <w:p w14:paraId="44961DE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w:t>
                  </w:r>
                </w:p>
              </w:tc>
              <w:tc>
                <w:tcPr>
                  <w:tcW w:w="574" w:type="pct"/>
                  <w:noWrap w:val="0"/>
                  <w:vAlign w:val="center"/>
                </w:tcPr>
                <w:p w14:paraId="3A67BB1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无组织源强t/a</w:t>
                  </w:r>
                </w:p>
              </w:tc>
              <w:tc>
                <w:tcPr>
                  <w:tcW w:w="574" w:type="pct"/>
                  <w:noWrap w:val="0"/>
                  <w:vAlign w:val="center"/>
                </w:tcPr>
                <w:p w14:paraId="1CB9D3E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有组织源强t/a</w:t>
                  </w:r>
                </w:p>
              </w:tc>
              <w:tc>
                <w:tcPr>
                  <w:tcW w:w="589" w:type="pct"/>
                  <w:noWrap w:val="0"/>
                  <w:vAlign w:val="center"/>
                </w:tcPr>
                <w:p w14:paraId="0D334B2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废气治理措施</w:t>
                  </w:r>
                </w:p>
              </w:tc>
              <w:tc>
                <w:tcPr>
                  <w:tcW w:w="634" w:type="pct"/>
                  <w:noWrap w:val="0"/>
                  <w:vAlign w:val="center"/>
                </w:tcPr>
                <w:p w14:paraId="1ADEAD3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排放量t/a</w:t>
                  </w:r>
                </w:p>
              </w:tc>
              <w:tc>
                <w:tcPr>
                  <w:tcW w:w="574" w:type="pct"/>
                  <w:noWrap w:val="0"/>
                  <w:vAlign w:val="center"/>
                </w:tcPr>
                <w:p w14:paraId="2D894DD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排放速率kg/h</w:t>
                  </w:r>
                </w:p>
              </w:tc>
              <w:tc>
                <w:tcPr>
                  <w:tcW w:w="514" w:type="pct"/>
                  <w:noWrap w:val="0"/>
                  <w:vAlign w:val="center"/>
                </w:tcPr>
                <w:p w14:paraId="38DD00F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排放浓度</w:t>
                  </w:r>
                </w:p>
                <w:p w14:paraId="742C0363">
                  <w:pPr>
                    <w:pStyle w:val="14"/>
                    <w:jc w:val="center"/>
                    <w:rPr>
                      <w:rFonts w:hint="eastAsia"/>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mg/m</w:t>
                  </w:r>
                  <w:r>
                    <w:rPr>
                      <w:rFonts w:hint="eastAsia"/>
                      <w:b/>
                      <w:bCs/>
                      <w:color w:val="000000" w:themeColor="text1"/>
                      <w:vertAlign w:val="superscript"/>
                      <w:lang w:val="en-US" w:eastAsia="zh-CN"/>
                      <w14:textFill>
                        <w14:solidFill>
                          <w14:schemeClr w14:val="tx1"/>
                        </w14:solidFill>
                      </w14:textFill>
                    </w:rPr>
                    <w:t>3</w:t>
                  </w:r>
                </w:p>
              </w:tc>
            </w:tr>
            <w:tr w14:paraId="10FB5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10" w:type="pct"/>
                  <w:vMerge w:val="restart"/>
                  <w:noWrap w:val="0"/>
                  <w:vAlign w:val="center"/>
                </w:tcPr>
                <w:p w14:paraId="466AE0C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DA001锅炉废气</w:t>
                  </w:r>
                </w:p>
              </w:tc>
              <w:tc>
                <w:tcPr>
                  <w:tcW w:w="369" w:type="pct"/>
                  <w:noWrap w:val="0"/>
                  <w:vAlign w:val="center"/>
                </w:tcPr>
                <w:p w14:paraId="2BA421E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颗粒物</w:t>
                  </w:r>
                </w:p>
              </w:tc>
              <w:tc>
                <w:tcPr>
                  <w:tcW w:w="397" w:type="pct"/>
                  <w:noWrap w:val="0"/>
                  <w:vAlign w:val="center"/>
                </w:tcPr>
                <w:p w14:paraId="206F6544">
                  <w:pPr>
                    <w:keepNext w:val="0"/>
                    <w:pageBreakBefore w:val="0"/>
                    <w:widowControl/>
                    <w:overflowPunct/>
                    <w:topLinePunct w:val="0"/>
                    <w:bidi w:val="0"/>
                    <w:adjustRightInd/>
                    <w:snapToGrid/>
                    <w:jc w:val="center"/>
                    <w:textAlignment w:val="center"/>
                    <w:rPr>
                      <w:rFonts w:hint="default"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4.9</w:t>
                  </w:r>
                  <w:r>
                    <w:rPr>
                      <w:rFonts w:hint="eastAsia" w:cs="Times New Roman"/>
                      <w:color w:val="000000" w:themeColor="text1"/>
                      <w:sz w:val="21"/>
                      <w:szCs w:val="21"/>
                      <w:lang w:val="en-US" w:eastAsia="zh-CN"/>
                      <w14:textFill>
                        <w14:solidFill>
                          <w14:schemeClr w14:val="tx1"/>
                        </w14:solidFill>
                      </w14:textFill>
                    </w:rPr>
                    <w:t>415</w:t>
                  </w:r>
                </w:p>
              </w:tc>
              <w:tc>
                <w:tcPr>
                  <w:tcW w:w="361" w:type="pct"/>
                  <w:noWrap w:val="0"/>
                  <w:vAlign w:val="center"/>
                </w:tcPr>
                <w:p w14:paraId="57AE7EC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100</w:t>
                  </w:r>
                </w:p>
              </w:tc>
              <w:tc>
                <w:tcPr>
                  <w:tcW w:w="574" w:type="pct"/>
                  <w:noWrap w:val="0"/>
                  <w:vAlign w:val="center"/>
                </w:tcPr>
                <w:p w14:paraId="1985203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942" w:type="dxa"/>
                  <w:noWrap w:val="0"/>
                  <w:vAlign w:val="center"/>
                </w:tcPr>
                <w:p w14:paraId="11F0E9A2">
                  <w:pPr>
                    <w:keepNext w:val="0"/>
                    <w:pageBreakBefore w:val="0"/>
                    <w:widowControl/>
                    <w:overflowPunct/>
                    <w:topLinePunct w:val="0"/>
                    <w:bidi w:val="0"/>
                    <w:adjustRightInd/>
                    <w:snapToGrid/>
                    <w:jc w:val="center"/>
                    <w:textAlignment w:val="center"/>
                    <w:rPr>
                      <w:rFonts w:hint="default"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4.9</w:t>
                  </w:r>
                  <w:r>
                    <w:rPr>
                      <w:rFonts w:hint="eastAsia" w:cs="Times New Roman"/>
                      <w:color w:val="000000" w:themeColor="text1"/>
                      <w:sz w:val="21"/>
                      <w:szCs w:val="21"/>
                      <w:lang w:val="en-US" w:eastAsia="zh-CN"/>
                      <w14:textFill>
                        <w14:solidFill>
                          <w14:schemeClr w14:val="tx1"/>
                        </w14:solidFill>
                      </w14:textFill>
                    </w:rPr>
                    <w:t>415</w:t>
                  </w:r>
                </w:p>
              </w:tc>
              <w:tc>
                <w:tcPr>
                  <w:tcW w:w="589" w:type="pct"/>
                  <w:vMerge w:val="restart"/>
                  <w:noWrap w:val="0"/>
                  <w:vAlign w:val="center"/>
                </w:tcPr>
                <w:p w14:paraId="10CDDEA0">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设置“低氮燃烧+旋风除尘+布袋除尘”</w:t>
                  </w:r>
                  <w:r>
                    <w:rPr>
                      <w:rFonts w:hint="eastAsia" w:eastAsia="宋体"/>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颗粒物</w:t>
                  </w:r>
                  <w:r>
                    <w:rPr>
                      <w:rFonts w:hint="eastAsia" w:eastAsia="宋体"/>
                      <w:color w:val="000000" w:themeColor="text1"/>
                      <w:lang w:val="en-US" w:eastAsia="zh-CN"/>
                      <w14:textFill>
                        <w14:solidFill>
                          <w14:schemeClr w14:val="tx1"/>
                        </w14:solidFill>
                      </w14:textFill>
                    </w:rPr>
                    <w:t>治理效率</w:t>
                  </w:r>
                  <w:r>
                    <w:rPr>
                      <w:rFonts w:hint="eastAsia"/>
                      <w:color w:val="000000" w:themeColor="text1"/>
                      <w:lang w:val="en-US" w:eastAsia="zh-CN"/>
                      <w14:textFill>
                        <w14:solidFill>
                          <w14:schemeClr w14:val="tx1"/>
                        </w14:solidFill>
                      </w14:textFill>
                    </w:rPr>
                    <w:t>99%，氮氧化物治理效率30%，30m高排气筒DA001排放；风量3183.092m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/h</w:t>
                  </w:r>
                </w:p>
              </w:tc>
              <w:tc>
                <w:tcPr>
                  <w:tcW w:w="1041" w:type="dxa"/>
                  <w:noWrap w:val="0"/>
                  <w:vAlign w:val="center"/>
                </w:tcPr>
                <w:p w14:paraId="0BCB0C7E">
                  <w:pPr>
                    <w:keepNext w:val="0"/>
                    <w:pageBreakBefore w:val="0"/>
                    <w:widowControl/>
                    <w:overflowPunct/>
                    <w:topLinePunct w:val="0"/>
                    <w:bidi w:val="0"/>
                    <w:adjustRightInd/>
                    <w:snapToGrid/>
                    <w:jc w:val="center"/>
                    <w:textAlignment w:val="center"/>
                    <w:rPr>
                      <w:rFonts w:hint="default" w:eastAsia="宋体"/>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0.049</w:t>
                  </w:r>
                  <w:r>
                    <w:rPr>
                      <w:rFonts w:hint="eastAsia" w:cs="Times New Roman"/>
                      <w:color w:val="000000" w:themeColor="text1"/>
                      <w:sz w:val="21"/>
                      <w:szCs w:val="21"/>
                      <w:lang w:val="en-US" w:eastAsia="zh-CN"/>
                      <w14:textFill>
                        <w14:solidFill>
                          <w14:schemeClr w14:val="tx1"/>
                        </w14:solidFill>
                      </w14:textFill>
                    </w:rPr>
                    <w:t>4</w:t>
                  </w:r>
                </w:p>
              </w:tc>
              <w:tc>
                <w:tcPr>
                  <w:tcW w:w="942" w:type="dxa"/>
                  <w:noWrap w:val="0"/>
                  <w:vAlign w:val="center"/>
                </w:tcPr>
                <w:p w14:paraId="31913C94">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0.0226</w:t>
                  </w:r>
                </w:p>
              </w:tc>
              <w:tc>
                <w:tcPr>
                  <w:tcW w:w="845" w:type="dxa"/>
                  <w:noWrap w:val="0"/>
                  <w:vAlign w:val="center"/>
                </w:tcPr>
                <w:p w14:paraId="7745CA10">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7.10</w:t>
                  </w:r>
                </w:p>
              </w:tc>
            </w:tr>
            <w:tr w14:paraId="1DF65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10" w:type="pct"/>
                  <w:vMerge w:val="continue"/>
                  <w:noWrap w:val="0"/>
                  <w:vAlign w:val="center"/>
                </w:tcPr>
                <w:p w14:paraId="6D0EBE2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369" w:type="pct"/>
                  <w:noWrap w:val="0"/>
                  <w:vAlign w:val="center"/>
                </w:tcPr>
                <w:p w14:paraId="3E01B42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二氧化硫</w:t>
                  </w:r>
                </w:p>
              </w:tc>
              <w:tc>
                <w:tcPr>
                  <w:tcW w:w="397" w:type="pct"/>
                  <w:noWrap w:val="0"/>
                  <w:vAlign w:val="center"/>
                </w:tcPr>
                <w:p w14:paraId="36786008">
                  <w:pPr>
                    <w:keepNext w:val="0"/>
                    <w:pageBreakBefore w:val="0"/>
                    <w:widowControl/>
                    <w:overflowPunct/>
                    <w:topLinePunct w:val="0"/>
                    <w:bidi w:val="0"/>
                    <w:adjustRightInd/>
                    <w:snapToGrid/>
                    <w:jc w:val="center"/>
                    <w:textAlignment w:val="center"/>
                    <w:rPr>
                      <w:rFonts w:hint="default"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2104</w:t>
                  </w:r>
                </w:p>
              </w:tc>
              <w:tc>
                <w:tcPr>
                  <w:tcW w:w="361" w:type="pct"/>
                  <w:noWrap w:val="0"/>
                  <w:vAlign w:val="center"/>
                </w:tcPr>
                <w:p w14:paraId="6424ECD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100</w:t>
                  </w:r>
                </w:p>
              </w:tc>
              <w:tc>
                <w:tcPr>
                  <w:tcW w:w="574" w:type="pct"/>
                  <w:noWrap w:val="0"/>
                  <w:vAlign w:val="center"/>
                </w:tcPr>
                <w:p w14:paraId="3E3E43C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942" w:type="dxa"/>
                  <w:noWrap w:val="0"/>
                  <w:vAlign w:val="center"/>
                </w:tcPr>
                <w:p w14:paraId="18A94D14">
                  <w:pPr>
                    <w:keepNext w:val="0"/>
                    <w:pageBreakBefore w:val="0"/>
                    <w:widowControl/>
                    <w:overflowPunct/>
                    <w:topLinePunct w:val="0"/>
                    <w:bidi w:val="0"/>
                    <w:adjustRightInd/>
                    <w:snapToGrid/>
                    <w:jc w:val="center"/>
                    <w:textAlignment w:val="center"/>
                    <w:rPr>
                      <w:rFonts w:hint="default"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2104</w:t>
                  </w:r>
                </w:p>
              </w:tc>
              <w:tc>
                <w:tcPr>
                  <w:tcW w:w="589" w:type="pct"/>
                  <w:vMerge w:val="continue"/>
                  <w:noWrap w:val="0"/>
                  <w:vAlign w:val="center"/>
                </w:tcPr>
                <w:p w14:paraId="7C8AF970">
                  <w:pPr>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eastAsia="宋体"/>
                      <w:color w:val="000000" w:themeColor="text1"/>
                      <w:lang w:val="en-US" w:eastAsia="zh-CN"/>
                      <w14:textFill>
                        <w14:solidFill>
                          <w14:schemeClr w14:val="tx1"/>
                        </w14:solidFill>
                      </w14:textFill>
                    </w:rPr>
                  </w:pPr>
                </w:p>
              </w:tc>
              <w:tc>
                <w:tcPr>
                  <w:tcW w:w="1041" w:type="dxa"/>
                  <w:noWrap w:val="0"/>
                  <w:vAlign w:val="center"/>
                </w:tcPr>
                <w:p w14:paraId="50F26FAA">
                  <w:pPr>
                    <w:keepNext w:val="0"/>
                    <w:pageBreakBefore w:val="0"/>
                    <w:widowControl/>
                    <w:overflowPunct/>
                    <w:topLinePunct w:val="0"/>
                    <w:bidi w:val="0"/>
                    <w:adjustRightInd/>
                    <w:snapToGrid/>
                    <w:jc w:val="center"/>
                    <w:textAlignment w:val="center"/>
                    <w:rPr>
                      <w:rFonts w:hint="default" w:eastAsia="宋体"/>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w:t>
                  </w:r>
                  <w:r>
                    <w:rPr>
                      <w:rFonts w:hint="eastAsia" w:cs="Times New Roman"/>
                      <w:color w:val="000000" w:themeColor="text1"/>
                      <w:sz w:val="21"/>
                      <w:szCs w:val="21"/>
                      <w:lang w:val="en-US" w:eastAsia="zh-CN"/>
                      <w14:textFill>
                        <w14:solidFill>
                          <w14:schemeClr w14:val="tx1"/>
                        </w14:solidFill>
                      </w14:textFill>
                    </w:rPr>
                    <w:t>104</w:t>
                  </w:r>
                </w:p>
              </w:tc>
              <w:tc>
                <w:tcPr>
                  <w:tcW w:w="942" w:type="dxa"/>
                  <w:noWrap w:val="0"/>
                  <w:vAlign w:val="center"/>
                </w:tcPr>
                <w:p w14:paraId="53BE5FAB">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0.0963</w:t>
                  </w:r>
                </w:p>
              </w:tc>
              <w:tc>
                <w:tcPr>
                  <w:tcW w:w="845" w:type="dxa"/>
                  <w:noWrap w:val="0"/>
                  <w:vAlign w:val="center"/>
                </w:tcPr>
                <w:p w14:paraId="350B0192">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30.245</w:t>
                  </w:r>
                </w:p>
              </w:tc>
            </w:tr>
            <w:tr w14:paraId="64DD9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10" w:type="pct"/>
                  <w:vMerge w:val="continue"/>
                  <w:noWrap w:val="0"/>
                  <w:vAlign w:val="center"/>
                </w:tcPr>
                <w:p w14:paraId="18E6F9E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369" w:type="pct"/>
                  <w:noWrap w:val="0"/>
                  <w:vAlign w:val="center"/>
                </w:tcPr>
                <w:p w14:paraId="57741CF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氮氧化物</w:t>
                  </w:r>
                </w:p>
              </w:tc>
              <w:tc>
                <w:tcPr>
                  <w:tcW w:w="397" w:type="pct"/>
                  <w:noWrap w:val="0"/>
                  <w:vAlign w:val="center"/>
                </w:tcPr>
                <w:p w14:paraId="439D4E29">
                  <w:pPr>
                    <w:keepNext w:val="0"/>
                    <w:pageBreakBefore w:val="0"/>
                    <w:widowControl/>
                    <w:overflowPunct/>
                    <w:topLinePunct w:val="0"/>
                    <w:bidi w:val="0"/>
                    <w:adjustRightInd/>
                    <w:snapToGrid/>
                    <w:jc w:val="center"/>
                    <w:textAlignment w:val="center"/>
                    <w:rPr>
                      <w:rFonts w:hint="default"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3901</w:t>
                  </w:r>
                </w:p>
              </w:tc>
              <w:tc>
                <w:tcPr>
                  <w:tcW w:w="361" w:type="pct"/>
                  <w:noWrap w:val="0"/>
                  <w:vAlign w:val="center"/>
                </w:tcPr>
                <w:p w14:paraId="5C7D1DF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100</w:t>
                  </w:r>
                </w:p>
              </w:tc>
              <w:tc>
                <w:tcPr>
                  <w:tcW w:w="574" w:type="pct"/>
                  <w:noWrap w:val="0"/>
                  <w:vAlign w:val="center"/>
                </w:tcPr>
                <w:p w14:paraId="41FBC5F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942" w:type="dxa"/>
                  <w:noWrap w:val="0"/>
                  <w:vAlign w:val="center"/>
                </w:tcPr>
                <w:p w14:paraId="47B5AF12">
                  <w:pPr>
                    <w:keepNext w:val="0"/>
                    <w:pageBreakBefore w:val="0"/>
                    <w:widowControl/>
                    <w:overflowPunct/>
                    <w:topLinePunct w:val="0"/>
                    <w:bidi w:val="0"/>
                    <w:adjustRightInd/>
                    <w:snapToGrid/>
                    <w:jc w:val="center"/>
                    <w:textAlignment w:val="center"/>
                    <w:rPr>
                      <w:rFonts w:hint="default"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3901</w:t>
                  </w:r>
                </w:p>
              </w:tc>
              <w:tc>
                <w:tcPr>
                  <w:tcW w:w="589" w:type="pct"/>
                  <w:vMerge w:val="continue"/>
                  <w:noWrap w:val="0"/>
                  <w:vAlign w:val="center"/>
                </w:tcPr>
                <w:p w14:paraId="0E1BDEF7">
                  <w:pPr>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eastAsia="宋体"/>
                      <w:color w:val="000000" w:themeColor="text1"/>
                      <w:lang w:val="en-US" w:eastAsia="zh-CN"/>
                      <w14:textFill>
                        <w14:solidFill>
                          <w14:schemeClr w14:val="tx1"/>
                        </w14:solidFill>
                      </w14:textFill>
                    </w:rPr>
                  </w:pPr>
                </w:p>
              </w:tc>
              <w:tc>
                <w:tcPr>
                  <w:tcW w:w="1041" w:type="dxa"/>
                  <w:noWrap w:val="0"/>
                  <w:vAlign w:val="center"/>
                </w:tcPr>
                <w:p w14:paraId="6886E8FE">
                  <w:pPr>
                    <w:keepNext w:val="0"/>
                    <w:pageBreakBefore w:val="0"/>
                    <w:widowControl/>
                    <w:overflowPunct/>
                    <w:topLinePunct w:val="0"/>
                    <w:bidi w:val="0"/>
                    <w:adjustRightInd/>
                    <w:snapToGrid/>
                    <w:jc w:val="center"/>
                    <w:textAlignment w:val="center"/>
                    <w:rPr>
                      <w:rFonts w:hint="default" w:eastAsia="宋体"/>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9733</w:t>
                  </w:r>
                </w:p>
              </w:tc>
              <w:tc>
                <w:tcPr>
                  <w:tcW w:w="942" w:type="dxa"/>
                  <w:noWrap w:val="0"/>
                  <w:vAlign w:val="center"/>
                </w:tcPr>
                <w:p w14:paraId="5DF39B43">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0.4457</w:t>
                  </w:r>
                </w:p>
              </w:tc>
              <w:tc>
                <w:tcPr>
                  <w:tcW w:w="845" w:type="dxa"/>
                  <w:noWrap w:val="0"/>
                  <w:vAlign w:val="center"/>
                </w:tcPr>
                <w:p w14:paraId="74A2B5AB">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140.02</w:t>
                  </w:r>
                </w:p>
              </w:tc>
            </w:tr>
            <w:tr w14:paraId="735AA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0" w:type="pct"/>
                  <w:vMerge w:val="restart"/>
                  <w:noWrap w:val="0"/>
                  <w:vAlign w:val="center"/>
                </w:tcPr>
                <w:p w14:paraId="6AF0C69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DA002有机废气</w:t>
                  </w:r>
                </w:p>
              </w:tc>
              <w:tc>
                <w:tcPr>
                  <w:tcW w:w="369" w:type="pct"/>
                  <w:noWrap w:val="0"/>
                  <w:vAlign w:val="center"/>
                </w:tcPr>
                <w:p w14:paraId="4749A4E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非甲烷总烃</w:t>
                  </w:r>
                </w:p>
              </w:tc>
              <w:tc>
                <w:tcPr>
                  <w:tcW w:w="397" w:type="pct"/>
                  <w:shd w:val="clear" w:color="auto" w:fill="auto"/>
                  <w:noWrap w:val="0"/>
                  <w:vAlign w:val="center"/>
                </w:tcPr>
                <w:p w14:paraId="66034FA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0.204</w:t>
                  </w:r>
                </w:p>
              </w:tc>
              <w:tc>
                <w:tcPr>
                  <w:tcW w:w="361" w:type="pct"/>
                  <w:noWrap w:val="0"/>
                  <w:vAlign w:val="center"/>
                </w:tcPr>
                <w:p w14:paraId="47DA144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80</w:t>
                  </w:r>
                </w:p>
              </w:tc>
              <w:tc>
                <w:tcPr>
                  <w:tcW w:w="574" w:type="pct"/>
                  <w:shd w:val="clear" w:color="auto" w:fill="auto"/>
                  <w:noWrap w:val="0"/>
                  <w:vAlign w:val="center"/>
                </w:tcPr>
                <w:p w14:paraId="5CCE6D5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0.0408</w:t>
                  </w:r>
                </w:p>
              </w:tc>
              <w:tc>
                <w:tcPr>
                  <w:tcW w:w="574" w:type="pct"/>
                  <w:shd w:val="clear" w:color="auto" w:fill="auto"/>
                  <w:noWrap w:val="0"/>
                  <w:vAlign w:val="center"/>
                </w:tcPr>
                <w:p w14:paraId="1E94A144">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0.1632</w:t>
                  </w:r>
                </w:p>
              </w:tc>
              <w:tc>
                <w:tcPr>
                  <w:tcW w:w="589" w:type="pct"/>
                  <w:vMerge w:val="restart"/>
                  <w:shd w:val="clear" w:color="auto" w:fill="auto"/>
                  <w:noWrap w:val="0"/>
                  <w:vAlign w:val="center"/>
                </w:tcPr>
                <w:p w14:paraId="1E0BACE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设置“两级活性炭吸附”装置；有机废气治理效率75%，15m高排气筒DA002排放；风量7000</w:t>
                  </w:r>
                  <w:r>
                    <w:rPr>
                      <w:rFonts w:hint="eastAsia"/>
                      <w:color w:val="000000" w:themeColor="text1"/>
                      <w:lang w:val="en-US" w:eastAsia="zh-CN"/>
                      <w14:textFill>
                        <w14:solidFill>
                          <w14:schemeClr w14:val="tx1"/>
                        </w14:solidFill>
                      </w14:textFill>
                    </w:rPr>
                    <w:t>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/h</w:t>
                  </w:r>
                </w:p>
              </w:tc>
              <w:tc>
                <w:tcPr>
                  <w:tcW w:w="634" w:type="pct"/>
                  <w:shd w:val="clear" w:color="auto" w:fill="auto"/>
                  <w:noWrap w:val="0"/>
                  <w:vAlign w:val="center"/>
                </w:tcPr>
                <w:p w14:paraId="20A215E7">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0.04</w:t>
                  </w:r>
                  <w:r>
                    <w:rPr>
                      <w:rFonts w:hint="eastAsia" w:cs="Times New Roman"/>
                      <w:color w:val="000000" w:themeColor="text1"/>
                      <w:sz w:val="21"/>
                      <w:szCs w:val="21"/>
                      <w:lang w:val="en-US" w:eastAsia="zh-CN"/>
                      <w14:textFill>
                        <w14:solidFill>
                          <w14:schemeClr w14:val="tx1"/>
                        </w14:solidFill>
                      </w14:textFill>
                    </w:rPr>
                    <w:t>08</w:t>
                  </w:r>
                </w:p>
              </w:tc>
              <w:tc>
                <w:tcPr>
                  <w:tcW w:w="574" w:type="pct"/>
                  <w:shd w:val="clear" w:color="auto" w:fill="auto"/>
                  <w:noWrap w:val="0"/>
                  <w:vAlign w:val="center"/>
                </w:tcPr>
                <w:p w14:paraId="21077563">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0.01</w:t>
                  </w:r>
                  <w:r>
                    <w:rPr>
                      <w:rFonts w:hint="eastAsia" w:cs="Times New Roman"/>
                      <w:color w:val="000000" w:themeColor="text1"/>
                      <w:sz w:val="21"/>
                      <w:szCs w:val="21"/>
                      <w:lang w:val="en-US" w:eastAsia="zh-CN"/>
                      <w14:textFill>
                        <w14:solidFill>
                          <w14:schemeClr w14:val="tx1"/>
                        </w14:solidFill>
                      </w14:textFill>
                    </w:rPr>
                    <w:t>7</w:t>
                  </w:r>
                </w:p>
              </w:tc>
              <w:tc>
                <w:tcPr>
                  <w:tcW w:w="514" w:type="pct"/>
                  <w:shd w:val="clear" w:color="auto" w:fill="auto"/>
                  <w:noWrap w:val="0"/>
                  <w:vAlign w:val="center"/>
                </w:tcPr>
                <w:p w14:paraId="003D9985">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429</w:t>
                  </w:r>
                </w:p>
              </w:tc>
            </w:tr>
            <w:tr w14:paraId="6FE74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0" w:type="pct"/>
                  <w:vMerge w:val="continue"/>
                  <w:noWrap w:val="0"/>
                  <w:vAlign w:val="center"/>
                </w:tcPr>
                <w:p w14:paraId="2E6FC51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369" w:type="pct"/>
                  <w:noWrap w:val="0"/>
                  <w:vAlign w:val="center"/>
                </w:tcPr>
                <w:p w14:paraId="1614C48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甲苯</w:t>
                  </w:r>
                </w:p>
              </w:tc>
              <w:tc>
                <w:tcPr>
                  <w:tcW w:w="397" w:type="pct"/>
                  <w:shd w:val="clear" w:color="auto" w:fill="auto"/>
                  <w:noWrap w:val="0"/>
                  <w:vAlign w:val="center"/>
                </w:tcPr>
                <w:p w14:paraId="63792E8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0.00066</w:t>
                  </w:r>
                </w:p>
              </w:tc>
              <w:tc>
                <w:tcPr>
                  <w:tcW w:w="361" w:type="pct"/>
                  <w:noWrap w:val="0"/>
                  <w:vAlign w:val="center"/>
                </w:tcPr>
                <w:p w14:paraId="4333D55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80</w:t>
                  </w:r>
                </w:p>
              </w:tc>
              <w:tc>
                <w:tcPr>
                  <w:tcW w:w="574" w:type="pct"/>
                  <w:shd w:val="clear" w:color="auto" w:fill="auto"/>
                  <w:noWrap w:val="0"/>
                  <w:vAlign w:val="center"/>
                </w:tcPr>
                <w:p w14:paraId="04A92DF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0.000132</w:t>
                  </w:r>
                </w:p>
              </w:tc>
              <w:tc>
                <w:tcPr>
                  <w:tcW w:w="574" w:type="pct"/>
                  <w:shd w:val="clear" w:color="auto" w:fill="auto"/>
                  <w:noWrap w:val="0"/>
                  <w:vAlign w:val="center"/>
                </w:tcPr>
                <w:p w14:paraId="22197690">
                  <w:pPr>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0.000528</w:t>
                  </w:r>
                </w:p>
              </w:tc>
              <w:tc>
                <w:tcPr>
                  <w:tcW w:w="589" w:type="pct"/>
                  <w:vMerge w:val="continue"/>
                  <w:shd w:val="clear" w:color="auto" w:fill="auto"/>
                  <w:noWrap w:val="0"/>
                  <w:vAlign w:val="center"/>
                </w:tcPr>
                <w:p w14:paraId="6BFDE85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tc>
              <w:tc>
                <w:tcPr>
                  <w:tcW w:w="634" w:type="pct"/>
                  <w:shd w:val="clear" w:color="auto" w:fill="auto"/>
                  <w:noWrap w:val="0"/>
                  <w:vAlign w:val="center"/>
                </w:tcPr>
                <w:p w14:paraId="0E8D4882">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0.000132</w:t>
                  </w:r>
                </w:p>
              </w:tc>
              <w:tc>
                <w:tcPr>
                  <w:tcW w:w="574" w:type="pct"/>
                  <w:shd w:val="clear" w:color="auto" w:fill="auto"/>
                  <w:noWrap w:val="0"/>
                  <w:vAlign w:val="center"/>
                </w:tcPr>
                <w:p w14:paraId="481F0D42">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0.000055</w:t>
                  </w:r>
                </w:p>
              </w:tc>
              <w:tc>
                <w:tcPr>
                  <w:tcW w:w="514" w:type="pct"/>
                  <w:shd w:val="clear" w:color="auto" w:fill="auto"/>
                  <w:noWrap w:val="0"/>
                  <w:vAlign w:val="center"/>
                </w:tcPr>
                <w:p w14:paraId="0A4F4A04">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0.00786</w:t>
                  </w:r>
                </w:p>
              </w:tc>
            </w:tr>
            <w:tr w14:paraId="783F9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0" w:type="pct"/>
                  <w:vMerge w:val="continue"/>
                  <w:noWrap w:val="0"/>
                  <w:vAlign w:val="center"/>
                </w:tcPr>
                <w:p w14:paraId="4CDEAA3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369" w:type="pct"/>
                  <w:noWrap w:val="0"/>
                  <w:vAlign w:val="center"/>
                </w:tcPr>
                <w:p w14:paraId="4076B35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乙苯</w:t>
                  </w:r>
                </w:p>
              </w:tc>
              <w:tc>
                <w:tcPr>
                  <w:tcW w:w="397" w:type="pct"/>
                  <w:shd w:val="clear" w:color="auto" w:fill="auto"/>
                  <w:noWrap w:val="0"/>
                  <w:vAlign w:val="center"/>
                </w:tcPr>
                <w:p w14:paraId="4F24D82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0.00054</w:t>
                  </w:r>
                </w:p>
              </w:tc>
              <w:tc>
                <w:tcPr>
                  <w:tcW w:w="361" w:type="pct"/>
                  <w:noWrap w:val="0"/>
                  <w:vAlign w:val="center"/>
                </w:tcPr>
                <w:p w14:paraId="30B1F3A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80</w:t>
                  </w:r>
                </w:p>
              </w:tc>
              <w:tc>
                <w:tcPr>
                  <w:tcW w:w="574" w:type="pct"/>
                  <w:shd w:val="clear" w:color="auto" w:fill="auto"/>
                  <w:noWrap w:val="0"/>
                  <w:vAlign w:val="center"/>
                </w:tcPr>
                <w:p w14:paraId="3561554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0.000108</w:t>
                  </w:r>
                </w:p>
              </w:tc>
              <w:tc>
                <w:tcPr>
                  <w:tcW w:w="574" w:type="pct"/>
                  <w:shd w:val="clear" w:color="auto" w:fill="auto"/>
                  <w:noWrap w:val="0"/>
                  <w:vAlign w:val="center"/>
                </w:tcPr>
                <w:p w14:paraId="39B84C1F">
                  <w:pPr>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0.000432</w:t>
                  </w:r>
                </w:p>
              </w:tc>
              <w:tc>
                <w:tcPr>
                  <w:tcW w:w="589" w:type="pct"/>
                  <w:vMerge w:val="continue"/>
                  <w:shd w:val="clear" w:color="auto" w:fill="auto"/>
                  <w:noWrap w:val="0"/>
                  <w:vAlign w:val="center"/>
                </w:tcPr>
                <w:p w14:paraId="14D77E4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tc>
              <w:tc>
                <w:tcPr>
                  <w:tcW w:w="634" w:type="pct"/>
                  <w:shd w:val="clear" w:color="auto" w:fill="auto"/>
                  <w:noWrap w:val="0"/>
                  <w:vAlign w:val="center"/>
                </w:tcPr>
                <w:p w14:paraId="63FF8BAD">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0.000108</w:t>
                  </w:r>
                </w:p>
              </w:tc>
              <w:tc>
                <w:tcPr>
                  <w:tcW w:w="574" w:type="pct"/>
                  <w:shd w:val="clear" w:color="auto" w:fill="auto"/>
                  <w:noWrap w:val="0"/>
                  <w:vAlign w:val="center"/>
                </w:tcPr>
                <w:p w14:paraId="7A08AC18">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0.000045</w:t>
                  </w:r>
                </w:p>
              </w:tc>
              <w:tc>
                <w:tcPr>
                  <w:tcW w:w="514" w:type="pct"/>
                  <w:shd w:val="clear" w:color="auto" w:fill="auto"/>
                  <w:noWrap w:val="0"/>
                  <w:vAlign w:val="center"/>
                </w:tcPr>
                <w:p w14:paraId="2D9AB750">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0.00643</w:t>
                  </w:r>
                </w:p>
              </w:tc>
            </w:tr>
            <w:tr w14:paraId="7C89F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0" w:type="pct"/>
                  <w:vMerge w:val="continue"/>
                  <w:noWrap w:val="0"/>
                  <w:vAlign w:val="center"/>
                </w:tcPr>
                <w:p w14:paraId="492A068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369" w:type="pct"/>
                  <w:noWrap w:val="0"/>
                  <w:vAlign w:val="center"/>
                </w:tcPr>
                <w:p w14:paraId="0A35DA0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苯乙烯</w:t>
                  </w:r>
                </w:p>
              </w:tc>
              <w:tc>
                <w:tcPr>
                  <w:tcW w:w="397" w:type="pct"/>
                  <w:shd w:val="clear" w:color="auto" w:fill="auto"/>
                  <w:noWrap w:val="0"/>
                  <w:vAlign w:val="center"/>
                </w:tcPr>
                <w:p w14:paraId="5C83283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0.018</w:t>
                  </w:r>
                </w:p>
              </w:tc>
              <w:tc>
                <w:tcPr>
                  <w:tcW w:w="361" w:type="pct"/>
                  <w:noWrap w:val="0"/>
                  <w:vAlign w:val="center"/>
                </w:tcPr>
                <w:p w14:paraId="1BE989D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80</w:t>
                  </w:r>
                </w:p>
              </w:tc>
              <w:tc>
                <w:tcPr>
                  <w:tcW w:w="574" w:type="pct"/>
                  <w:shd w:val="clear" w:color="auto" w:fill="auto"/>
                  <w:noWrap w:val="0"/>
                  <w:vAlign w:val="center"/>
                </w:tcPr>
                <w:p w14:paraId="5935DC9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0.0036</w:t>
                  </w:r>
                </w:p>
              </w:tc>
              <w:tc>
                <w:tcPr>
                  <w:tcW w:w="574" w:type="pct"/>
                  <w:shd w:val="clear" w:color="auto" w:fill="auto"/>
                  <w:noWrap w:val="0"/>
                  <w:vAlign w:val="center"/>
                </w:tcPr>
                <w:p w14:paraId="31A7E981">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0.0144</w:t>
                  </w:r>
                </w:p>
              </w:tc>
              <w:tc>
                <w:tcPr>
                  <w:tcW w:w="589" w:type="pct"/>
                  <w:vMerge w:val="continue"/>
                  <w:shd w:val="clear" w:color="auto" w:fill="auto"/>
                  <w:noWrap w:val="0"/>
                  <w:vAlign w:val="center"/>
                </w:tcPr>
                <w:p w14:paraId="0044EFA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tc>
              <w:tc>
                <w:tcPr>
                  <w:tcW w:w="634" w:type="pct"/>
                  <w:shd w:val="clear" w:color="auto" w:fill="auto"/>
                  <w:noWrap w:val="0"/>
                  <w:vAlign w:val="center"/>
                </w:tcPr>
                <w:p w14:paraId="672E8F93">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0.0036</w:t>
                  </w:r>
                </w:p>
              </w:tc>
              <w:tc>
                <w:tcPr>
                  <w:tcW w:w="574" w:type="pct"/>
                  <w:shd w:val="clear" w:color="auto" w:fill="auto"/>
                  <w:noWrap w:val="0"/>
                  <w:vAlign w:val="center"/>
                </w:tcPr>
                <w:p w14:paraId="16CF25F8">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0.0015</w:t>
                  </w:r>
                </w:p>
              </w:tc>
              <w:tc>
                <w:tcPr>
                  <w:tcW w:w="514" w:type="pct"/>
                  <w:shd w:val="clear" w:color="auto" w:fill="auto"/>
                  <w:noWrap w:val="0"/>
                  <w:vAlign w:val="center"/>
                </w:tcPr>
                <w:p w14:paraId="2636CA8E">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0.2143</w:t>
                  </w:r>
                </w:p>
              </w:tc>
            </w:tr>
          </w:tbl>
          <w:p w14:paraId="07E422D1">
            <w:pPr>
              <w:adjustRightInd w:val="0"/>
              <w:snapToGrid w:val="0"/>
              <w:spacing w:line="360" w:lineRule="auto"/>
              <w:ind w:firstLine="482" w:firstLineChars="200"/>
              <w:rPr>
                <w:rFonts w:hint="default" w:ascii="Times New Roman" w:hAnsi="Times New Roman" w:cs="Times New Roman"/>
                <w:b/>
                <w:bCs/>
                <w:color w:val="000000" w:themeColor="text1"/>
                <w:sz w:val="24"/>
                <w:lang w:val="en-US" w:eastAsia="zh-CN"/>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（2）无组织废气源强核算</w:t>
            </w:r>
          </w:p>
          <w:p w14:paraId="3AD9129E">
            <w:pPr>
              <w:adjustRightInd w:val="0"/>
              <w:snapToGrid w:val="0"/>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w:t>
            </w:r>
            <w:r>
              <w:rPr>
                <w:rFonts w:hint="default" w:ascii="Times New Roman" w:hAnsi="Times New Roman" w:cs="Times New Roman"/>
                <w:b/>
                <w:bCs/>
                <w:color w:val="000000" w:themeColor="text1"/>
                <w:sz w:val="24"/>
                <w14:textFill>
                  <w14:solidFill>
                    <w14:schemeClr w14:val="tx1"/>
                  </w14:solidFill>
                </w14:textFill>
              </w:rPr>
              <w:t>生物质燃料</w:t>
            </w:r>
            <w:r>
              <w:rPr>
                <w:rFonts w:hint="default" w:ascii="Times New Roman" w:hAnsi="Times New Roman" w:cs="Times New Roman"/>
                <w:b/>
                <w:bCs/>
                <w:color w:val="000000" w:themeColor="text1"/>
                <w:sz w:val="24"/>
                <w:lang w:eastAsia="zh-CN"/>
                <w14:textFill>
                  <w14:solidFill>
                    <w14:schemeClr w14:val="tx1"/>
                  </w14:solidFill>
                </w14:textFill>
              </w:rPr>
              <w:t>堆放</w:t>
            </w:r>
            <w:r>
              <w:rPr>
                <w:rFonts w:hint="default" w:ascii="Times New Roman" w:hAnsi="Times New Roman" w:cs="Times New Roman"/>
                <w:b/>
                <w:bCs/>
                <w:color w:val="000000" w:themeColor="text1"/>
                <w:sz w:val="24"/>
                <w14:textFill>
                  <w14:solidFill>
                    <w14:schemeClr w14:val="tx1"/>
                  </w14:solidFill>
                </w14:textFill>
              </w:rPr>
              <w:t>粉尘</w:t>
            </w:r>
          </w:p>
          <w:p w14:paraId="5ABEF2DD">
            <w:pPr>
              <w:adjustRightInd w:val="0"/>
              <w:snapToGrid w:val="0"/>
              <w:spacing w:line="360" w:lineRule="auto"/>
              <w:ind w:firstLine="480" w:firstLineChars="200"/>
              <w:rPr>
                <w:rFonts w:hint="eastAsia"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生物质燃料装卸及储存过程会产生粉尘，</w:t>
            </w:r>
            <w:r>
              <w:rPr>
                <w:rFonts w:hint="eastAsia" w:cs="Times New Roman"/>
                <w:color w:val="000000" w:themeColor="text1"/>
                <w:sz w:val="24"/>
                <w:lang w:eastAsia="zh-CN"/>
                <w14:textFill>
                  <w14:solidFill>
                    <w14:schemeClr w14:val="tx1"/>
                  </w14:solidFill>
                </w14:textFill>
              </w:rPr>
              <w:t>由于本项目采用生物质成型燃料，且为外购已打包好的袋装颗粒状，外购后堆放于锅炉房。</w:t>
            </w:r>
          </w:p>
          <w:p w14:paraId="6DDB8DD6">
            <w:pPr>
              <w:adjustRightInd w:val="0"/>
              <w:snapToGrid w:val="0"/>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cs="Times New Roman"/>
                <w:color w:val="000000" w:themeColor="text1"/>
                <w:sz w:val="24"/>
                <w:lang w:eastAsia="zh-CN"/>
                <w14:textFill>
                  <w14:solidFill>
                    <w14:schemeClr w14:val="tx1"/>
                  </w14:solidFill>
                </w14:textFill>
              </w:rPr>
              <w:t>故</w:t>
            </w:r>
            <w:r>
              <w:rPr>
                <w:rFonts w:hint="default" w:ascii="Times New Roman" w:hAnsi="Times New Roman" w:cs="Times New Roman"/>
                <w:color w:val="000000" w:themeColor="text1"/>
                <w:sz w:val="24"/>
                <w14:textFill>
                  <w14:solidFill>
                    <w14:schemeClr w14:val="tx1"/>
                  </w14:solidFill>
                </w14:textFill>
              </w:rPr>
              <w:t>生物质燃料装卸及储存过程会产生粉尘</w:t>
            </w:r>
            <w:r>
              <w:rPr>
                <w:rFonts w:hint="eastAsia" w:ascii="Times New Roman" w:hAnsi="Times New Roman" w:cs="Times New Roman"/>
                <w:color w:val="000000" w:themeColor="text1"/>
                <w:sz w:val="24"/>
                <w:lang w:eastAsia="zh-CN"/>
                <w14:textFill>
                  <w14:solidFill>
                    <w14:schemeClr w14:val="tx1"/>
                  </w14:solidFill>
                </w14:textFill>
              </w:rPr>
              <w:t>极少，本次仅定性分析。</w:t>
            </w:r>
          </w:p>
          <w:p w14:paraId="1C91B11F">
            <w:pPr>
              <w:pStyle w:val="51"/>
              <w:keepNext w:val="0"/>
              <w:keepLines/>
              <w:pageBreakBefore w:val="0"/>
              <w:kinsoku/>
              <w:overflowPunct/>
              <w:bidi w:val="0"/>
              <w:adjustRightInd/>
              <w:ind w:firstLine="480"/>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pPr>
            <w:r>
              <w:rPr>
                <w:rFonts w:hint="eastAsia" w:cs="Times New Roman" w:eastAsiaTheme="minorEastAsia"/>
                <w:b/>
                <w:bCs/>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t>异味</w:t>
            </w:r>
          </w:p>
          <w:p w14:paraId="6C1AD32C">
            <w:pPr>
              <w:pStyle w:val="51"/>
              <w:keepNext w:val="0"/>
              <w:keepLines/>
              <w:pageBreakBefore w:val="0"/>
              <w:kinsoku/>
              <w:overflowPunct/>
              <w:bidi w:val="0"/>
              <w:adjustRightInd/>
              <w:ind w:firstLine="480"/>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项目在EPS泡沫颗粒生产过程中，会产生一定的特殊异味</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项目使用塑料颗粒均为新料，生产过程中会产生极少量的臭气，</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产生的恶臭气体经集气罩收集后，通有机废气治理设施处理后，通过</w:t>
            </w:r>
            <w:r>
              <w:rPr>
                <w:rFonts w:hint="eastAsia" w:cs="Times New Roman" w:eastAsiaTheme="minorEastAsia"/>
                <w:color w:val="000000" w:themeColor="text1"/>
                <w:sz w:val="24"/>
                <w:szCs w:val="24"/>
                <w:highlight w:val="none"/>
                <w:lang w:val="en-US" w:eastAsia="zh-CN"/>
                <w14:textFill>
                  <w14:solidFill>
                    <w14:schemeClr w14:val="tx1"/>
                  </w14:solidFill>
                </w14:textFill>
              </w:rPr>
              <w:t>1根15m排气筒DA002</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外排，无法有效收集的部分呈无组织排放，通过大气扩散和周边植被吸附后净化后，</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对周围环境影响较小。</w:t>
            </w:r>
          </w:p>
          <w:p w14:paraId="3AD94965">
            <w:pPr>
              <w:pStyle w:val="51"/>
              <w:keepNext w:val="0"/>
              <w:keepLines/>
              <w:pageBreakBefore w:val="0"/>
              <w:kinsoku/>
              <w:overflowPunct/>
              <w:bidi w:val="0"/>
              <w:adjustRightInd/>
              <w:ind w:firstLine="480"/>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异味</w:t>
            </w:r>
            <w:r>
              <w:rPr>
                <w:rFonts w:hint="eastAsia" w:ascii="Times New Roman" w:hAnsi="Times New Roman" w:eastAsia="宋体" w:cs="Times New Roman"/>
                <w:color w:val="000000" w:themeColor="text1"/>
                <w:lang w:val="en-US" w:eastAsia="zh-CN"/>
                <w14:textFill>
                  <w14:solidFill>
                    <w14:schemeClr w14:val="tx1"/>
                  </w14:solidFill>
                </w14:textFill>
              </w:rPr>
              <w:t>以臭气浓度来表征。臭气浓度无量纲，不进行定量分析</w:t>
            </w:r>
            <w:r>
              <w:rPr>
                <w:rFonts w:hint="eastAsia" w:cs="Times New Roman" w:eastAsiaTheme="minorEastAsia"/>
                <w:color w:val="000000" w:themeColor="text1"/>
                <w:sz w:val="24"/>
                <w:szCs w:val="24"/>
                <w:highlight w:val="none"/>
                <w:lang w:val="en-US" w:eastAsia="zh-CN"/>
                <w14:textFill>
                  <w14:solidFill>
                    <w14:schemeClr w14:val="tx1"/>
                  </w14:solidFill>
                </w14:textFill>
              </w:rPr>
              <w:t>。</w:t>
            </w:r>
          </w:p>
          <w:p w14:paraId="24E77589">
            <w:pPr>
              <w:pStyle w:val="51"/>
              <w:keepNext w:val="0"/>
              <w:keepLines/>
              <w:pageBreakBefore w:val="0"/>
              <w:kinsoku/>
              <w:overflowPunct/>
              <w:bidi w:val="0"/>
              <w:adjustRightInd/>
              <w:ind w:firstLine="480"/>
              <w:rPr>
                <w:rFonts w:hint="eastAsia"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pPr>
            <w:r>
              <w:rPr>
                <w:rFonts w:hint="eastAsia" w:cs="Times New Roman" w:eastAsiaTheme="minorEastAsia"/>
                <w:b/>
                <w:bCs/>
                <w:color w:val="000000" w:themeColor="text1"/>
                <w:sz w:val="24"/>
                <w:szCs w:val="24"/>
                <w:highlight w:val="none"/>
                <w:lang w:val="en-US" w:eastAsia="zh-CN"/>
                <w14:textFill>
                  <w14:solidFill>
                    <w14:schemeClr w14:val="tx1"/>
                  </w14:solidFill>
                </w14:textFill>
              </w:rPr>
              <w:t>3</w:t>
            </w:r>
            <w:r>
              <w:rPr>
                <w:rFonts w:hint="eastAsia"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t>）厨房油烟</w:t>
            </w:r>
          </w:p>
          <w:p w14:paraId="120816CA">
            <w:pPr>
              <w:pStyle w:val="51"/>
              <w:keepNext w:val="0"/>
              <w:keepLines/>
              <w:pageBreakBefore w:val="0"/>
              <w:kinsoku/>
              <w:overflowPunct/>
              <w:bidi w:val="0"/>
              <w:adjustRightInd/>
              <w:ind w:firstLine="480"/>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本项目不新增员工，工作人员由公司现有员工调配。</w:t>
            </w:r>
          </w:p>
          <w:p w14:paraId="569299DE">
            <w:pPr>
              <w:pStyle w:val="51"/>
              <w:keepNext w:val="0"/>
              <w:keepLines/>
              <w:pageBreakBefore w:val="0"/>
              <w:kinsoku/>
              <w:overflowPunct/>
              <w:bidi w:val="0"/>
              <w:adjustRightInd/>
              <w:ind w:firstLine="480"/>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根据工程分析，公司现有员工为12人，年工作时间为300天（每天烹饪2h），项目食堂油烟排放量为0.00306t/a、0.0051kg/h。</w:t>
            </w:r>
          </w:p>
          <w:p w14:paraId="1CE58B95">
            <w:pPr>
              <w:pStyle w:val="51"/>
              <w:keepNext w:val="0"/>
              <w:keepLines/>
              <w:pageBreakBefore w:val="0"/>
              <w:kinsoku/>
              <w:overflowPunct/>
              <w:bidi w:val="0"/>
              <w:adjustRightInd/>
              <w:ind w:firstLine="480"/>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本次环评要求，建设单位设置1台</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风量</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000m</w:t>
            </w:r>
            <w:r>
              <w:rPr>
                <w:rFonts w:hint="default" w:ascii="Times New Roman" w:hAnsi="Times New Roman" w:cs="Times New Roman" w:eastAsiaTheme="minorEastAsia"/>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/h</w:t>
            </w:r>
            <w:r>
              <w:rPr>
                <w:rFonts w:hint="eastAsia" w:cs="Times New Roman" w:eastAsiaTheme="minorEastAsia"/>
                <w:color w:val="000000" w:themeColor="text1"/>
                <w:sz w:val="24"/>
                <w:szCs w:val="24"/>
                <w:highlight w:val="none"/>
                <w:lang w:val="en-US" w:eastAsia="zh-CN"/>
                <w14:textFill>
                  <w14:solidFill>
                    <w14:schemeClr w14:val="tx1"/>
                  </w14:solidFill>
                </w14:textFill>
              </w:rPr>
              <w:t>油烟净化器</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机，厨房油烟经油烟净化器处理后排放。</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油烟净化器的净化效率为65%，则排放的油烟量</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0.00107t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/a，</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0.001785kg/h，</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排放浓度为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0.8925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mg/m</w:t>
            </w:r>
            <w:r>
              <w:rPr>
                <w:rFonts w:hint="default" w:ascii="Times New Roman" w:hAnsi="Times New Roman" w:cs="Times New Roman" w:eastAsiaTheme="minorEastAsia"/>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p>
          <w:p w14:paraId="66AC4554">
            <w:pPr>
              <w:pStyle w:val="51"/>
              <w:keepNext w:val="0"/>
              <w:keepLines w:val="0"/>
              <w:pageBreakBefore w:val="0"/>
              <w:widowControl w:val="0"/>
              <w:kinsoku/>
              <w:wordWrap w:val="0"/>
              <w:overflowPunct/>
              <w:topLinePunct/>
              <w:autoSpaceDE/>
              <w:autoSpaceDN/>
              <w:bidi w:val="0"/>
              <w:adjustRightInd/>
              <w:snapToGrid/>
              <w:spacing w:line="240" w:lineRule="auto"/>
              <w:ind w:right="0" w:firstLine="0" w:firstLineChars="0"/>
              <w:jc w:val="center"/>
              <w:textAlignment w:val="auto"/>
              <w:rPr>
                <w:color w:val="000000" w:themeColor="text1"/>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表4-</w:t>
            </w:r>
            <w:r>
              <w:rPr>
                <w:rFonts w:hint="eastAsia" w:eastAsia="宋体" w:cs="Times New Roman"/>
                <w:b/>
                <w:bCs/>
                <w:color w:val="000000" w:themeColor="text1"/>
                <w:sz w:val="21"/>
                <w:szCs w:val="21"/>
                <w:lang w:val="en-US" w:eastAsia="zh-CN"/>
                <w14:textFill>
                  <w14:solidFill>
                    <w14:schemeClr w14:val="tx1"/>
                  </w14:solidFill>
                </w14:textFill>
              </w:rPr>
              <w:t>5</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  本项目</w:t>
            </w:r>
            <w:r>
              <w:rPr>
                <w:rFonts w:hint="eastAsia" w:eastAsia="宋体" w:cs="Times New Roman"/>
                <w:b/>
                <w:bCs/>
                <w:color w:val="000000" w:themeColor="text1"/>
                <w:sz w:val="21"/>
                <w:szCs w:val="21"/>
                <w:lang w:val="en-US" w:eastAsia="zh-CN"/>
                <w14:textFill>
                  <w14:solidFill>
                    <w14:schemeClr w14:val="tx1"/>
                  </w14:solidFill>
                </w14:textFill>
              </w:rPr>
              <w:t>无</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组织废气源强一览表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909"/>
              <w:gridCol w:w="942"/>
              <w:gridCol w:w="1235"/>
              <w:gridCol w:w="688"/>
              <w:gridCol w:w="619"/>
              <w:gridCol w:w="993"/>
              <w:gridCol w:w="1004"/>
              <w:gridCol w:w="995"/>
              <w:gridCol w:w="6"/>
            </w:tblGrid>
            <w:tr w14:paraId="61821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0" w:hRule="atLeast"/>
              </w:trPr>
              <w:tc>
                <w:tcPr>
                  <w:tcW w:w="494" w:type="pct"/>
                  <w:vMerge w:val="restart"/>
                  <w:noWrap w:val="0"/>
                  <w:vAlign w:val="center"/>
                </w:tcPr>
                <w:p w14:paraId="26E84DF5">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产生环节</w:t>
                  </w:r>
                </w:p>
              </w:tc>
              <w:tc>
                <w:tcPr>
                  <w:tcW w:w="554" w:type="pct"/>
                  <w:vMerge w:val="restart"/>
                  <w:noWrap w:val="0"/>
                  <w:vAlign w:val="center"/>
                </w:tcPr>
                <w:p w14:paraId="5CFA1313">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污染物种类</w:t>
                  </w:r>
                </w:p>
              </w:tc>
              <w:tc>
                <w:tcPr>
                  <w:tcW w:w="574" w:type="pct"/>
                  <w:vMerge w:val="restart"/>
                  <w:noWrap w:val="0"/>
                  <w:vAlign w:val="center"/>
                </w:tcPr>
                <w:p w14:paraId="64DEC2F9">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产生量t/a</w:t>
                  </w:r>
                </w:p>
              </w:tc>
              <w:tc>
                <w:tcPr>
                  <w:tcW w:w="1549" w:type="pct"/>
                  <w:gridSpan w:val="3"/>
                  <w:noWrap w:val="0"/>
                  <w:vAlign w:val="center"/>
                </w:tcPr>
                <w:p w14:paraId="32041203">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治理措施</w:t>
                  </w:r>
                </w:p>
              </w:tc>
              <w:tc>
                <w:tcPr>
                  <w:tcW w:w="1823" w:type="pct"/>
                  <w:gridSpan w:val="3"/>
                  <w:noWrap w:val="0"/>
                  <w:vAlign w:val="center"/>
                </w:tcPr>
                <w:p w14:paraId="60164350">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排放情况</w:t>
                  </w:r>
                </w:p>
              </w:tc>
            </w:tr>
            <w:tr w14:paraId="4C6C1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4" w:type="pct"/>
                  <w:vMerge w:val="continue"/>
                  <w:noWrap w:val="0"/>
                  <w:vAlign w:val="center"/>
                </w:tcPr>
                <w:p w14:paraId="6813ED7A">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p>
              </w:tc>
              <w:tc>
                <w:tcPr>
                  <w:tcW w:w="554" w:type="pct"/>
                  <w:vMerge w:val="continue"/>
                  <w:noWrap w:val="0"/>
                  <w:vAlign w:val="center"/>
                </w:tcPr>
                <w:p w14:paraId="7FD7EEB5">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p>
              </w:tc>
              <w:tc>
                <w:tcPr>
                  <w:tcW w:w="574" w:type="pct"/>
                  <w:vMerge w:val="continue"/>
                  <w:noWrap w:val="0"/>
                  <w:vAlign w:val="center"/>
                </w:tcPr>
                <w:p w14:paraId="0A564B51">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p>
              </w:tc>
              <w:tc>
                <w:tcPr>
                  <w:tcW w:w="752" w:type="pct"/>
                  <w:noWrap w:val="0"/>
                  <w:vAlign w:val="center"/>
                </w:tcPr>
                <w:p w14:paraId="28A9DE1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处理工艺</w:t>
                  </w:r>
                </w:p>
              </w:tc>
              <w:tc>
                <w:tcPr>
                  <w:tcW w:w="419" w:type="pct"/>
                  <w:noWrap w:val="0"/>
                  <w:vAlign w:val="center"/>
                </w:tcPr>
                <w:p w14:paraId="437DE80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收集效率</w:t>
                  </w:r>
                </w:p>
              </w:tc>
              <w:tc>
                <w:tcPr>
                  <w:tcW w:w="377" w:type="pct"/>
                  <w:noWrap w:val="0"/>
                  <w:vAlign w:val="center"/>
                </w:tcPr>
                <w:p w14:paraId="6EDDA85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去除</w:t>
                  </w:r>
                  <w:r>
                    <w:rPr>
                      <w:rFonts w:hint="default" w:ascii="Times New Roman" w:hAnsi="Times New Roman" w:eastAsia="宋体" w:cs="Times New Roman"/>
                      <w:b/>
                      <w:bCs/>
                      <w:color w:val="000000" w:themeColor="text1"/>
                      <w:sz w:val="21"/>
                      <w:szCs w:val="21"/>
                      <w14:textFill>
                        <w14:solidFill>
                          <w14:schemeClr w14:val="tx1"/>
                        </w14:solidFill>
                      </w14:textFill>
                    </w:rPr>
                    <w:t>效率</w:t>
                  </w:r>
                </w:p>
              </w:tc>
              <w:tc>
                <w:tcPr>
                  <w:tcW w:w="605" w:type="pct"/>
                  <w:noWrap w:val="0"/>
                  <w:vAlign w:val="center"/>
                </w:tcPr>
                <w:p w14:paraId="410E569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排放量t/a</w:t>
                  </w:r>
                </w:p>
              </w:tc>
              <w:tc>
                <w:tcPr>
                  <w:tcW w:w="612" w:type="pct"/>
                  <w:noWrap w:val="0"/>
                  <w:vAlign w:val="center"/>
                </w:tcPr>
                <w:p w14:paraId="3899B69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速率</w:t>
                  </w:r>
                </w:p>
                <w:p w14:paraId="7E2B3C1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kg/h</w:t>
                  </w:r>
                </w:p>
              </w:tc>
              <w:tc>
                <w:tcPr>
                  <w:tcW w:w="610" w:type="pct"/>
                  <w:gridSpan w:val="2"/>
                  <w:noWrap w:val="0"/>
                  <w:vAlign w:val="center"/>
                </w:tcPr>
                <w:p w14:paraId="6D292E9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cs="Times New Roman"/>
                      <w:b/>
                      <w:bCs/>
                      <w:color w:val="000000" w:themeColor="text1"/>
                      <w:sz w:val="21"/>
                      <w:szCs w:val="21"/>
                      <w:lang w:eastAsia="zh-CN"/>
                      <w14:textFill>
                        <w14:solidFill>
                          <w14:schemeClr w14:val="tx1"/>
                        </w14:solidFill>
                      </w14:textFill>
                    </w:rPr>
                    <w:t>排放浓度</w:t>
                  </w:r>
                  <w:r>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t>mg/m</w:t>
                  </w:r>
                  <w:r>
                    <w:rPr>
                      <w:rFonts w:hint="default" w:ascii="Times New Roman" w:hAnsi="Times New Roman" w:cs="Times New Roman" w:eastAsiaTheme="minorEastAsia"/>
                      <w:b/>
                      <w:bCs/>
                      <w:color w:val="000000" w:themeColor="text1"/>
                      <w:sz w:val="24"/>
                      <w:szCs w:val="24"/>
                      <w:highlight w:val="none"/>
                      <w:vertAlign w:val="superscript"/>
                      <w:lang w:val="en-US" w:eastAsia="zh-CN"/>
                      <w14:textFill>
                        <w14:solidFill>
                          <w14:schemeClr w14:val="tx1"/>
                        </w14:solidFill>
                      </w14:textFill>
                    </w:rPr>
                    <w:t>3</w:t>
                  </w:r>
                </w:p>
              </w:tc>
            </w:tr>
            <w:tr w14:paraId="333BD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4" w:type="pct"/>
                  <w:vMerge w:val="restart"/>
                  <w:noWrap w:val="0"/>
                  <w:vAlign w:val="center"/>
                </w:tcPr>
                <w:p w14:paraId="7055765D">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切割废气</w:t>
                  </w:r>
                </w:p>
              </w:tc>
              <w:tc>
                <w:tcPr>
                  <w:tcW w:w="554" w:type="pct"/>
                  <w:noWrap w:val="0"/>
                  <w:vAlign w:val="center"/>
                </w:tcPr>
                <w:p w14:paraId="5777143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非甲烷总烃</w:t>
                  </w:r>
                </w:p>
              </w:tc>
              <w:tc>
                <w:tcPr>
                  <w:tcW w:w="574" w:type="pct"/>
                  <w:noWrap w:val="0"/>
                  <w:vAlign w:val="center"/>
                </w:tcPr>
                <w:p w14:paraId="19312708">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0.0228</w:t>
                  </w:r>
                </w:p>
              </w:tc>
              <w:tc>
                <w:tcPr>
                  <w:tcW w:w="752" w:type="pct"/>
                  <w:vMerge w:val="restart"/>
                  <w:noWrap w:val="0"/>
                  <w:vAlign w:val="center"/>
                </w:tcPr>
                <w:p w14:paraId="6F47978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车间加强通风、自然稀释扩散</w:t>
                  </w:r>
                </w:p>
              </w:tc>
              <w:tc>
                <w:tcPr>
                  <w:tcW w:w="419" w:type="pct"/>
                  <w:noWrap w:val="0"/>
                  <w:vAlign w:val="center"/>
                </w:tcPr>
                <w:p w14:paraId="270A25D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w:t>
                  </w:r>
                </w:p>
              </w:tc>
              <w:tc>
                <w:tcPr>
                  <w:tcW w:w="377" w:type="pct"/>
                  <w:noWrap w:val="0"/>
                  <w:vAlign w:val="center"/>
                </w:tcPr>
                <w:p w14:paraId="318C475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w:t>
                  </w:r>
                </w:p>
              </w:tc>
              <w:tc>
                <w:tcPr>
                  <w:tcW w:w="605" w:type="pct"/>
                  <w:noWrap w:val="0"/>
                  <w:vAlign w:val="center"/>
                </w:tcPr>
                <w:p w14:paraId="3469EAF5">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0.0228</w:t>
                  </w:r>
                </w:p>
              </w:tc>
              <w:tc>
                <w:tcPr>
                  <w:tcW w:w="612" w:type="pct"/>
                  <w:noWrap w:val="0"/>
                  <w:vAlign w:val="center"/>
                </w:tcPr>
                <w:p w14:paraId="3082126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0.0095</w:t>
                  </w:r>
                </w:p>
              </w:tc>
              <w:tc>
                <w:tcPr>
                  <w:tcW w:w="610" w:type="pct"/>
                  <w:gridSpan w:val="2"/>
                  <w:noWrap w:val="0"/>
                  <w:vAlign w:val="center"/>
                </w:tcPr>
                <w:p w14:paraId="06F6B39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w:t>
                  </w:r>
                </w:p>
              </w:tc>
            </w:tr>
            <w:tr w14:paraId="550FE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4" w:type="pct"/>
                  <w:vMerge w:val="continue"/>
                  <w:noWrap w:val="0"/>
                  <w:vAlign w:val="center"/>
                </w:tcPr>
                <w:p w14:paraId="606C98F1">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p>
              </w:tc>
              <w:tc>
                <w:tcPr>
                  <w:tcW w:w="554" w:type="pct"/>
                  <w:noWrap w:val="0"/>
                  <w:vAlign w:val="center"/>
                </w:tcPr>
                <w:p w14:paraId="09705E0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甲苯</w:t>
                  </w:r>
                </w:p>
              </w:tc>
              <w:tc>
                <w:tcPr>
                  <w:tcW w:w="574" w:type="pct"/>
                  <w:noWrap w:val="0"/>
                  <w:vAlign w:val="center"/>
                </w:tcPr>
                <w:p w14:paraId="51B61CE5">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0.0000528</w:t>
                  </w:r>
                </w:p>
              </w:tc>
              <w:tc>
                <w:tcPr>
                  <w:tcW w:w="752" w:type="pct"/>
                  <w:vMerge w:val="continue"/>
                  <w:noWrap w:val="0"/>
                  <w:vAlign w:val="center"/>
                </w:tcPr>
                <w:p w14:paraId="368DAB7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419" w:type="pct"/>
                  <w:noWrap w:val="0"/>
                  <w:vAlign w:val="center"/>
                </w:tcPr>
                <w:p w14:paraId="3F45B21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w:t>
                  </w:r>
                </w:p>
              </w:tc>
              <w:tc>
                <w:tcPr>
                  <w:tcW w:w="377" w:type="pct"/>
                  <w:noWrap w:val="0"/>
                  <w:vAlign w:val="center"/>
                </w:tcPr>
                <w:p w14:paraId="0D245E1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w:t>
                  </w:r>
                </w:p>
              </w:tc>
              <w:tc>
                <w:tcPr>
                  <w:tcW w:w="605" w:type="pct"/>
                  <w:noWrap w:val="0"/>
                  <w:vAlign w:val="center"/>
                </w:tcPr>
                <w:p w14:paraId="3593C6FD">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0.0000528</w:t>
                  </w:r>
                </w:p>
              </w:tc>
              <w:tc>
                <w:tcPr>
                  <w:tcW w:w="612" w:type="pct"/>
                  <w:noWrap w:val="0"/>
                  <w:vAlign w:val="center"/>
                </w:tcPr>
                <w:p w14:paraId="4E2F133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0.000022</w:t>
                  </w:r>
                </w:p>
              </w:tc>
              <w:tc>
                <w:tcPr>
                  <w:tcW w:w="610" w:type="pct"/>
                  <w:gridSpan w:val="2"/>
                  <w:noWrap w:val="0"/>
                  <w:vAlign w:val="center"/>
                </w:tcPr>
                <w:p w14:paraId="0CDA0D1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w:t>
                  </w:r>
                </w:p>
              </w:tc>
            </w:tr>
            <w:tr w14:paraId="7F185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4" w:type="pct"/>
                  <w:vMerge w:val="continue"/>
                  <w:noWrap w:val="0"/>
                  <w:vAlign w:val="center"/>
                </w:tcPr>
                <w:p w14:paraId="2CD8DD16">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p>
              </w:tc>
              <w:tc>
                <w:tcPr>
                  <w:tcW w:w="554" w:type="pct"/>
                  <w:noWrap w:val="0"/>
                  <w:vAlign w:val="center"/>
                </w:tcPr>
                <w:p w14:paraId="44744DF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乙苯</w:t>
                  </w:r>
                </w:p>
              </w:tc>
              <w:tc>
                <w:tcPr>
                  <w:tcW w:w="574" w:type="pct"/>
                  <w:noWrap w:val="0"/>
                  <w:vAlign w:val="center"/>
                </w:tcPr>
                <w:p w14:paraId="3195062E">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0.0000432</w:t>
                  </w:r>
                </w:p>
              </w:tc>
              <w:tc>
                <w:tcPr>
                  <w:tcW w:w="752" w:type="pct"/>
                  <w:vMerge w:val="continue"/>
                  <w:noWrap w:val="0"/>
                  <w:vAlign w:val="center"/>
                </w:tcPr>
                <w:p w14:paraId="58EA81C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419" w:type="pct"/>
                  <w:noWrap w:val="0"/>
                  <w:vAlign w:val="center"/>
                </w:tcPr>
                <w:p w14:paraId="6EE91E3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w:t>
                  </w:r>
                </w:p>
              </w:tc>
              <w:tc>
                <w:tcPr>
                  <w:tcW w:w="377" w:type="pct"/>
                  <w:noWrap w:val="0"/>
                  <w:vAlign w:val="center"/>
                </w:tcPr>
                <w:p w14:paraId="699D860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605" w:type="pct"/>
                  <w:noWrap w:val="0"/>
                  <w:vAlign w:val="center"/>
                </w:tcPr>
                <w:p w14:paraId="58D7C46E">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0.0000432</w:t>
                  </w:r>
                </w:p>
              </w:tc>
              <w:tc>
                <w:tcPr>
                  <w:tcW w:w="612" w:type="pct"/>
                  <w:noWrap w:val="0"/>
                  <w:vAlign w:val="center"/>
                </w:tcPr>
                <w:p w14:paraId="2E27250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0.00018</w:t>
                  </w:r>
                </w:p>
              </w:tc>
              <w:tc>
                <w:tcPr>
                  <w:tcW w:w="610" w:type="pct"/>
                  <w:gridSpan w:val="2"/>
                  <w:noWrap w:val="0"/>
                  <w:vAlign w:val="center"/>
                </w:tcPr>
                <w:p w14:paraId="3AC9677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w:t>
                  </w:r>
                </w:p>
              </w:tc>
            </w:tr>
            <w:tr w14:paraId="23665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4" w:type="pct"/>
                  <w:noWrap w:val="0"/>
                  <w:vAlign w:val="center"/>
                </w:tcPr>
                <w:p w14:paraId="1D685598">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异味</w:t>
                  </w:r>
                </w:p>
              </w:tc>
              <w:tc>
                <w:tcPr>
                  <w:tcW w:w="554" w:type="pct"/>
                  <w:noWrap w:val="0"/>
                  <w:vAlign w:val="center"/>
                </w:tcPr>
                <w:p w14:paraId="00486E1B">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臭气浓度</w:t>
                  </w:r>
                </w:p>
              </w:tc>
              <w:tc>
                <w:tcPr>
                  <w:tcW w:w="574" w:type="pct"/>
                  <w:noWrap w:val="0"/>
                  <w:vAlign w:val="center"/>
                </w:tcPr>
                <w:p w14:paraId="3AFD7AF3">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无量纲</w:t>
                  </w:r>
                </w:p>
              </w:tc>
              <w:tc>
                <w:tcPr>
                  <w:tcW w:w="752" w:type="pct"/>
                  <w:vMerge w:val="restart"/>
                  <w:noWrap w:val="0"/>
                  <w:vAlign w:val="center"/>
                </w:tcPr>
                <w:p w14:paraId="16EE9AE3">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车间加强通风、自然稀释扩散</w:t>
                  </w:r>
                </w:p>
              </w:tc>
              <w:tc>
                <w:tcPr>
                  <w:tcW w:w="419" w:type="pct"/>
                  <w:noWrap w:val="0"/>
                  <w:vAlign w:val="center"/>
                </w:tcPr>
                <w:p w14:paraId="1ABD2D60">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377" w:type="pct"/>
                  <w:noWrap w:val="0"/>
                  <w:vAlign w:val="center"/>
                </w:tcPr>
                <w:p w14:paraId="1B280C89">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605" w:type="pct"/>
                  <w:noWrap w:val="0"/>
                  <w:vAlign w:val="center"/>
                </w:tcPr>
                <w:p w14:paraId="59DBFE5C">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612" w:type="pct"/>
                  <w:noWrap w:val="0"/>
                  <w:vAlign w:val="center"/>
                </w:tcPr>
                <w:p w14:paraId="5442E152">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610" w:type="pct"/>
                  <w:gridSpan w:val="2"/>
                  <w:noWrap w:val="0"/>
                  <w:vAlign w:val="center"/>
                </w:tcPr>
                <w:p w14:paraId="5BFCB25F">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w:t>
                  </w:r>
                </w:p>
              </w:tc>
            </w:tr>
            <w:tr w14:paraId="4E9CB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4" w:type="pct"/>
                  <w:vMerge w:val="restart"/>
                  <w:noWrap w:val="0"/>
                  <w:vAlign w:val="center"/>
                </w:tcPr>
                <w:p w14:paraId="6479A496">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未捕集无组织废气</w:t>
                  </w:r>
                </w:p>
              </w:tc>
              <w:tc>
                <w:tcPr>
                  <w:tcW w:w="554" w:type="pct"/>
                  <w:noWrap w:val="0"/>
                  <w:vAlign w:val="center"/>
                </w:tcPr>
                <w:p w14:paraId="618BB4F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非甲烷总烃</w:t>
                  </w:r>
                </w:p>
              </w:tc>
              <w:tc>
                <w:tcPr>
                  <w:tcW w:w="574" w:type="pct"/>
                  <w:noWrap w:val="0"/>
                  <w:vAlign w:val="center"/>
                </w:tcPr>
                <w:p w14:paraId="30631F5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0.0408</w:t>
                  </w:r>
                </w:p>
              </w:tc>
              <w:tc>
                <w:tcPr>
                  <w:tcW w:w="752" w:type="pct"/>
                  <w:vMerge w:val="continue"/>
                  <w:noWrap w:val="0"/>
                  <w:vAlign w:val="center"/>
                </w:tcPr>
                <w:p w14:paraId="0638E195">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419" w:type="pct"/>
                  <w:noWrap w:val="0"/>
                  <w:vAlign w:val="center"/>
                </w:tcPr>
                <w:p w14:paraId="5461336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377" w:type="pct"/>
                  <w:noWrap w:val="0"/>
                  <w:vAlign w:val="center"/>
                </w:tcPr>
                <w:p w14:paraId="21CE485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605" w:type="pct"/>
                  <w:noWrap w:val="0"/>
                  <w:vAlign w:val="center"/>
                </w:tcPr>
                <w:p w14:paraId="3EF1F03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0.0408</w:t>
                  </w:r>
                </w:p>
              </w:tc>
              <w:tc>
                <w:tcPr>
                  <w:tcW w:w="612" w:type="pct"/>
                  <w:noWrap w:val="0"/>
                  <w:vAlign w:val="center"/>
                </w:tcPr>
                <w:p w14:paraId="0B87B153">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0.017</w:t>
                  </w:r>
                </w:p>
              </w:tc>
              <w:tc>
                <w:tcPr>
                  <w:tcW w:w="610" w:type="pct"/>
                  <w:gridSpan w:val="2"/>
                  <w:noWrap w:val="0"/>
                  <w:vAlign w:val="center"/>
                </w:tcPr>
                <w:p w14:paraId="3B049BB9">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w:t>
                  </w:r>
                </w:p>
              </w:tc>
            </w:tr>
            <w:tr w14:paraId="11913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4" w:type="pct"/>
                  <w:vMerge w:val="continue"/>
                  <w:noWrap w:val="0"/>
                  <w:vAlign w:val="center"/>
                </w:tcPr>
                <w:p w14:paraId="5CAFF8CE">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554" w:type="pct"/>
                  <w:noWrap w:val="0"/>
                  <w:vAlign w:val="center"/>
                </w:tcPr>
                <w:p w14:paraId="3EA3FB7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甲苯</w:t>
                  </w:r>
                </w:p>
              </w:tc>
              <w:tc>
                <w:tcPr>
                  <w:tcW w:w="574" w:type="pct"/>
                  <w:noWrap w:val="0"/>
                  <w:vAlign w:val="center"/>
                </w:tcPr>
                <w:p w14:paraId="34E7028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0.000132</w:t>
                  </w:r>
                </w:p>
              </w:tc>
              <w:tc>
                <w:tcPr>
                  <w:tcW w:w="752" w:type="pct"/>
                  <w:vMerge w:val="continue"/>
                  <w:noWrap w:val="0"/>
                  <w:vAlign w:val="center"/>
                </w:tcPr>
                <w:p w14:paraId="0201A0CE">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419" w:type="pct"/>
                  <w:noWrap w:val="0"/>
                  <w:vAlign w:val="center"/>
                </w:tcPr>
                <w:p w14:paraId="7142A38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377" w:type="pct"/>
                  <w:noWrap w:val="0"/>
                  <w:vAlign w:val="center"/>
                </w:tcPr>
                <w:p w14:paraId="2815188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605" w:type="pct"/>
                  <w:noWrap w:val="0"/>
                  <w:vAlign w:val="center"/>
                </w:tcPr>
                <w:p w14:paraId="27B38CE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0.000132</w:t>
                  </w:r>
                </w:p>
              </w:tc>
              <w:tc>
                <w:tcPr>
                  <w:tcW w:w="612" w:type="pct"/>
                  <w:noWrap w:val="0"/>
                  <w:vAlign w:val="center"/>
                </w:tcPr>
                <w:p w14:paraId="54F890D1">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0.000055</w:t>
                  </w:r>
                </w:p>
              </w:tc>
              <w:tc>
                <w:tcPr>
                  <w:tcW w:w="610" w:type="pct"/>
                  <w:gridSpan w:val="2"/>
                  <w:noWrap w:val="0"/>
                  <w:vAlign w:val="center"/>
                </w:tcPr>
                <w:p w14:paraId="043A9C06">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w:t>
                  </w:r>
                </w:p>
              </w:tc>
            </w:tr>
            <w:tr w14:paraId="1F246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4" w:type="pct"/>
                  <w:vMerge w:val="continue"/>
                  <w:noWrap w:val="0"/>
                  <w:vAlign w:val="center"/>
                </w:tcPr>
                <w:p w14:paraId="4E91C515">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554" w:type="pct"/>
                  <w:noWrap w:val="0"/>
                  <w:vAlign w:val="center"/>
                </w:tcPr>
                <w:p w14:paraId="071946A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乙苯</w:t>
                  </w:r>
                </w:p>
              </w:tc>
              <w:tc>
                <w:tcPr>
                  <w:tcW w:w="574" w:type="pct"/>
                  <w:noWrap w:val="0"/>
                  <w:vAlign w:val="center"/>
                </w:tcPr>
                <w:p w14:paraId="563140F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0.000108</w:t>
                  </w:r>
                </w:p>
              </w:tc>
              <w:tc>
                <w:tcPr>
                  <w:tcW w:w="752" w:type="pct"/>
                  <w:vMerge w:val="continue"/>
                  <w:noWrap w:val="0"/>
                  <w:vAlign w:val="center"/>
                </w:tcPr>
                <w:p w14:paraId="46554601">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419" w:type="pct"/>
                  <w:noWrap w:val="0"/>
                  <w:vAlign w:val="center"/>
                </w:tcPr>
                <w:p w14:paraId="7704CAF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377" w:type="pct"/>
                  <w:noWrap w:val="0"/>
                  <w:vAlign w:val="center"/>
                </w:tcPr>
                <w:p w14:paraId="3D67E81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605" w:type="pct"/>
                  <w:noWrap w:val="0"/>
                  <w:vAlign w:val="center"/>
                </w:tcPr>
                <w:p w14:paraId="7F3D64C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0.000108</w:t>
                  </w:r>
                </w:p>
              </w:tc>
              <w:tc>
                <w:tcPr>
                  <w:tcW w:w="612" w:type="pct"/>
                  <w:noWrap w:val="0"/>
                  <w:vAlign w:val="center"/>
                </w:tcPr>
                <w:p w14:paraId="69ABDAC3">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0.000045</w:t>
                  </w:r>
                </w:p>
              </w:tc>
              <w:tc>
                <w:tcPr>
                  <w:tcW w:w="610" w:type="pct"/>
                  <w:gridSpan w:val="2"/>
                  <w:noWrap w:val="0"/>
                  <w:vAlign w:val="center"/>
                </w:tcPr>
                <w:p w14:paraId="70678901">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w:t>
                  </w:r>
                </w:p>
              </w:tc>
            </w:tr>
            <w:tr w14:paraId="45C80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4" w:type="pct"/>
                  <w:vMerge w:val="continue"/>
                  <w:noWrap w:val="0"/>
                  <w:vAlign w:val="center"/>
                </w:tcPr>
                <w:p w14:paraId="345CDC5C">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554" w:type="pct"/>
                  <w:noWrap w:val="0"/>
                  <w:vAlign w:val="center"/>
                </w:tcPr>
                <w:p w14:paraId="4F602AE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苯乙烯</w:t>
                  </w:r>
                </w:p>
              </w:tc>
              <w:tc>
                <w:tcPr>
                  <w:tcW w:w="574" w:type="pct"/>
                  <w:noWrap w:val="0"/>
                  <w:vAlign w:val="center"/>
                </w:tcPr>
                <w:p w14:paraId="6C53660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0.0036</w:t>
                  </w:r>
                </w:p>
              </w:tc>
              <w:tc>
                <w:tcPr>
                  <w:tcW w:w="752" w:type="pct"/>
                  <w:vMerge w:val="continue"/>
                  <w:noWrap w:val="0"/>
                  <w:vAlign w:val="center"/>
                </w:tcPr>
                <w:p w14:paraId="3EBE0103">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419" w:type="pct"/>
                  <w:noWrap w:val="0"/>
                  <w:vAlign w:val="center"/>
                </w:tcPr>
                <w:p w14:paraId="68FF72E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377" w:type="pct"/>
                  <w:noWrap w:val="0"/>
                  <w:vAlign w:val="center"/>
                </w:tcPr>
                <w:p w14:paraId="6A231EF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605" w:type="pct"/>
                  <w:noWrap w:val="0"/>
                  <w:vAlign w:val="center"/>
                </w:tcPr>
                <w:p w14:paraId="330B7F6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0.0036</w:t>
                  </w:r>
                </w:p>
              </w:tc>
              <w:tc>
                <w:tcPr>
                  <w:tcW w:w="612" w:type="pct"/>
                  <w:noWrap w:val="0"/>
                  <w:vAlign w:val="center"/>
                </w:tcPr>
                <w:p w14:paraId="2B2339B3">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0.0015</w:t>
                  </w:r>
                </w:p>
              </w:tc>
              <w:tc>
                <w:tcPr>
                  <w:tcW w:w="610" w:type="pct"/>
                  <w:gridSpan w:val="2"/>
                  <w:noWrap w:val="0"/>
                  <w:vAlign w:val="center"/>
                </w:tcPr>
                <w:p w14:paraId="6B133ABF">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w:t>
                  </w:r>
                </w:p>
              </w:tc>
            </w:tr>
            <w:tr w14:paraId="47172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4" w:type="pct"/>
                  <w:noWrap w:val="0"/>
                  <w:vAlign w:val="center"/>
                </w:tcPr>
                <w:p w14:paraId="463384D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生物质燃料堆放粉尘</w:t>
                  </w:r>
                </w:p>
              </w:tc>
              <w:tc>
                <w:tcPr>
                  <w:tcW w:w="554" w:type="pct"/>
                  <w:noWrap w:val="0"/>
                  <w:vAlign w:val="center"/>
                </w:tcPr>
                <w:p w14:paraId="364387A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颗粒物</w:t>
                  </w:r>
                </w:p>
              </w:tc>
              <w:tc>
                <w:tcPr>
                  <w:tcW w:w="574" w:type="pct"/>
                  <w:noWrap w:val="0"/>
                  <w:vAlign w:val="center"/>
                </w:tcPr>
                <w:p w14:paraId="110C795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少量</w:t>
                  </w:r>
                </w:p>
              </w:tc>
              <w:tc>
                <w:tcPr>
                  <w:tcW w:w="752" w:type="pct"/>
                  <w:noWrap w:val="0"/>
                  <w:vAlign w:val="center"/>
                </w:tcPr>
                <w:p w14:paraId="78825B4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外购已打包好的袋装生物质成型燃料，外购后堆放于锅炉房内</w:t>
                  </w:r>
                </w:p>
              </w:tc>
              <w:tc>
                <w:tcPr>
                  <w:tcW w:w="419" w:type="pct"/>
                  <w:noWrap w:val="0"/>
                  <w:vAlign w:val="center"/>
                </w:tcPr>
                <w:p w14:paraId="30C01DA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377" w:type="pct"/>
                  <w:noWrap w:val="0"/>
                  <w:vAlign w:val="center"/>
                </w:tcPr>
                <w:p w14:paraId="740691E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605" w:type="pct"/>
                  <w:noWrap w:val="0"/>
                  <w:vAlign w:val="center"/>
                </w:tcPr>
                <w:p w14:paraId="0BB270D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w:t>
                  </w:r>
                </w:p>
              </w:tc>
              <w:tc>
                <w:tcPr>
                  <w:tcW w:w="612" w:type="pct"/>
                  <w:noWrap w:val="0"/>
                  <w:vAlign w:val="center"/>
                </w:tcPr>
                <w:p w14:paraId="60BDF0B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w:t>
                  </w:r>
                </w:p>
              </w:tc>
              <w:tc>
                <w:tcPr>
                  <w:tcW w:w="610" w:type="pct"/>
                  <w:gridSpan w:val="2"/>
                  <w:noWrap w:val="0"/>
                  <w:vAlign w:val="center"/>
                </w:tcPr>
                <w:p w14:paraId="46DCFB5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p>
              </w:tc>
            </w:tr>
            <w:tr w14:paraId="01788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4" w:type="pct"/>
                  <w:noWrap w:val="0"/>
                  <w:vAlign w:val="center"/>
                </w:tcPr>
                <w:p w14:paraId="0DA956A4">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厨房油烟</w:t>
                  </w:r>
                </w:p>
              </w:tc>
              <w:tc>
                <w:tcPr>
                  <w:tcW w:w="554" w:type="pct"/>
                  <w:noWrap w:val="0"/>
                  <w:vAlign w:val="center"/>
                </w:tcPr>
                <w:p w14:paraId="678756F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油烟</w:t>
                  </w:r>
                </w:p>
              </w:tc>
              <w:tc>
                <w:tcPr>
                  <w:tcW w:w="574" w:type="pct"/>
                  <w:noWrap w:val="0"/>
                  <w:vAlign w:val="center"/>
                </w:tcPr>
                <w:p w14:paraId="1878480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0.108</w:t>
                  </w:r>
                </w:p>
              </w:tc>
              <w:tc>
                <w:tcPr>
                  <w:tcW w:w="752" w:type="pct"/>
                  <w:noWrap w:val="0"/>
                  <w:vAlign w:val="center"/>
                </w:tcPr>
                <w:p w14:paraId="6534244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设置油烟净化器，净化效率65%，风量2000m</w:t>
                  </w:r>
                  <w:r>
                    <w:rPr>
                      <w:rFonts w:hint="eastAsia" w:ascii="Times New Roman" w:hAnsi="Times New Roman" w:eastAsia="宋体" w:cs="Times New Roman"/>
                      <w:color w:val="000000" w:themeColor="text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lang w:val="en-US" w:eastAsia="zh-CN"/>
                      <w14:textFill>
                        <w14:solidFill>
                          <w14:schemeClr w14:val="tx1"/>
                        </w14:solidFill>
                      </w14:textFill>
                    </w:rPr>
                    <w:t>/h</w:t>
                  </w:r>
                </w:p>
              </w:tc>
              <w:tc>
                <w:tcPr>
                  <w:tcW w:w="419" w:type="pct"/>
                  <w:noWrap w:val="0"/>
                  <w:vAlign w:val="center"/>
                </w:tcPr>
                <w:p w14:paraId="3C81DFB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100%</w:t>
                  </w:r>
                </w:p>
              </w:tc>
              <w:tc>
                <w:tcPr>
                  <w:tcW w:w="377" w:type="pct"/>
                  <w:noWrap w:val="0"/>
                  <w:vAlign w:val="center"/>
                </w:tcPr>
                <w:p w14:paraId="25CE8EE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65%</w:t>
                  </w:r>
                </w:p>
              </w:tc>
              <w:tc>
                <w:tcPr>
                  <w:tcW w:w="605" w:type="pct"/>
                  <w:noWrap w:val="0"/>
                  <w:vAlign w:val="center"/>
                </w:tcPr>
                <w:p w14:paraId="5E0D1759">
                  <w:pPr>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0.00107</w:t>
                  </w:r>
                </w:p>
              </w:tc>
              <w:tc>
                <w:tcPr>
                  <w:tcW w:w="612" w:type="pct"/>
                  <w:noWrap w:val="0"/>
                  <w:vAlign w:val="center"/>
                </w:tcPr>
                <w:p w14:paraId="44EECEB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0.001785</w:t>
                  </w:r>
                </w:p>
              </w:tc>
              <w:tc>
                <w:tcPr>
                  <w:tcW w:w="610" w:type="pct"/>
                  <w:gridSpan w:val="2"/>
                  <w:noWrap w:val="0"/>
                  <w:vAlign w:val="center"/>
                </w:tcPr>
                <w:p w14:paraId="4649D8C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0.8925</w:t>
                  </w:r>
                </w:p>
              </w:tc>
            </w:tr>
          </w:tbl>
          <w:p w14:paraId="6B09167D">
            <w:pPr>
              <w:pStyle w:val="18"/>
              <w:keepNext w:val="0"/>
              <w:keepLines/>
              <w:pageBreakBefore w:val="0"/>
              <w:kinsoku/>
              <w:overflowPunct/>
              <w:bidi w:val="0"/>
              <w:adjustRightInd/>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kern w:val="0"/>
                <w:sz w:val="24"/>
                <w:szCs w:val="24"/>
                <w:lang w:val="en-US" w:eastAsia="zh-CN" w:bidi="ar"/>
                <w14:textFill>
                  <w14:solidFill>
                    <w14:schemeClr w14:val="tx1"/>
                  </w14:solidFill>
                </w14:textFill>
              </w:rPr>
              <w:t>（2）</w:t>
            </w:r>
            <w:r>
              <w:rPr>
                <w:rFonts w:hint="default" w:ascii="Times New Roman" w:hAnsi="Times New Roman" w:eastAsia="宋体" w:cs="Times New Roman"/>
                <w:b/>
                <w:bCs/>
                <w:color w:val="000000" w:themeColor="text1"/>
                <w14:textFill>
                  <w14:solidFill>
                    <w14:schemeClr w14:val="tx1"/>
                  </w14:solidFill>
                </w14:textFill>
              </w:rPr>
              <w:t>排放口基本情况</w:t>
            </w:r>
          </w:p>
          <w:p w14:paraId="79072448">
            <w:pPr>
              <w:pStyle w:val="18"/>
              <w:keepNext w:val="0"/>
              <w:keepLines/>
              <w:pageBreakBefore w:val="0"/>
              <w:kinsoku/>
              <w:overflowPunct/>
              <w:bidi w:val="0"/>
              <w:adjustRightInd/>
              <w:spacing w:line="360" w:lineRule="auto"/>
              <w:ind w:firstLine="480" w:firstLineChars="200"/>
              <w:jc w:val="left"/>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对照《固定污染源分类管理名录》（</w:t>
            </w:r>
            <w:r>
              <w:rPr>
                <w:rFonts w:hint="eastAsia" w:ascii="Times New Roman" w:hAnsi="Times New Roman" w:eastAsia="宋体" w:cs="Times New Roman"/>
                <w:color w:val="000000" w:themeColor="text1"/>
                <w:lang w:val="en-US" w:eastAsia="zh-CN"/>
                <w14:textFill>
                  <w14:solidFill>
                    <w14:schemeClr w14:val="tx1"/>
                  </w14:solidFill>
                </w14:textFill>
              </w:rPr>
              <w:t>2019</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峨山县文邦</w:t>
            </w:r>
            <w:r>
              <w:rPr>
                <w:rFonts w:hint="default" w:cs="Times New Roman"/>
                <w:color w:val="000000" w:themeColor="text1"/>
                <w:lang w:eastAsia="zh-CN"/>
                <w14:textFill>
                  <w14:solidFill>
                    <w14:schemeClr w14:val="tx1"/>
                  </w14:solidFill>
                </w14:textFill>
              </w:rPr>
              <w:t>包装制品有限公司</w:t>
            </w:r>
            <w:r>
              <w:rPr>
                <w:rFonts w:hint="eastAsia" w:cs="Times New Roman"/>
                <w:color w:val="000000" w:themeColor="text1"/>
                <w:lang w:eastAsia="zh-CN"/>
                <w14:textFill>
                  <w14:solidFill>
                    <w14:schemeClr w14:val="tx1"/>
                  </w14:solidFill>
                </w14:textFill>
              </w:rPr>
              <w:t>属于登记管理。</w:t>
            </w:r>
          </w:p>
          <w:p w14:paraId="7A0F747F">
            <w:pPr>
              <w:pStyle w:val="32"/>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kern w:val="0"/>
                <w:sz w:val="21"/>
                <w:szCs w:val="21"/>
                <w:lang w:eastAsia="zh-CN"/>
                <w14:textFill>
                  <w14:solidFill>
                    <w14:schemeClr w14:val="tx1"/>
                  </w14:solidFill>
                </w14:textFill>
              </w:rPr>
              <w:t>表</w:t>
            </w:r>
            <w:r>
              <w:rPr>
                <w:rFonts w:hint="eastAsia" w:ascii="Times New Roman" w:hAnsi="Times New Roman" w:eastAsia="宋体" w:cs="Times New Roman"/>
                <w:b/>
                <w:color w:val="000000" w:themeColor="text1"/>
                <w:kern w:val="0"/>
                <w:sz w:val="21"/>
                <w:szCs w:val="21"/>
                <w:lang w:val="en-US" w:eastAsia="zh-CN"/>
                <w14:textFill>
                  <w14:solidFill>
                    <w14:schemeClr w14:val="tx1"/>
                  </w14:solidFill>
                </w14:textFill>
              </w:rPr>
              <w:t>4-6 排污许可证类别判定一览表</w:t>
            </w:r>
          </w:p>
          <w:tbl>
            <w:tblPr>
              <w:tblStyle w:val="34"/>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125"/>
              <w:gridCol w:w="2410"/>
              <w:gridCol w:w="1995"/>
              <w:gridCol w:w="1182"/>
              <w:gridCol w:w="693"/>
            </w:tblGrid>
            <w:tr w14:paraId="7C8F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2" w:type="dxa"/>
                  <w:vAlign w:val="center"/>
                </w:tcPr>
                <w:p w14:paraId="3099B9C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行业类别</w:t>
                  </w:r>
                </w:p>
              </w:tc>
              <w:tc>
                <w:tcPr>
                  <w:tcW w:w="1125" w:type="dxa"/>
                  <w:vAlign w:val="center"/>
                </w:tcPr>
                <w:p w14:paraId="376DD07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重点管理</w:t>
                  </w:r>
                </w:p>
              </w:tc>
              <w:tc>
                <w:tcPr>
                  <w:tcW w:w="2410" w:type="dxa"/>
                  <w:vAlign w:val="center"/>
                </w:tcPr>
                <w:p w14:paraId="775C499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简化管理</w:t>
                  </w:r>
                </w:p>
              </w:tc>
              <w:tc>
                <w:tcPr>
                  <w:tcW w:w="1995" w:type="dxa"/>
                  <w:vAlign w:val="center"/>
                </w:tcPr>
                <w:p w14:paraId="1FEEBBB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登记管理</w:t>
                  </w:r>
                </w:p>
              </w:tc>
              <w:tc>
                <w:tcPr>
                  <w:tcW w:w="1182" w:type="dxa"/>
                  <w:vAlign w:val="center"/>
                </w:tcPr>
                <w:p w14:paraId="23F93BD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本项目情况</w:t>
                  </w:r>
                </w:p>
              </w:tc>
              <w:tc>
                <w:tcPr>
                  <w:tcW w:w="693" w:type="dxa"/>
                  <w:vAlign w:val="center"/>
                </w:tcPr>
                <w:p w14:paraId="20CDC5A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类别判定</w:t>
                  </w:r>
                </w:p>
              </w:tc>
            </w:tr>
            <w:tr w14:paraId="0369B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14:paraId="3182FF2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锅炉</w:t>
                  </w:r>
                </w:p>
              </w:tc>
              <w:tc>
                <w:tcPr>
                  <w:tcW w:w="1125" w:type="dxa"/>
                  <w:vAlign w:val="center"/>
                </w:tcPr>
                <w:p w14:paraId="51FA627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纳入重点排污单位名录的</w:t>
                  </w:r>
                </w:p>
              </w:tc>
              <w:tc>
                <w:tcPr>
                  <w:tcW w:w="2410" w:type="dxa"/>
                  <w:vAlign w:val="center"/>
                </w:tcPr>
                <w:p w14:paraId="5A00383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除纳入重点排污单位名录的，单台或者合计出力20吨/小时（14兆瓦）及以上的锅炉（不含电热锅炉）</w:t>
                  </w:r>
                </w:p>
              </w:tc>
              <w:tc>
                <w:tcPr>
                  <w:tcW w:w="1995" w:type="dxa"/>
                  <w:vAlign w:val="center"/>
                </w:tcPr>
                <w:p w14:paraId="5CBE522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除纳入重点排污单位名录的，单台且合计出力20吨/小时（14兆瓦）以下的锅炉（不含电热锅炉）</w:t>
                  </w:r>
                </w:p>
              </w:tc>
              <w:tc>
                <w:tcPr>
                  <w:tcW w:w="1182" w:type="dxa"/>
                  <w:vAlign w:val="center"/>
                </w:tcPr>
                <w:p w14:paraId="279B80E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本项目设置有1台3t/h的生物质锅炉</w:t>
                  </w:r>
                </w:p>
              </w:tc>
              <w:tc>
                <w:tcPr>
                  <w:tcW w:w="693" w:type="dxa"/>
                  <w:vAlign w:val="center"/>
                </w:tcPr>
                <w:p w14:paraId="0D691D7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登记管理</w:t>
                  </w:r>
                </w:p>
              </w:tc>
            </w:tr>
            <w:tr w14:paraId="0F0C8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14:paraId="31BF8CE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塑料制品业</w:t>
                  </w:r>
                </w:p>
              </w:tc>
              <w:tc>
                <w:tcPr>
                  <w:tcW w:w="1125" w:type="dxa"/>
                  <w:vAlign w:val="center"/>
                </w:tcPr>
                <w:p w14:paraId="7F558ED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塑料人造革、合成革制造2925</w:t>
                  </w:r>
                </w:p>
              </w:tc>
              <w:tc>
                <w:tcPr>
                  <w:tcW w:w="2410" w:type="dxa"/>
                  <w:vAlign w:val="center"/>
                </w:tcPr>
                <w:p w14:paraId="6813A7A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年产1万吨及以上的泡沫塑料制造2924，年产1万吨及以上涉及改性的塑料薄膜制造2921、塑料板、管、型材制造2922、塑料丝、绳和编织品制造2923、塑料包装箱及容器制造2926、日用塑料品制造2927、人造草坪制造2928、塑料零件及其他塑料制品制造2929</w:t>
                  </w:r>
                </w:p>
              </w:tc>
              <w:tc>
                <w:tcPr>
                  <w:tcW w:w="1995" w:type="dxa"/>
                  <w:vAlign w:val="center"/>
                </w:tcPr>
                <w:p w14:paraId="54FD633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其他</w:t>
                  </w:r>
                </w:p>
              </w:tc>
              <w:tc>
                <w:tcPr>
                  <w:tcW w:w="1182" w:type="dxa"/>
                  <w:vAlign w:val="center"/>
                </w:tcPr>
                <w:p w14:paraId="5D4688A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现有项目</w:t>
                  </w:r>
                  <w:r>
                    <w:rPr>
                      <w:rFonts w:hint="eastAsia" w:ascii="Times New Roman" w:hAnsi="Times New Roman" w:eastAsia="宋体" w:cs="Times New Roman"/>
                      <w:color w:val="000000" w:themeColor="text1"/>
                      <w:lang w:val="en-US" w:eastAsia="zh-CN"/>
                      <w14:textFill>
                        <w14:solidFill>
                          <w14:schemeClr w14:val="tx1"/>
                        </w14:solidFill>
                      </w14:textFill>
                    </w:rPr>
                    <w:t>年产8万立方米建筑泡沫板材，EPS用量约150t</w:t>
                  </w:r>
                </w:p>
              </w:tc>
              <w:tc>
                <w:tcPr>
                  <w:tcW w:w="693" w:type="dxa"/>
                  <w:vAlign w:val="center"/>
                </w:tcPr>
                <w:p w14:paraId="233ECE1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登记管理</w:t>
                  </w:r>
                </w:p>
              </w:tc>
            </w:tr>
          </w:tbl>
          <w:p w14:paraId="70F72A54">
            <w:pPr>
              <w:pStyle w:val="18"/>
              <w:keepNext w:val="0"/>
              <w:keepLines/>
              <w:pageBreakBefore w:val="0"/>
              <w:kinsoku/>
              <w:overflowPunct/>
              <w:bidi w:val="0"/>
              <w:adjustRightInd/>
              <w:spacing w:line="360" w:lineRule="auto"/>
              <w:ind w:firstLine="480" w:firstLineChars="20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本项目共设置</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个有组织排放口</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对照《排污许可证申请与核发技术规范</w:t>
            </w:r>
            <w:r>
              <w:rPr>
                <w:rFonts w:hint="default" w:ascii="Times New Roman" w:hAnsi="Times New Roman" w:eastAsia="宋体" w:cs="Times New Roman"/>
                <w:color w:val="000000" w:themeColor="text1"/>
                <w:lang w:val="en-US" w:eastAsia="zh-CN"/>
                <w14:textFill>
                  <w14:solidFill>
                    <w14:schemeClr w14:val="tx1"/>
                  </w14:solidFill>
                </w14:textFill>
              </w:rPr>
              <w:t xml:space="preserve"> </w:t>
            </w:r>
            <w:r>
              <w:rPr>
                <w:rFonts w:hint="eastAsia" w:ascii="Times New Roman" w:hAnsi="Times New Roman" w:eastAsia="宋体" w:cs="Times New Roman"/>
                <w:color w:val="000000" w:themeColor="text1"/>
                <w:lang w:eastAsia="zh-CN"/>
                <w14:textFill>
                  <w14:solidFill>
                    <w14:schemeClr w14:val="tx1"/>
                  </w14:solidFill>
                </w14:textFill>
              </w:rPr>
              <w:t>锅炉</w:t>
            </w:r>
            <w:r>
              <w:rPr>
                <w:rFonts w:hint="default" w:ascii="Times New Roman" w:hAnsi="Times New Roman" w:eastAsia="宋体" w:cs="Times New Roman"/>
                <w:color w:val="000000" w:themeColor="text1"/>
                <w:lang w:eastAsia="zh-CN"/>
                <w14:textFill>
                  <w14:solidFill>
                    <w14:schemeClr w14:val="tx1"/>
                  </w14:solidFill>
                </w14:textFill>
              </w:rPr>
              <w:t xml:space="preserve">》（HJ </w:t>
            </w:r>
            <w:r>
              <w:rPr>
                <w:rFonts w:hint="eastAsia" w:ascii="Times New Roman" w:hAnsi="Times New Roman" w:eastAsia="宋体" w:cs="Times New Roman"/>
                <w:color w:val="000000" w:themeColor="text1"/>
                <w:lang w:val="en-US" w:eastAsia="zh-CN"/>
                <w14:textFill>
                  <w14:solidFill>
                    <w14:schemeClr w14:val="tx1"/>
                  </w14:solidFill>
                </w14:textFill>
              </w:rPr>
              <w:t>953</w:t>
            </w:r>
            <w:r>
              <w:rPr>
                <w:rFonts w:hint="default" w:ascii="Times New Roman" w:hAnsi="Times New Roman" w:eastAsia="宋体" w:cs="Times New Roman"/>
                <w:color w:val="000000" w:themeColor="text1"/>
                <w:lang w:eastAsia="zh-CN"/>
                <w14:textFill>
                  <w14:solidFill>
                    <w14:schemeClr w14:val="tx1"/>
                  </w14:solidFill>
                </w14:textFill>
              </w:rPr>
              <w:t>—20</w:t>
            </w:r>
            <w:r>
              <w:rPr>
                <w:rFonts w:hint="eastAsia" w:ascii="Times New Roman" w:hAnsi="Times New Roman" w:eastAsia="宋体" w:cs="Times New Roman"/>
                <w:color w:val="000000" w:themeColor="text1"/>
                <w:lang w:val="en-US" w:eastAsia="zh-CN"/>
                <w14:textFill>
                  <w14:solidFill>
                    <w14:schemeClr w14:val="tx1"/>
                  </w14:solidFill>
                </w14:textFill>
              </w:rPr>
              <w:t>18</w:t>
            </w:r>
            <w:r>
              <w:rPr>
                <w:rFonts w:hint="default" w:ascii="Times New Roman" w:hAnsi="Times New Roman" w:eastAsia="宋体" w:cs="Times New Roman"/>
                <w:color w:val="000000" w:themeColor="text1"/>
                <w:lang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4.5.2.4排放口类型，</w:t>
            </w:r>
            <w:r>
              <w:rPr>
                <w:rFonts w:hint="default" w:ascii="Times New Roman" w:hAnsi="Times New Roman" w:eastAsia="宋体" w:cs="Times New Roman"/>
                <w:color w:val="000000" w:themeColor="text1"/>
                <w:lang w:eastAsia="zh-CN"/>
                <w14:textFill>
                  <w14:solidFill>
                    <w14:schemeClr w14:val="tx1"/>
                  </w14:solidFill>
                </w14:textFill>
              </w:rPr>
              <w:t>单台出力10吨/小时(7兆瓦)及以上或者合计出力20吨/小时(14兆瓦)及以上锅炉排污单位的所有烟囱排放口为主要排放口，其他有组织排放口均为一般排放口</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eastAsia="zh-CN"/>
                <w14:textFill>
                  <w14:solidFill>
                    <w14:schemeClr w14:val="tx1"/>
                  </w14:solidFill>
                </w14:textFill>
              </w:rPr>
              <w:t>本项目设置</w:t>
            </w:r>
            <w:r>
              <w:rPr>
                <w:rFonts w:hint="eastAsia" w:ascii="Times New Roman" w:hAnsi="Times New Roman" w:eastAsia="宋体" w:cs="Times New Roman"/>
                <w:color w:val="000000" w:themeColor="text1"/>
                <w:lang w:val="en-US" w:eastAsia="zh-CN"/>
                <w14:textFill>
                  <w14:solidFill>
                    <w14:schemeClr w14:val="tx1"/>
                  </w14:solidFill>
                </w14:textFill>
              </w:rPr>
              <w:t>1台3t/h锅炉，故锅炉废气排放口为一般排放口。</w:t>
            </w:r>
          </w:p>
          <w:p w14:paraId="522D910C">
            <w:pPr>
              <w:pStyle w:val="18"/>
              <w:keepNext w:val="0"/>
              <w:keepLines/>
              <w:pageBreakBefore w:val="0"/>
              <w:kinsoku/>
              <w:overflowPunct/>
              <w:bidi w:val="0"/>
              <w:adjustRightInd/>
              <w:spacing w:line="360" w:lineRule="auto"/>
              <w:ind w:firstLine="480" w:firstLineChars="200"/>
              <w:jc w:val="left"/>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对照《</w:t>
            </w:r>
            <w:r>
              <w:rPr>
                <w:rFonts w:hint="default" w:ascii="Times New Roman" w:hAnsi="Times New Roman" w:eastAsia="宋体" w:cs="Times New Roman"/>
                <w:color w:val="000000" w:themeColor="text1"/>
                <w:lang w:eastAsia="zh-CN"/>
                <w14:textFill>
                  <w14:solidFill>
                    <w14:schemeClr w14:val="tx1"/>
                  </w14:solidFill>
                </w14:textFill>
              </w:rPr>
              <w:t>排污许可证申请与核发技术规范</w:t>
            </w:r>
            <w:r>
              <w:rPr>
                <w:rFonts w:hint="default" w:ascii="Times New Roman" w:hAnsi="Times New Roman" w:eastAsia="宋体" w:cs="Times New Roman"/>
                <w:color w:val="000000" w:themeColor="text1"/>
                <w:lang w:val="en-US" w:eastAsia="zh-CN"/>
                <w14:textFill>
                  <w14:solidFill>
                    <w14:schemeClr w14:val="tx1"/>
                  </w14:solidFill>
                </w14:textFill>
              </w:rPr>
              <w:t xml:space="preserve"> </w:t>
            </w:r>
            <w:r>
              <w:rPr>
                <w:rFonts w:hint="eastAsia" w:ascii="Times New Roman" w:hAnsi="Times New Roman" w:eastAsia="宋体" w:cs="Times New Roman"/>
                <w:color w:val="000000" w:themeColor="text1"/>
                <w:lang w:eastAsia="zh-CN"/>
                <w14:textFill>
                  <w14:solidFill>
                    <w14:schemeClr w14:val="tx1"/>
                  </w14:solidFill>
                </w14:textFill>
              </w:rPr>
              <w:t>橡胶和塑料制品工业</w:t>
            </w:r>
            <w:r>
              <w:rPr>
                <w:rFonts w:hint="default" w:ascii="Times New Roman" w:hAnsi="Times New Roman" w:eastAsia="宋体" w:cs="Times New Roman"/>
                <w:color w:val="000000" w:themeColor="text1"/>
                <w:lang w:eastAsia="zh-CN"/>
                <w14:textFill>
                  <w14:solidFill>
                    <w14:schemeClr w14:val="tx1"/>
                  </w14:solidFill>
                </w14:textFill>
              </w:rPr>
              <w:t>》（HJ</w:t>
            </w:r>
            <w:r>
              <w:rPr>
                <w:rFonts w:hint="eastAsia" w:ascii="Times New Roman" w:hAnsi="Times New Roman" w:eastAsia="宋体" w:cs="Times New Roman"/>
                <w:color w:val="000000" w:themeColor="text1"/>
                <w:lang w:val="en-US" w:eastAsia="zh-CN"/>
                <w14:textFill>
                  <w14:solidFill>
                    <w14:schemeClr w14:val="tx1"/>
                  </w14:solidFill>
                </w14:textFill>
              </w:rPr>
              <w:t>1122</w:t>
            </w:r>
            <w:r>
              <w:rPr>
                <w:rFonts w:hint="default" w:ascii="Times New Roman" w:hAnsi="Times New Roman" w:eastAsia="宋体" w:cs="Times New Roman"/>
                <w:color w:val="000000" w:themeColor="text1"/>
                <w:lang w:eastAsia="zh-CN"/>
                <w14:textFill>
                  <w14:solidFill>
                    <w14:schemeClr w14:val="tx1"/>
                  </w14:solidFill>
                </w14:textFill>
              </w:rPr>
              <w:t>—20</w:t>
            </w:r>
            <w:r>
              <w:rPr>
                <w:rFonts w:hint="eastAsia" w:ascii="Times New Roman" w:hAnsi="Times New Roman" w:eastAsia="宋体" w:cs="Times New Roman"/>
                <w:color w:val="000000" w:themeColor="text1"/>
                <w:lang w:val="en-US" w:eastAsia="zh-CN"/>
                <w14:textFill>
                  <w14:solidFill>
                    <w14:schemeClr w14:val="tx1"/>
                  </w14:solidFill>
                </w14:textFill>
              </w:rPr>
              <w:t>20</w:t>
            </w:r>
            <w:r>
              <w:rPr>
                <w:rFonts w:hint="default"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eastAsia="zh-CN"/>
                <w14:textFill>
                  <w14:solidFill>
                    <w14:schemeClr w14:val="tx1"/>
                  </w14:solidFill>
                </w14:textFill>
              </w:rPr>
              <w:t>中</w:t>
            </w:r>
            <w:r>
              <w:rPr>
                <w:rFonts w:hint="eastAsia"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eastAsia="zh-CN"/>
                <w14:textFill>
                  <w14:solidFill>
                    <w14:schemeClr w14:val="tx1"/>
                  </w14:solidFill>
                </w14:textFill>
              </w:rPr>
              <w:t>塑料制品业</w:t>
            </w:r>
            <w:r>
              <w:rPr>
                <w:rFonts w:hint="eastAsia" w:ascii="Times New Roman" w:hAnsi="Times New Roman" w:eastAsia="宋体" w:cs="Times New Roman"/>
                <w:color w:val="000000" w:themeColor="text1"/>
                <w:lang w:val="en-US" w:eastAsia="zh-CN"/>
                <w14:textFill>
                  <w14:solidFill>
                    <w14:schemeClr w14:val="tx1"/>
                  </w14:solidFill>
                </w14:textFill>
              </w:rPr>
              <w:t>5.1.5.2.5排放口类型：简化管理排污单位的废气排放口均为一般排放口</w:t>
            </w:r>
            <w:r>
              <w:rPr>
                <w:rFonts w:hint="eastAsia"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eastAsia="zh-CN"/>
                <w14:textFill>
                  <w14:solidFill>
                    <w14:schemeClr w14:val="tx1"/>
                  </w14:solidFill>
                </w14:textFill>
              </w:rPr>
              <w:t>，本项目为登记管理，故废气排放口为一般排放口。</w:t>
            </w:r>
          </w:p>
          <w:p w14:paraId="745B9C8B">
            <w:pPr>
              <w:pStyle w:val="18"/>
              <w:keepNext w:val="0"/>
              <w:keepLines/>
              <w:pageBreakBefore w:val="0"/>
              <w:kinsoku/>
              <w:overflowPunct/>
              <w:bidi w:val="0"/>
              <w:adjustRightInd/>
              <w:spacing w:line="360" w:lineRule="auto"/>
              <w:ind w:firstLine="480" w:firstLineChars="20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排放口基本情况详见下表。</w:t>
            </w:r>
          </w:p>
          <w:p w14:paraId="105F8CFB">
            <w:pPr>
              <w:pStyle w:val="32"/>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themeColor="text1"/>
                <w:spacing w:val="-10"/>
                <w:sz w:val="21"/>
                <w:szCs w:val="21"/>
                <w14:textFill>
                  <w14:solidFill>
                    <w14:schemeClr w14:val="tx1"/>
                  </w14:solidFill>
                </w14:textFill>
              </w:rPr>
            </w:pPr>
            <w:r>
              <w:rPr>
                <w:rFonts w:hint="default" w:ascii="Times New Roman" w:hAnsi="Times New Roman" w:cs="Times New Roman"/>
                <w:b/>
                <w:color w:val="000000" w:themeColor="text1"/>
                <w:kern w:val="0"/>
                <w:sz w:val="21"/>
                <w:szCs w:val="21"/>
                <w14:textFill>
                  <w14:solidFill>
                    <w14:schemeClr w14:val="tx1"/>
                  </w14:solidFill>
                </w14:textFill>
              </w:rPr>
              <w:t>表4</w:t>
            </w:r>
            <w:r>
              <w:rPr>
                <w:rFonts w:hint="default" w:ascii="Times New Roman" w:hAnsi="Times New Roman" w:cs="Times New Roman"/>
                <w:b/>
                <w:color w:val="000000" w:themeColor="text1"/>
                <w:kern w:val="0"/>
                <w:sz w:val="21"/>
                <w:szCs w:val="21"/>
                <w:lang w:val="en-US" w:eastAsia="zh-CN"/>
                <w14:textFill>
                  <w14:solidFill>
                    <w14:schemeClr w14:val="tx1"/>
                  </w14:solidFill>
                </w14:textFill>
              </w:rPr>
              <w:t>-</w:t>
            </w:r>
            <w:r>
              <w:rPr>
                <w:rFonts w:hint="eastAsia" w:cs="Times New Roman"/>
                <w:b/>
                <w:color w:val="000000" w:themeColor="text1"/>
                <w:kern w:val="0"/>
                <w:sz w:val="21"/>
                <w:szCs w:val="21"/>
                <w:lang w:val="en-US" w:eastAsia="zh-CN"/>
                <w14:textFill>
                  <w14:solidFill>
                    <w14:schemeClr w14:val="tx1"/>
                  </w14:solidFill>
                </w14:textFill>
              </w:rPr>
              <w:t>7</w:t>
            </w:r>
            <w:r>
              <w:rPr>
                <w:rFonts w:hint="default" w:ascii="Times New Roman" w:hAnsi="Times New Roman" w:cs="Times New Roman"/>
                <w:b/>
                <w:color w:val="000000" w:themeColor="text1"/>
                <w:kern w:val="0"/>
                <w:sz w:val="21"/>
                <w:szCs w:val="21"/>
                <w14:textFill>
                  <w14:solidFill>
                    <w14:schemeClr w14:val="tx1"/>
                  </w14:solidFill>
                </w14:textFill>
              </w:rPr>
              <w:t xml:space="preserve"> 排放口基本情况一览表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2927"/>
              <w:gridCol w:w="960"/>
              <w:gridCol w:w="995"/>
              <w:gridCol w:w="665"/>
              <w:gridCol w:w="1103"/>
            </w:tblGrid>
            <w:tr w14:paraId="454AA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6" w:type="pct"/>
                  <w:vAlign w:val="center"/>
                </w:tcPr>
                <w:p w14:paraId="7FE71C8E">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编号及名称</w:t>
                  </w:r>
                </w:p>
              </w:tc>
              <w:tc>
                <w:tcPr>
                  <w:tcW w:w="1784" w:type="pct"/>
                  <w:vAlign w:val="center"/>
                </w:tcPr>
                <w:p w14:paraId="593B1DA8">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地理坐标</w:t>
                  </w:r>
                </w:p>
              </w:tc>
              <w:tc>
                <w:tcPr>
                  <w:tcW w:w="585" w:type="pct"/>
                  <w:vAlign w:val="center"/>
                </w:tcPr>
                <w:p w14:paraId="2F9E56CC">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排放高度/m</w:t>
                  </w:r>
                </w:p>
              </w:tc>
              <w:tc>
                <w:tcPr>
                  <w:tcW w:w="606" w:type="pct"/>
                  <w:vAlign w:val="center"/>
                </w:tcPr>
                <w:p w14:paraId="3BFDC7EF">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排气筒内径/m</w:t>
                  </w:r>
                </w:p>
              </w:tc>
              <w:tc>
                <w:tcPr>
                  <w:tcW w:w="405" w:type="pct"/>
                  <w:vAlign w:val="center"/>
                </w:tcPr>
                <w:p w14:paraId="3B7566D4">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温度/℃</w:t>
                  </w:r>
                </w:p>
              </w:tc>
              <w:tc>
                <w:tcPr>
                  <w:tcW w:w="672" w:type="pct"/>
                  <w:vAlign w:val="center"/>
                </w:tcPr>
                <w:p w14:paraId="43DF1DB3">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类型</w:t>
                  </w:r>
                </w:p>
              </w:tc>
            </w:tr>
            <w:tr w14:paraId="31F6F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pct"/>
                  <w:vAlign w:val="center"/>
                </w:tcPr>
                <w:p w14:paraId="3D048C91">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DA001</w:t>
                  </w:r>
                  <w:r>
                    <w:rPr>
                      <w:rFonts w:hint="eastAsia" w:cs="Times New Roman"/>
                      <w:b w:val="0"/>
                      <w:bCs/>
                      <w:color w:val="000000" w:themeColor="text1"/>
                      <w:kern w:val="0"/>
                      <w:sz w:val="21"/>
                      <w:szCs w:val="21"/>
                      <w:lang w:eastAsia="zh-CN"/>
                      <w14:textFill>
                        <w14:solidFill>
                          <w14:schemeClr w14:val="tx1"/>
                        </w14:solidFill>
                      </w14:textFill>
                    </w:rPr>
                    <w:t>锅炉</w:t>
                  </w:r>
                  <w:r>
                    <w:rPr>
                      <w:rFonts w:hint="default" w:ascii="Times New Roman" w:hAnsi="Times New Roman" w:eastAsia="宋体" w:cs="Times New Roman"/>
                      <w:b w:val="0"/>
                      <w:bCs/>
                      <w:color w:val="000000" w:themeColor="text1"/>
                      <w:kern w:val="0"/>
                      <w:sz w:val="21"/>
                      <w:szCs w:val="21"/>
                      <w14:textFill>
                        <w14:solidFill>
                          <w14:schemeClr w14:val="tx1"/>
                        </w14:solidFill>
                      </w14:textFill>
                    </w:rPr>
                    <w:t>废气排放口</w:t>
                  </w:r>
                </w:p>
              </w:tc>
              <w:tc>
                <w:tcPr>
                  <w:tcW w:w="1784" w:type="pct"/>
                  <w:vAlign w:val="center"/>
                </w:tcPr>
                <w:p w14:paraId="49880865">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东经10</w:t>
                  </w:r>
                  <w:r>
                    <w:rPr>
                      <w:rFonts w:hint="default" w:ascii="Times New Roman" w:hAnsi="Times New Roman" w:cs="Times New Roman"/>
                      <w:b w:val="0"/>
                      <w:bCs/>
                      <w:color w:val="000000" w:themeColor="text1"/>
                      <w:kern w:val="0"/>
                      <w:sz w:val="21"/>
                      <w:szCs w:val="21"/>
                      <w:lang w:val="en-US" w:eastAsia="zh-CN"/>
                      <w14:textFill>
                        <w14:solidFill>
                          <w14:schemeClr w14:val="tx1"/>
                        </w14:solidFill>
                      </w14:textFill>
                    </w:rPr>
                    <w:t>2</w:t>
                  </w:r>
                  <w:r>
                    <w:rPr>
                      <w:rFonts w:hint="default" w:ascii="Times New Roman" w:hAnsi="Times New Roman" w:eastAsia="宋体" w:cs="Times New Roman"/>
                      <w:b w:val="0"/>
                      <w:bCs/>
                      <w:color w:val="000000" w:themeColor="text1"/>
                      <w:kern w:val="0"/>
                      <w:sz w:val="21"/>
                      <w:szCs w:val="21"/>
                      <w14:textFill>
                        <w14:solidFill>
                          <w14:schemeClr w14:val="tx1"/>
                        </w14:solidFill>
                      </w14:textFill>
                    </w:rPr>
                    <w:t>°</w:t>
                  </w:r>
                  <w:r>
                    <w:rPr>
                      <w:rFonts w:hint="eastAsia" w:cs="Times New Roman"/>
                      <w:b w:val="0"/>
                      <w:bCs/>
                      <w:color w:val="000000" w:themeColor="text1"/>
                      <w:kern w:val="0"/>
                      <w:sz w:val="21"/>
                      <w:szCs w:val="21"/>
                      <w:lang w:val="en-US" w:eastAsia="zh-CN"/>
                      <w14:textFill>
                        <w14:solidFill>
                          <w14:schemeClr w14:val="tx1"/>
                        </w14:solidFill>
                      </w14:textFill>
                    </w:rPr>
                    <w:t>26</w:t>
                  </w:r>
                  <w:r>
                    <w:rPr>
                      <w:rFonts w:hint="default" w:ascii="Times New Roman" w:hAnsi="Times New Roman" w:eastAsia="宋体" w:cs="Times New Roman"/>
                      <w:b w:val="0"/>
                      <w:bCs/>
                      <w:color w:val="000000" w:themeColor="text1"/>
                      <w:kern w:val="0"/>
                      <w:sz w:val="21"/>
                      <w:szCs w:val="21"/>
                      <w14:textFill>
                        <w14:solidFill>
                          <w14:schemeClr w14:val="tx1"/>
                        </w14:solidFill>
                      </w14:textFill>
                    </w:rPr>
                    <w:t>'</w:t>
                  </w:r>
                  <w:r>
                    <w:rPr>
                      <w:rFonts w:hint="eastAsia" w:cs="Times New Roman"/>
                      <w:b w:val="0"/>
                      <w:bCs/>
                      <w:color w:val="000000" w:themeColor="text1"/>
                      <w:kern w:val="0"/>
                      <w:sz w:val="21"/>
                      <w:szCs w:val="21"/>
                      <w:lang w:val="en-US" w:eastAsia="zh-CN"/>
                      <w14:textFill>
                        <w14:solidFill>
                          <w14:schemeClr w14:val="tx1"/>
                        </w14:solidFill>
                      </w14:textFill>
                    </w:rPr>
                    <w:t>22.276</w:t>
                  </w:r>
                  <w:r>
                    <w:rPr>
                      <w:rFonts w:hint="default" w:ascii="Times New Roman" w:hAnsi="Times New Roman" w:eastAsia="宋体" w:cs="Times New Roman"/>
                      <w:b w:val="0"/>
                      <w:bCs/>
                      <w:color w:val="000000" w:themeColor="text1"/>
                      <w:kern w:val="0"/>
                      <w:sz w:val="21"/>
                      <w:szCs w:val="21"/>
                      <w14:textFill>
                        <w14:solidFill>
                          <w14:schemeClr w14:val="tx1"/>
                        </w14:solidFill>
                      </w14:textFill>
                    </w:rPr>
                    <w:t>″、北纬24°</w:t>
                  </w:r>
                  <w: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t>1</w:t>
                  </w:r>
                  <w:r>
                    <w:rPr>
                      <w:rFonts w:hint="eastAsia" w:cs="Times New Roman"/>
                      <w:b w:val="0"/>
                      <w:bCs/>
                      <w:color w:val="000000" w:themeColor="text1"/>
                      <w:kern w:val="0"/>
                      <w:sz w:val="21"/>
                      <w:szCs w:val="21"/>
                      <w:lang w:val="en-US" w:eastAsia="zh-CN"/>
                      <w14:textFill>
                        <w14:solidFill>
                          <w14:schemeClr w14:val="tx1"/>
                        </w14:solidFill>
                      </w14:textFill>
                    </w:rPr>
                    <w:t>1</w:t>
                  </w:r>
                  <w:r>
                    <w:rPr>
                      <w:rFonts w:hint="default" w:ascii="Times New Roman" w:hAnsi="Times New Roman" w:eastAsia="宋体" w:cs="Times New Roman"/>
                      <w:b w:val="0"/>
                      <w:bCs/>
                      <w:color w:val="000000" w:themeColor="text1"/>
                      <w:kern w:val="0"/>
                      <w:sz w:val="21"/>
                      <w:szCs w:val="21"/>
                      <w14:textFill>
                        <w14:solidFill>
                          <w14:schemeClr w14:val="tx1"/>
                        </w14:solidFill>
                      </w14:textFill>
                    </w:rPr>
                    <w:t>'</w:t>
                  </w:r>
                  <w:r>
                    <w:rPr>
                      <w:rFonts w:hint="eastAsia" w:cs="Times New Roman"/>
                      <w:b w:val="0"/>
                      <w:bCs/>
                      <w:color w:val="000000" w:themeColor="text1"/>
                      <w:kern w:val="0"/>
                      <w:sz w:val="21"/>
                      <w:szCs w:val="21"/>
                      <w:lang w:val="en-US" w:eastAsia="zh-CN"/>
                      <w14:textFill>
                        <w14:solidFill>
                          <w14:schemeClr w14:val="tx1"/>
                        </w14:solidFill>
                      </w14:textFill>
                    </w:rPr>
                    <w:t>4.464</w:t>
                  </w:r>
                  <w:r>
                    <w:rPr>
                      <w:rFonts w:hint="default" w:ascii="Times New Roman" w:hAnsi="Times New Roman" w:eastAsia="宋体" w:cs="Times New Roman"/>
                      <w:b w:val="0"/>
                      <w:bCs/>
                      <w:color w:val="000000" w:themeColor="text1"/>
                      <w:kern w:val="0"/>
                      <w:sz w:val="21"/>
                      <w:szCs w:val="21"/>
                      <w14:textFill>
                        <w14:solidFill>
                          <w14:schemeClr w14:val="tx1"/>
                        </w14:solidFill>
                      </w14:textFill>
                    </w:rPr>
                    <w:t>″</w:t>
                  </w:r>
                </w:p>
              </w:tc>
              <w:tc>
                <w:tcPr>
                  <w:tcW w:w="585" w:type="pct"/>
                  <w:vAlign w:val="center"/>
                </w:tcPr>
                <w:p w14:paraId="705E98C8">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30</w:t>
                  </w:r>
                </w:p>
              </w:tc>
              <w:tc>
                <w:tcPr>
                  <w:tcW w:w="606" w:type="pct"/>
                  <w:vAlign w:val="center"/>
                </w:tcPr>
                <w:p w14:paraId="32679069">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0.35</w:t>
                  </w:r>
                </w:p>
              </w:tc>
              <w:tc>
                <w:tcPr>
                  <w:tcW w:w="405" w:type="pct"/>
                  <w:vAlign w:val="center"/>
                </w:tcPr>
                <w:p w14:paraId="664C5E8D">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100</w:t>
                  </w:r>
                </w:p>
              </w:tc>
              <w:tc>
                <w:tcPr>
                  <w:tcW w:w="672" w:type="pct"/>
                  <w:vAlign w:val="center"/>
                </w:tcPr>
                <w:p w14:paraId="452C47A8">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一般排放口</w:t>
                  </w:r>
                </w:p>
              </w:tc>
            </w:tr>
            <w:tr w14:paraId="4E819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pct"/>
                  <w:vAlign w:val="center"/>
                </w:tcPr>
                <w:p w14:paraId="4F9C5D8A">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DA00</w:t>
                  </w: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2有机废气</w:t>
                  </w:r>
                  <w:r>
                    <w:rPr>
                      <w:rFonts w:hint="default" w:ascii="Times New Roman" w:hAnsi="Times New Roman" w:eastAsia="宋体" w:cs="Times New Roman"/>
                      <w:b w:val="0"/>
                      <w:bCs/>
                      <w:color w:val="000000" w:themeColor="text1"/>
                      <w:kern w:val="0"/>
                      <w:sz w:val="21"/>
                      <w:szCs w:val="21"/>
                      <w14:textFill>
                        <w14:solidFill>
                          <w14:schemeClr w14:val="tx1"/>
                        </w14:solidFill>
                      </w14:textFill>
                    </w:rPr>
                    <w:t>废气排放口</w:t>
                  </w:r>
                </w:p>
              </w:tc>
              <w:tc>
                <w:tcPr>
                  <w:tcW w:w="1784" w:type="pct"/>
                  <w:vAlign w:val="center"/>
                </w:tcPr>
                <w:p w14:paraId="2C0EDC54">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东经10</w:t>
                  </w:r>
                  <w:r>
                    <w:rPr>
                      <w:rFonts w:hint="default" w:ascii="Times New Roman" w:hAnsi="Times New Roman" w:cs="Times New Roman"/>
                      <w:b w:val="0"/>
                      <w:bCs/>
                      <w:color w:val="000000" w:themeColor="text1"/>
                      <w:kern w:val="0"/>
                      <w:sz w:val="21"/>
                      <w:szCs w:val="21"/>
                      <w:lang w:val="en-US" w:eastAsia="zh-CN"/>
                      <w14:textFill>
                        <w14:solidFill>
                          <w14:schemeClr w14:val="tx1"/>
                        </w14:solidFill>
                      </w14:textFill>
                    </w:rPr>
                    <w:t>2</w:t>
                  </w:r>
                  <w:r>
                    <w:rPr>
                      <w:rFonts w:hint="default" w:ascii="Times New Roman" w:hAnsi="Times New Roman" w:eastAsia="宋体" w:cs="Times New Roman"/>
                      <w:b w:val="0"/>
                      <w:bCs/>
                      <w:color w:val="000000" w:themeColor="text1"/>
                      <w:kern w:val="0"/>
                      <w:sz w:val="21"/>
                      <w:szCs w:val="21"/>
                      <w14:textFill>
                        <w14:solidFill>
                          <w14:schemeClr w14:val="tx1"/>
                        </w14:solidFill>
                      </w14:textFill>
                    </w:rPr>
                    <w:t>°</w:t>
                  </w:r>
                  <w:r>
                    <w:rPr>
                      <w:rFonts w:hint="eastAsia" w:cs="Times New Roman"/>
                      <w:b w:val="0"/>
                      <w:bCs/>
                      <w:color w:val="000000" w:themeColor="text1"/>
                      <w:kern w:val="0"/>
                      <w:sz w:val="21"/>
                      <w:szCs w:val="21"/>
                      <w:lang w:val="en-US" w:eastAsia="zh-CN"/>
                      <w14:textFill>
                        <w14:solidFill>
                          <w14:schemeClr w14:val="tx1"/>
                        </w14:solidFill>
                      </w14:textFill>
                    </w:rPr>
                    <w:t>26</w:t>
                  </w:r>
                  <w:r>
                    <w:rPr>
                      <w:rFonts w:hint="default" w:ascii="Times New Roman" w:hAnsi="Times New Roman" w:eastAsia="宋体" w:cs="Times New Roman"/>
                      <w:b w:val="0"/>
                      <w:bCs/>
                      <w:color w:val="000000" w:themeColor="text1"/>
                      <w:kern w:val="0"/>
                      <w:sz w:val="21"/>
                      <w:szCs w:val="21"/>
                      <w14:textFill>
                        <w14:solidFill>
                          <w14:schemeClr w14:val="tx1"/>
                        </w14:solidFill>
                      </w14:textFill>
                    </w:rPr>
                    <w:t>'</w:t>
                  </w:r>
                  <w:r>
                    <w:rPr>
                      <w:rFonts w:hint="eastAsia" w:cs="Times New Roman"/>
                      <w:b w:val="0"/>
                      <w:bCs/>
                      <w:color w:val="000000" w:themeColor="text1"/>
                      <w:kern w:val="0"/>
                      <w:sz w:val="21"/>
                      <w:szCs w:val="21"/>
                      <w:lang w:val="en-US" w:eastAsia="zh-CN"/>
                      <w14:textFill>
                        <w14:solidFill>
                          <w14:schemeClr w14:val="tx1"/>
                        </w14:solidFill>
                      </w14:textFill>
                    </w:rPr>
                    <w:t>21.074</w:t>
                  </w:r>
                  <w:r>
                    <w:rPr>
                      <w:rFonts w:hint="default" w:ascii="Times New Roman" w:hAnsi="Times New Roman" w:eastAsia="宋体" w:cs="Times New Roman"/>
                      <w:b w:val="0"/>
                      <w:bCs/>
                      <w:color w:val="000000" w:themeColor="text1"/>
                      <w:kern w:val="0"/>
                      <w:sz w:val="21"/>
                      <w:szCs w:val="21"/>
                      <w14:textFill>
                        <w14:solidFill>
                          <w14:schemeClr w14:val="tx1"/>
                        </w14:solidFill>
                      </w14:textFill>
                    </w:rPr>
                    <w:t>″、北纬24°</w:t>
                  </w:r>
                  <w: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t>1</w:t>
                  </w:r>
                  <w:r>
                    <w:rPr>
                      <w:rFonts w:hint="eastAsia" w:cs="Times New Roman"/>
                      <w:b w:val="0"/>
                      <w:bCs/>
                      <w:color w:val="000000" w:themeColor="text1"/>
                      <w:kern w:val="0"/>
                      <w:sz w:val="21"/>
                      <w:szCs w:val="21"/>
                      <w:lang w:val="en-US" w:eastAsia="zh-CN"/>
                      <w14:textFill>
                        <w14:solidFill>
                          <w14:schemeClr w14:val="tx1"/>
                        </w14:solidFill>
                      </w14:textFill>
                    </w:rPr>
                    <w:t>1</w:t>
                  </w:r>
                  <w:r>
                    <w:rPr>
                      <w:rFonts w:hint="default" w:ascii="Times New Roman" w:hAnsi="Times New Roman" w:eastAsia="宋体" w:cs="Times New Roman"/>
                      <w:b w:val="0"/>
                      <w:bCs/>
                      <w:color w:val="000000" w:themeColor="text1"/>
                      <w:kern w:val="0"/>
                      <w:sz w:val="21"/>
                      <w:szCs w:val="21"/>
                      <w14:textFill>
                        <w14:solidFill>
                          <w14:schemeClr w14:val="tx1"/>
                        </w14:solidFill>
                      </w14:textFill>
                    </w:rPr>
                    <w:t>'</w:t>
                  </w:r>
                  <w:r>
                    <w:rPr>
                      <w:rFonts w:hint="eastAsia" w:cs="Times New Roman"/>
                      <w:b w:val="0"/>
                      <w:bCs/>
                      <w:color w:val="000000" w:themeColor="text1"/>
                      <w:kern w:val="0"/>
                      <w:sz w:val="21"/>
                      <w:szCs w:val="21"/>
                      <w:lang w:val="en-US" w:eastAsia="zh-CN"/>
                      <w14:textFill>
                        <w14:solidFill>
                          <w14:schemeClr w14:val="tx1"/>
                        </w14:solidFill>
                      </w14:textFill>
                    </w:rPr>
                    <w:t>4.402</w:t>
                  </w:r>
                  <w:r>
                    <w:rPr>
                      <w:rFonts w:hint="default" w:ascii="Times New Roman" w:hAnsi="Times New Roman" w:eastAsia="宋体" w:cs="Times New Roman"/>
                      <w:b w:val="0"/>
                      <w:bCs/>
                      <w:color w:val="000000" w:themeColor="text1"/>
                      <w:kern w:val="0"/>
                      <w:sz w:val="21"/>
                      <w:szCs w:val="21"/>
                      <w14:textFill>
                        <w14:solidFill>
                          <w14:schemeClr w14:val="tx1"/>
                        </w14:solidFill>
                      </w14:textFill>
                    </w:rPr>
                    <w:t>″</w:t>
                  </w:r>
                </w:p>
              </w:tc>
              <w:tc>
                <w:tcPr>
                  <w:tcW w:w="585" w:type="pct"/>
                  <w:vAlign w:val="center"/>
                </w:tcPr>
                <w:p w14:paraId="25832E61">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15</w:t>
                  </w:r>
                </w:p>
              </w:tc>
              <w:tc>
                <w:tcPr>
                  <w:tcW w:w="606" w:type="pct"/>
                  <w:vAlign w:val="center"/>
                </w:tcPr>
                <w:p w14:paraId="30553545">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0.5</w:t>
                  </w:r>
                </w:p>
              </w:tc>
              <w:tc>
                <w:tcPr>
                  <w:tcW w:w="405" w:type="pct"/>
                  <w:vAlign w:val="center"/>
                </w:tcPr>
                <w:p w14:paraId="0C6DBCA6">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60</w:t>
                  </w:r>
                </w:p>
              </w:tc>
              <w:tc>
                <w:tcPr>
                  <w:tcW w:w="672" w:type="pct"/>
                  <w:vAlign w:val="center"/>
                </w:tcPr>
                <w:p w14:paraId="3A57BA8E">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一般排放口</w:t>
                  </w:r>
                </w:p>
              </w:tc>
            </w:tr>
          </w:tbl>
          <w:p w14:paraId="18D3D46B">
            <w:pPr>
              <w:pStyle w:val="18"/>
              <w:keepNext w:val="0"/>
              <w:keepLines/>
              <w:pageBreakBefore w:val="0"/>
              <w:kinsoku/>
              <w:overflowPunct/>
              <w:bidi w:val="0"/>
              <w:adjustRightInd/>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w:t>
            </w:r>
            <w:r>
              <w:rPr>
                <w:rFonts w:hint="default" w:ascii="Times New Roman" w:hAnsi="Times New Roman" w:cs="Times New Roman"/>
                <w:b/>
                <w:bCs/>
                <w:color w:val="000000" w:themeColor="text1"/>
                <w:lang w:val="en-US" w:eastAsia="zh-CN"/>
                <w14:textFill>
                  <w14:solidFill>
                    <w14:schemeClr w14:val="tx1"/>
                  </w14:solidFill>
                </w14:textFill>
              </w:rPr>
              <w:t>3</w:t>
            </w:r>
            <w:r>
              <w:rPr>
                <w:rFonts w:hint="default" w:ascii="Times New Roman" w:hAnsi="Times New Roman" w:eastAsia="宋体" w:cs="Times New Roman"/>
                <w:b/>
                <w:bCs/>
                <w:color w:val="000000" w:themeColor="text1"/>
                <w14:textFill>
                  <w14:solidFill>
                    <w14:schemeClr w14:val="tx1"/>
                  </w14:solidFill>
                </w14:textFill>
              </w:rPr>
              <w:t>）大气环境影响分析</w:t>
            </w:r>
          </w:p>
          <w:p w14:paraId="24F30D1E">
            <w:pPr>
              <w:pStyle w:val="18"/>
              <w:keepNext w:val="0"/>
              <w:keepLines/>
              <w:pageBreakBefore w:val="0"/>
              <w:kinsoku/>
              <w:overflowPunct/>
              <w:bidi w:val="0"/>
              <w:adjustRightInd/>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1）</w:t>
            </w:r>
            <w:r>
              <w:rPr>
                <w:rFonts w:hint="default" w:ascii="Times New Roman" w:hAnsi="Times New Roman" w:cs="Times New Roman"/>
                <w:b/>
                <w:bCs/>
                <w:color w:val="000000" w:themeColor="text1"/>
                <w:lang w:eastAsia="zh-CN"/>
                <w14:textFill>
                  <w14:solidFill>
                    <w14:schemeClr w14:val="tx1"/>
                  </w14:solidFill>
                </w14:textFill>
              </w:rPr>
              <w:t>有组织</w:t>
            </w:r>
            <w:r>
              <w:rPr>
                <w:rFonts w:hint="default" w:ascii="Times New Roman" w:hAnsi="Times New Roman" w:eastAsia="宋体" w:cs="Times New Roman"/>
                <w:b/>
                <w:bCs/>
                <w:color w:val="000000" w:themeColor="text1"/>
                <w14:textFill>
                  <w14:solidFill>
                    <w14:schemeClr w14:val="tx1"/>
                  </w14:solidFill>
                </w14:textFill>
              </w:rPr>
              <w:t>废气</w:t>
            </w:r>
          </w:p>
          <w:p w14:paraId="2C2AF0FE">
            <w:pPr>
              <w:pStyle w:val="18"/>
              <w:keepNext w:val="0"/>
              <w:keepLines/>
              <w:pageBreakBefore w:val="0"/>
              <w:kinsoku/>
              <w:overflowPunct/>
              <w:bidi w:val="0"/>
              <w:adjustRightInd/>
              <w:snapToGrid/>
              <w:spacing w:line="360" w:lineRule="auto"/>
              <w:ind w:firstLine="482" w:firstLineChars="200"/>
              <w:jc w:val="left"/>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①正常排放</w:t>
            </w:r>
          </w:p>
          <w:p w14:paraId="18614061">
            <w:pPr>
              <w:pStyle w:val="51"/>
              <w:keepNext w:val="0"/>
              <w:keepLines w:val="0"/>
              <w:pageBreakBefore w:val="0"/>
              <w:widowControl w:val="0"/>
              <w:kinsoku/>
              <w:wordWrap w:val="0"/>
              <w:overflowPunct/>
              <w:topLinePunct/>
              <w:autoSpaceDE/>
              <w:autoSpaceDN/>
              <w:bidi w:val="0"/>
              <w:ind w:left="0" w:leftChars="0" w:right="0" w:firstLine="48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锅炉废气经“低氮燃烧+旋风除尘+布袋除尘”设施处理后通过30m高排气筒DA001排放，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通过处理后排放的</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颗粒物、二氧化硫</w:t>
            </w:r>
            <w:r>
              <w:rPr>
                <w:rFonts w:hint="eastAsia" w:eastAsia="宋体"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NOx满足</w:t>
            </w:r>
            <w:r>
              <w:rPr>
                <w:rFonts w:hint="default" w:ascii="Times New Roman" w:hAnsi="Times New Roman" w:cs="Times New Roman"/>
                <w:color w:val="000000" w:themeColor="text1"/>
                <w:sz w:val="24"/>
                <w14:textFill>
                  <w14:solidFill>
                    <w14:schemeClr w14:val="tx1"/>
                  </w14:solidFill>
                </w14:textFill>
              </w:rPr>
              <w:t>《锅炉大气污染物排放标准》（GB13271-2014）表2</w:t>
            </w:r>
            <w:r>
              <w:rPr>
                <w:rFonts w:hint="eastAsia" w:cs="Times New Roman"/>
                <w:color w:val="000000" w:themeColor="text1"/>
                <w:sz w:val="24"/>
                <w:lang w:eastAsia="zh-CN"/>
                <w14:textFill>
                  <w14:solidFill>
                    <w14:schemeClr w14:val="tx1"/>
                  </w14:solidFill>
                </w14:textFill>
              </w:rPr>
              <w:t>燃气</w:t>
            </w:r>
            <w:r>
              <w:rPr>
                <w:rFonts w:hint="default" w:ascii="Times New Roman" w:hAnsi="Times New Roman" w:cs="Times New Roman"/>
                <w:color w:val="000000" w:themeColor="text1"/>
                <w:sz w:val="24"/>
                <w14:textFill>
                  <w14:solidFill>
                    <w14:schemeClr w14:val="tx1"/>
                  </w14:solidFill>
                </w14:textFill>
              </w:rPr>
              <w:t>锅炉大气污染物排放浓度限值</w:t>
            </w:r>
            <w:r>
              <w:rPr>
                <w:rFonts w:hint="default" w:ascii="Times New Roman" w:hAnsi="Times New Roman" w:eastAsia="宋体" w:cs="Times New Roman"/>
                <w:color w:val="000000" w:themeColor="text1"/>
                <w:lang w:val="en-US" w:eastAsia="zh-CN"/>
                <w14:textFill>
                  <w14:solidFill>
                    <w14:schemeClr w14:val="tx1"/>
                  </w14:solidFill>
                </w14:textFill>
              </w:rPr>
              <w:t>，对外环境影响较小。</w:t>
            </w:r>
          </w:p>
          <w:p w14:paraId="0E97940B">
            <w:pPr>
              <w:pStyle w:val="51"/>
              <w:keepNext w:val="0"/>
              <w:keepLines w:val="0"/>
              <w:pageBreakBefore w:val="0"/>
              <w:widowControl w:val="0"/>
              <w:kinsoku/>
              <w:wordWrap w:val="0"/>
              <w:overflowPunct/>
              <w:topLinePunct/>
              <w:autoSpaceDE/>
              <w:autoSpaceDN/>
              <w:bidi w:val="0"/>
              <w:ind w:left="0" w:leftChars="0" w:right="0" w:firstLine="48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有机废气经收集后进入“两级活性炭吸附”处理后通过15m高排气筒DA002排放，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通过处理后排放的</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非甲烷总烃</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、甲苯、乙苯、苯乙烯满足</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《合成树脂工业污染物排放标准》（GB31572-2015含2024年修改单）</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中标准限值。</w:t>
            </w:r>
          </w:p>
          <w:p w14:paraId="77A69273">
            <w:pPr>
              <w:adjustRightInd w:val="0"/>
              <w:snapToGrid w:val="0"/>
              <w:spacing w:line="360" w:lineRule="auto"/>
              <w:ind w:firstLine="482" w:firstLineChars="200"/>
              <w:rPr>
                <w:rFonts w:hint="eastAsia" w:eastAsia="宋体"/>
                <w:b/>
                <w:bCs/>
                <w:color w:val="000000" w:themeColor="text1"/>
                <w:kern w:val="0"/>
                <w:sz w:val="24"/>
                <w:lang w:eastAsia="zh-CN"/>
                <w14:textFill>
                  <w14:solidFill>
                    <w14:schemeClr w14:val="tx1"/>
                  </w14:solidFill>
                </w14:textFill>
              </w:rPr>
            </w:pPr>
            <w:r>
              <w:rPr>
                <w:b/>
                <w:bCs/>
                <w:color w:val="000000" w:themeColor="text1"/>
                <w:kern w:val="0"/>
                <w:sz w:val="24"/>
                <w14:textFill>
                  <w14:solidFill>
                    <w14:schemeClr w14:val="tx1"/>
                  </w14:solidFill>
                </w14:textFill>
              </w:rPr>
              <w:t>单位产品非甲烷总烃排放量达标情况分析</w:t>
            </w:r>
            <w:r>
              <w:rPr>
                <w:rFonts w:hint="eastAsia"/>
                <w:b/>
                <w:bCs/>
                <w:color w:val="000000" w:themeColor="text1"/>
                <w:kern w:val="0"/>
                <w:sz w:val="24"/>
                <w:lang w:eastAsia="zh-CN"/>
                <w14:textFill>
                  <w14:solidFill>
                    <w14:schemeClr w14:val="tx1"/>
                  </w14:solidFill>
                </w14:textFill>
              </w:rPr>
              <w:t>：</w:t>
            </w:r>
          </w:p>
          <w:p w14:paraId="0CF7CDF5">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单位产品非甲烷总烃含量根据《合成树脂工业污染物排放标准》（GB31572-2015）附录B公式计算：</w:t>
            </w:r>
          </w:p>
          <w:p w14:paraId="215A0F44">
            <w:pPr>
              <w:adjustRightInd w:val="0"/>
              <w:snapToGrid w:val="0"/>
              <w:spacing w:line="360" w:lineRule="auto"/>
              <w:jc w:val="center"/>
              <w:rPr>
                <w:color w:val="000000" w:themeColor="text1"/>
                <w:kern w:val="0"/>
                <w:sz w:val="24"/>
                <w14:textFill>
                  <w14:solidFill>
                    <w14:schemeClr w14:val="tx1"/>
                  </w14:solidFill>
                </w14:textFill>
              </w:rPr>
            </w:pPr>
            <w:r>
              <w:rPr>
                <w:rFonts w:hint="eastAsia"/>
                <w:color w:val="000000" w:themeColor="text1"/>
                <w:kern w:val="0"/>
                <w:position w:val="-32"/>
                <w:sz w:val="24"/>
                <w14:textFill>
                  <w14:solidFill>
                    <w14:schemeClr w14:val="tx1"/>
                  </w14:solidFill>
                </w14:textFill>
              </w:rPr>
              <w:object>
                <v:shape id="_x0000_i1034" o:spt="75" type="#_x0000_t75" style="height:36pt;width:87.9pt;" o:ole="t" filled="f" o:preferrelative="t" stroked="f" coordsize="21600,21600">
                  <v:path/>
                  <v:fill on="f" focussize="0,0"/>
                  <v:stroke on="f" joinstyle="miter"/>
                  <v:imagedata r:id="rId35" o:title=""/>
                  <o:lock v:ext="edit" aspectratio="t"/>
                  <w10:wrap type="none"/>
                  <w10:anchorlock/>
                </v:shape>
                <o:OLEObject Type="Embed" ProgID="Equation.KSEE3" ShapeID="_x0000_i1034" DrawAspect="Content" ObjectID="_1468075734" r:id="rId34">
                  <o:LockedField>false</o:LockedField>
                </o:OLEObject>
              </w:object>
            </w:r>
          </w:p>
          <w:p w14:paraId="58AEB5AD">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式中：</w:t>
            </w:r>
            <w:r>
              <w:rPr>
                <w:i/>
                <w:iCs/>
                <w:color w:val="000000" w:themeColor="text1"/>
                <w:kern w:val="0"/>
                <w:sz w:val="24"/>
                <w14:textFill>
                  <w14:solidFill>
                    <w14:schemeClr w14:val="tx1"/>
                  </w14:solidFill>
                </w14:textFill>
              </w:rPr>
              <w:t>A</w:t>
            </w:r>
            <w:r>
              <w:rPr>
                <w:color w:val="000000" w:themeColor="text1"/>
                <w:kern w:val="0"/>
                <w:sz w:val="24"/>
                <w14:textFill>
                  <w14:solidFill>
                    <w14:schemeClr w14:val="tx1"/>
                  </w14:solidFill>
                </w14:textFill>
              </w:rPr>
              <w:t>—单位合成树脂产品非甲烷总烃排放量，kg/t-产品；</w:t>
            </w:r>
          </w:p>
          <w:p w14:paraId="3B37E211">
            <w:pPr>
              <w:adjustRightInd w:val="0"/>
              <w:snapToGrid w:val="0"/>
              <w:spacing w:line="360" w:lineRule="auto"/>
              <w:ind w:firstLine="1200" w:firstLineChars="5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C</w:t>
            </w:r>
            <w:r>
              <w:rPr>
                <w:color w:val="000000" w:themeColor="text1"/>
                <w:kern w:val="0"/>
                <w:sz w:val="24"/>
                <w:vertAlign w:val="subscript"/>
                <w14:textFill>
                  <w14:solidFill>
                    <w14:schemeClr w14:val="tx1"/>
                  </w14:solidFill>
                </w14:textFill>
              </w:rPr>
              <w:t>实</w:t>
            </w:r>
            <w:r>
              <w:rPr>
                <w:color w:val="000000" w:themeColor="text1"/>
                <w:kern w:val="0"/>
                <w:sz w:val="24"/>
                <w14:textFill>
                  <w14:solidFill>
                    <w14:schemeClr w14:val="tx1"/>
                  </w14:solidFill>
                </w14:textFill>
              </w:rPr>
              <w:t>—排气筒中非甲烷总烃实测浓度，mg/m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；DA00</w:t>
            </w:r>
            <w:r>
              <w:rPr>
                <w:rFonts w:hint="eastAsia"/>
                <w:color w:val="000000" w:themeColor="text1"/>
                <w:kern w:val="0"/>
                <w:sz w:val="24"/>
                <w:lang w:val="en-US" w:eastAsia="zh-CN"/>
                <w14:textFill>
                  <w14:solidFill>
                    <w14:schemeClr w14:val="tx1"/>
                  </w14:solidFill>
                </w14:textFill>
              </w:rPr>
              <w:t>2</w:t>
            </w:r>
            <w:r>
              <w:rPr>
                <w:color w:val="000000" w:themeColor="text1"/>
                <w:kern w:val="0"/>
                <w:sz w:val="24"/>
                <w14:textFill>
                  <w14:solidFill>
                    <w14:schemeClr w14:val="tx1"/>
                  </w14:solidFill>
                </w14:textFill>
              </w:rPr>
              <w:t>排气筒中非甲烷总烃浓度取</w:t>
            </w:r>
            <w:r>
              <w:rPr>
                <w:rFonts w:hint="eastAsia"/>
                <w:color w:val="000000" w:themeColor="text1"/>
                <w:kern w:val="0"/>
                <w:sz w:val="24"/>
                <w:lang w:val="en-US" w:eastAsia="zh-CN"/>
                <w14:textFill>
                  <w14:solidFill>
                    <w14:schemeClr w14:val="tx1"/>
                  </w14:solidFill>
                </w14:textFill>
              </w:rPr>
              <w:t>2.429</w:t>
            </w:r>
            <w:r>
              <w:rPr>
                <w:color w:val="000000" w:themeColor="text1"/>
                <w:kern w:val="0"/>
                <w:sz w:val="24"/>
                <w14:textFill>
                  <w14:solidFill>
                    <w14:schemeClr w14:val="tx1"/>
                  </w14:solidFill>
                </w14:textFill>
              </w:rPr>
              <w:t>mg/m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w:t>
            </w:r>
          </w:p>
          <w:p w14:paraId="61BD7C50">
            <w:pPr>
              <w:adjustRightInd w:val="0"/>
              <w:snapToGrid w:val="0"/>
              <w:spacing w:line="360" w:lineRule="auto"/>
              <w:ind w:firstLine="960" w:firstLineChars="4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Q—排气筒单位</w:t>
            </w:r>
            <w:r>
              <w:rPr>
                <w:rFonts w:hint="eastAsia"/>
                <w:color w:val="000000" w:themeColor="text1"/>
                <w:kern w:val="0"/>
                <w:sz w:val="24"/>
                <w14:textFill>
                  <w14:solidFill>
                    <w14:schemeClr w14:val="tx1"/>
                  </w14:solidFill>
                </w14:textFill>
              </w:rPr>
              <w:t>时间</w:t>
            </w:r>
            <w:r>
              <w:rPr>
                <w:color w:val="000000" w:themeColor="text1"/>
                <w:kern w:val="0"/>
                <w:sz w:val="24"/>
                <w14:textFill>
                  <w14:solidFill>
                    <w14:schemeClr w14:val="tx1"/>
                  </w14:solidFill>
                </w14:textFill>
              </w:rPr>
              <w:t>内排气量m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/h；DA00</w:t>
            </w:r>
            <w:r>
              <w:rPr>
                <w:rFonts w:hint="eastAsia"/>
                <w:color w:val="000000" w:themeColor="text1"/>
                <w:kern w:val="0"/>
                <w:sz w:val="24"/>
                <w:lang w:val="en-US" w:eastAsia="zh-CN"/>
                <w14:textFill>
                  <w14:solidFill>
                    <w14:schemeClr w14:val="tx1"/>
                  </w14:solidFill>
                </w14:textFill>
              </w:rPr>
              <w:t>2</w:t>
            </w:r>
            <w:r>
              <w:rPr>
                <w:color w:val="000000" w:themeColor="text1"/>
                <w:kern w:val="0"/>
                <w:sz w:val="24"/>
                <w14:textFill>
                  <w14:solidFill>
                    <w14:schemeClr w14:val="tx1"/>
                  </w14:solidFill>
                </w14:textFill>
              </w:rPr>
              <w:t>排气筒风量为</w:t>
            </w:r>
            <w:r>
              <w:rPr>
                <w:rFonts w:hint="eastAsia"/>
                <w:color w:val="000000" w:themeColor="text1"/>
                <w:kern w:val="0"/>
                <w:sz w:val="24"/>
                <w:lang w:val="en-US" w:eastAsia="zh-CN"/>
                <w14:textFill>
                  <w14:solidFill>
                    <w14:schemeClr w14:val="tx1"/>
                  </w14:solidFill>
                </w14:textFill>
              </w:rPr>
              <w:t>70</w:t>
            </w:r>
            <w:r>
              <w:rPr>
                <w:rFonts w:hint="eastAsia"/>
                <w:color w:val="000000" w:themeColor="text1"/>
                <w:kern w:val="0"/>
                <w:sz w:val="24"/>
                <w14:textFill>
                  <w14:solidFill>
                    <w14:schemeClr w14:val="tx1"/>
                  </w14:solidFill>
                </w14:textFill>
              </w:rPr>
              <w:t>00</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/h；</w:t>
            </w:r>
          </w:p>
          <w:p w14:paraId="18083B64">
            <w:pPr>
              <w:pageBreakBefore w:val="0"/>
              <w:numPr>
                <w:ilvl w:val="0"/>
                <w:numId w:val="0"/>
              </w:numPr>
              <w:kinsoku/>
              <w:overflowPunct/>
              <w:topLinePunct w:val="0"/>
              <w:bidi w:val="0"/>
              <w:adjustRightInd w:val="0"/>
              <w:snapToGrid w:val="0"/>
              <w:spacing w:line="360" w:lineRule="auto"/>
              <w:ind w:left="0" w:leftChars="0" w:right="0" w:rightChars="0" w:firstLine="480" w:firstLineChars="200"/>
              <w:textAlignment w:val="baseline"/>
              <w:rPr>
                <w:rFonts w:hint="eastAsia"/>
                <w:color w:val="000000" w:themeColor="text1"/>
                <w:kern w:val="0"/>
                <w:sz w:val="24"/>
                <w:szCs w:val="24"/>
                <w:lang w:val="en-US" w:eastAsia="zh-CN" w:bidi="ar"/>
                <w14:textFill>
                  <w14:solidFill>
                    <w14:schemeClr w14:val="tx1"/>
                  </w14:solidFill>
                </w14:textFill>
              </w:rPr>
            </w:pPr>
            <w:r>
              <w:rPr>
                <w:color w:val="000000" w:themeColor="text1"/>
                <w:kern w:val="0"/>
                <w:sz w:val="24"/>
                <w14:textFill>
                  <w14:solidFill>
                    <w14:schemeClr w14:val="tx1"/>
                  </w14:solidFill>
                </w14:textFill>
              </w:rPr>
              <w:t>T</w:t>
            </w:r>
            <w:r>
              <w:rPr>
                <w:color w:val="000000" w:themeColor="text1"/>
                <w:kern w:val="0"/>
                <w:sz w:val="24"/>
                <w:vertAlign w:val="subscript"/>
                <w14:textFill>
                  <w14:solidFill>
                    <w14:schemeClr w14:val="tx1"/>
                  </w14:solidFill>
                </w14:textFill>
              </w:rPr>
              <w:t>产</w:t>
            </w:r>
            <w:r>
              <w:rPr>
                <w:color w:val="000000" w:themeColor="text1"/>
                <w:kern w:val="0"/>
                <w:sz w:val="24"/>
                <w14:textFill>
                  <w14:solidFill>
                    <w14:schemeClr w14:val="tx1"/>
                  </w14:solidFill>
                </w14:textFill>
              </w:rPr>
              <w:t>—单位时间内合成树脂的产量，t/h；项目年生产</w:t>
            </w:r>
            <w:r>
              <w:rPr>
                <w:rFonts w:hint="eastAsia"/>
                <w:color w:val="000000" w:themeColor="text1"/>
                <w:kern w:val="0"/>
                <w:sz w:val="24"/>
                <w:lang w:val="en-US" w:eastAsia="zh-CN"/>
                <w14:textFill>
                  <w14:solidFill>
                    <w14:schemeClr w14:val="tx1"/>
                  </w14:solidFill>
                </w14:textFill>
              </w:rPr>
              <w:t>2400</w:t>
            </w:r>
            <w:r>
              <w:rPr>
                <w:color w:val="000000" w:themeColor="text1"/>
                <w:kern w:val="0"/>
                <w:sz w:val="24"/>
                <w14:textFill>
                  <w14:solidFill>
                    <w14:schemeClr w14:val="tx1"/>
                  </w14:solidFill>
                </w14:textFill>
              </w:rPr>
              <w:t>h，年产</w:t>
            </w:r>
            <w:r>
              <w:rPr>
                <w:rFonts w:hint="eastAsia"/>
                <w:color w:val="000000" w:themeColor="text1"/>
                <w:kern w:val="0"/>
                <w:sz w:val="24"/>
                <w:lang w:eastAsia="zh-CN"/>
                <w14:textFill>
                  <w14:solidFill>
                    <w14:schemeClr w14:val="tx1"/>
                  </w14:solidFill>
                </w14:textFill>
              </w:rPr>
              <w:t>建筑泡沫板材</w:t>
            </w:r>
            <w:r>
              <w:rPr>
                <w:rFonts w:hint="eastAsia"/>
                <w:color w:val="000000" w:themeColor="text1"/>
                <w:kern w:val="0"/>
                <w:sz w:val="24"/>
                <w:lang w:val="en-US" w:eastAsia="zh-CN"/>
                <w14:textFill>
                  <w14:solidFill>
                    <w14:schemeClr w14:val="tx1"/>
                  </w14:solidFill>
                </w14:textFill>
              </w:rPr>
              <w:t>8万立方米（约150</w:t>
            </w:r>
            <w:r>
              <w:rPr>
                <w:color w:val="000000" w:themeColor="text1"/>
                <w:kern w:val="0"/>
                <w:sz w:val="24"/>
                <w14:textFill>
                  <w14:solidFill>
                    <w14:schemeClr w14:val="tx1"/>
                  </w14:solidFill>
                </w14:textFill>
              </w:rPr>
              <w:t>t</w:t>
            </w:r>
            <w:r>
              <w:rPr>
                <w:rFonts w:hint="eastAsia"/>
                <w:color w:val="000000" w:themeColor="text1"/>
                <w:kern w:val="0"/>
                <w:sz w:val="24"/>
                <w:lang w:val="en-US" w:eastAsia="zh-CN"/>
                <w14:textFill>
                  <w14:solidFill>
                    <w14:schemeClr w14:val="tx1"/>
                  </w14:solidFill>
                </w14:textFill>
              </w:rPr>
              <w:t>）</w:t>
            </w:r>
            <w:r>
              <w:rPr>
                <w:color w:val="000000" w:themeColor="text1"/>
                <w:kern w:val="0"/>
                <w:sz w:val="24"/>
                <w14:textFill>
                  <w14:solidFill>
                    <w14:schemeClr w14:val="tx1"/>
                  </w14:solidFill>
                </w14:textFill>
              </w:rPr>
              <w:t>，即</w:t>
            </w:r>
            <w:r>
              <w:rPr>
                <w:rFonts w:hint="eastAsia"/>
                <w:color w:val="000000" w:themeColor="text1"/>
                <w:kern w:val="0"/>
                <w:sz w:val="24"/>
                <w:lang w:val="en-US" w:eastAsia="zh-CN"/>
                <w14:textFill>
                  <w14:solidFill>
                    <w14:schemeClr w14:val="tx1"/>
                  </w14:solidFill>
                </w14:textFill>
              </w:rPr>
              <w:t>0.0625</w:t>
            </w:r>
            <w:r>
              <w:rPr>
                <w:color w:val="000000" w:themeColor="text1"/>
                <w:kern w:val="0"/>
                <w:sz w:val="24"/>
                <w14:textFill>
                  <w14:solidFill>
                    <w14:schemeClr w14:val="tx1"/>
                  </w14:solidFill>
                </w14:textFill>
              </w:rPr>
              <w:t>t/h；</w:t>
            </w:r>
          </w:p>
          <w:p w14:paraId="7787AEE9">
            <w:pPr>
              <w:pageBreakBefore w:val="0"/>
              <w:numPr>
                <w:ilvl w:val="0"/>
                <w:numId w:val="0"/>
              </w:numPr>
              <w:kinsoku/>
              <w:overflowPunct/>
              <w:topLinePunct w:val="0"/>
              <w:bidi w:val="0"/>
              <w:adjustRightInd w:val="0"/>
              <w:snapToGrid w:val="0"/>
              <w:spacing w:line="360" w:lineRule="auto"/>
              <w:ind w:left="0" w:leftChars="0" w:right="0" w:rightChars="0" w:firstLine="480" w:firstLineChars="200"/>
              <w:textAlignment w:val="baseline"/>
              <w:rPr>
                <w:rFonts w:hint="default" w:ascii="Times New Roman" w:hAnsi="Times New Roman" w:cs="Times New Roman"/>
                <w:b/>
                <w:bCs/>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综上，项目</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单位产品非甲烷总烃排放量</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0.2</w:t>
            </w:r>
            <w:r>
              <w:rPr>
                <w:rFonts w:hint="eastAsia" w:cs="Times New Roman"/>
                <w:color w:val="000000" w:themeColor="text1"/>
                <w:kern w:val="0"/>
                <w:sz w:val="24"/>
                <w:lang w:val="en-US" w:eastAsia="zh-CN"/>
                <w14:textFill>
                  <w14:solidFill>
                    <w14:schemeClr w14:val="tx1"/>
                  </w14:solidFill>
                </w14:textFill>
              </w:rPr>
              <w:t>72</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kg/t-产品。满足</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满足GB31572-2015《合成树脂工业污染物排放标准》（含2024年修改单）表</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4</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中</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单位产品NMHC 排放限值要求（</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0.5</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kg/t-产品）</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p>
          <w:p w14:paraId="2F4A6390">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表</w:t>
            </w:r>
            <w:r>
              <w:rPr>
                <w:rFonts w:hint="default" w:ascii="Times New Roman" w:hAnsi="Times New Roman" w:eastAsia="宋体" w:cs="Times New Roman"/>
                <w:b/>
                <w:color w:val="000000" w:themeColor="text1"/>
                <w:kern w:val="0"/>
                <w:sz w:val="21"/>
                <w:szCs w:val="21"/>
                <w:lang w:val="en-US" w:eastAsia="zh-CN"/>
                <w14:textFill>
                  <w14:solidFill>
                    <w14:schemeClr w14:val="tx1"/>
                  </w14:solidFill>
                </w14:textFill>
              </w:rPr>
              <w:t>4-</w:t>
            </w:r>
            <w:r>
              <w:rPr>
                <w:rFonts w:hint="eastAsia" w:cs="Times New Roman"/>
                <w:b/>
                <w:color w:val="000000" w:themeColor="text1"/>
                <w:kern w:val="0"/>
                <w:sz w:val="21"/>
                <w:szCs w:val="21"/>
                <w:lang w:val="en-US" w:eastAsia="zh-CN"/>
                <w14:textFill>
                  <w14:solidFill>
                    <w14:schemeClr w14:val="tx1"/>
                  </w14:solidFill>
                </w14:textFill>
              </w:rPr>
              <w:t>8</w:t>
            </w:r>
            <w:r>
              <w:rPr>
                <w:rFonts w:hint="default" w:ascii="Times New Roman" w:hAnsi="Times New Roman" w:eastAsia="宋体" w:cs="Times New Roman"/>
                <w:b/>
                <w:color w:val="000000" w:themeColor="text1"/>
                <w:kern w:val="0"/>
                <w:sz w:val="21"/>
                <w:szCs w:val="21"/>
                <w14:textFill>
                  <w14:solidFill>
                    <w14:schemeClr w14:val="tx1"/>
                  </w14:solidFill>
                </w14:textFill>
              </w:rPr>
              <w:t xml:space="preserve"> 项目</w:t>
            </w:r>
            <w:r>
              <w:rPr>
                <w:rFonts w:hint="default" w:ascii="Times New Roman" w:hAnsi="Times New Roman" w:eastAsia="宋体" w:cs="Times New Roman"/>
                <w:b/>
                <w:color w:val="000000" w:themeColor="text1"/>
                <w:kern w:val="0"/>
                <w:sz w:val="21"/>
                <w:szCs w:val="21"/>
                <w:lang w:eastAsia="zh-CN"/>
                <w14:textFill>
                  <w14:solidFill>
                    <w14:schemeClr w14:val="tx1"/>
                  </w14:solidFill>
                </w14:textFill>
              </w:rPr>
              <w:t>废气有组织</w:t>
            </w:r>
            <w:r>
              <w:rPr>
                <w:rFonts w:hint="default" w:ascii="Times New Roman" w:hAnsi="Times New Roman" w:eastAsia="宋体" w:cs="Times New Roman"/>
                <w:b/>
                <w:color w:val="000000" w:themeColor="text1"/>
                <w:kern w:val="0"/>
                <w:sz w:val="21"/>
                <w:szCs w:val="21"/>
                <w14:textFill>
                  <w14:solidFill>
                    <w14:schemeClr w14:val="tx1"/>
                  </w14:solidFill>
                </w14:textFill>
              </w:rPr>
              <w:t>排放达标分析表</w:t>
            </w:r>
          </w:p>
          <w:tbl>
            <w:tblPr>
              <w:tblStyle w:val="34"/>
              <w:tblW w:w="485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1215"/>
              <w:gridCol w:w="1560"/>
              <w:gridCol w:w="1670"/>
              <w:gridCol w:w="1178"/>
              <w:gridCol w:w="1134"/>
            </w:tblGrid>
            <w:tr w14:paraId="05D5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7" w:type="pct"/>
                  <w:noWrap w:val="0"/>
                  <w:vAlign w:val="center"/>
                </w:tcPr>
                <w:p w14:paraId="0311AD4C">
                  <w:pPr>
                    <w:pStyle w:val="167"/>
                    <w:keepNext w:val="0"/>
                    <w:keepLines w:val="0"/>
                    <w:pageBreakBefore w:val="0"/>
                    <w:widowControl w:val="0"/>
                    <w:numPr>
                      <w:ilvl w:val="0"/>
                      <w:numId w:val="0"/>
                    </w:numPr>
                    <w:tabs>
                      <w:tab w:val="left" w:pos="1782"/>
                    </w:tabs>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污染源</w:t>
                  </w:r>
                </w:p>
              </w:tc>
              <w:tc>
                <w:tcPr>
                  <w:tcW w:w="762" w:type="pct"/>
                  <w:noWrap w:val="0"/>
                  <w:vAlign w:val="center"/>
                </w:tcPr>
                <w:p w14:paraId="5BB32ED4">
                  <w:pPr>
                    <w:pStyle w:val="167"/>
                    <w:keepNext w:val="0"/>
                    <w:keepLines w:val="0"/>
                    <w:pageBreakBefore w:val="0"/>
                    <w:widowControl w:val="0"/>
                    <w:numPr>
                      <w:ilvl w:val="0"/>
                      <w:numId w:val="0"/>
                    </w:numPr>
                    <w:tabs>
                      <w:tab w:val="left" w:pos="1782"/>
                    </w:tabs>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排放口</w:t>
                  </w:r>
                </w:p>
              </w:tc>
              <w:tc>
                <w:tcPr>
                  <w:tcW w:w="979" w:type="pct"/>
                  <w:noWrap w:val="0"/>
                  <w:vAlign w:val="center"/>
                </w:tcPr>
                <w:p w14:paraId="079A7013">
                  <w:pPr>
                    <w:pStyle w:val="167"/>
                    <w:keepNext w:val="0"/>
                    <w:keepLines w:val="0"/>
                    <w:pageBreakBefore w:val="0"/>
                    <w:widowControl w:val="0"/>
                    <w:numPr>
                      <w:ilvl w:val="0"/>
                      <w:numId w:val="0"/>
                    </w:numPr>
                    <w:tabs>
                      <w:tab w:val="left" w:pos="1782"/>
                    </w:tabs>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污染物</w:t>
                  </w:r>
                </w:p>
              </w:tc>
              <w:tc>
                <w:tcPr>
                  <w:tcW w:w="1048" w:type="pct"/>
                  <w:noWrap w:val="0"/>
                  <w:vAlign w:val="center"/>
                </w:tcPr>
                <w:p w14:paraId="28AC7971">
                  <w:pPr>
                    <w:pStyle w:val="167"/>
                    <w:keepNext w:val="0"/>
                    <w:keepLines w:val="0"/>
                    <w:pageBreakBefore w:val="0"/>
                    <w:widowControl w:val="0"/>
                    <w:numPr>
                      <w:ilvl w:val="0"/>
                      <w:numId w:val="0"/>
                    </w:numPr>
                    <w:tabs>
                      <w:tab w:val="left" w:pos="1782"/>
                    </w:tabs>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项目排放浓度（</w:t>
                  </w:r>
                  <w:r>
                    <w:rPr>
                      <w:rFonts w:hint="default" w:ascii="Times New Roman" w:hAnsi="Times New Roman" w:cs="Times New Roman"/>
                      <w:b/>
                      <w:bCs w:val="0"/>
                      <w:color w:val="000000" w:themeColor="text1"/>
                      <w:sz w:val="21"/>
                      <w:szCs w:val="21"/>
                      <w:vertAlign w:val="baseline"/>
                      <w:lang w:val="en-US" w:eastAsia="zh-CN"/>
                      <w14:textFill>
                        <w14:solidFill>
                          <w14:schemeClr w14:val="tx1"/>
                        </w14:solidFill>
                      </w14:textFill>
                    </w:rPr>
                    <w:t>mg/m</w:t>
                  </w:r>
                  <w:r>
                    <w:rPr>
                      <w:rFonts w:hint="default" w:ascii="Times New Roman" w:hAnsi="Times New Roman" w:cs="Times New Roman"/>
                      <w:b/>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w:t>
                  </w:r>
                </w:p>
              </w:tc>
              <w:tc>
                <w:tcPr>
                  <w:tcW w:w="739" w:type="pct"/>
                  <w:noWrap w:val="0"/>
                  <w:vAlign w:val="center"/>
                </w:tcPr>
                <w:p w14:paraId="186F787C">
                  <w:pPr>
                    <w:pStyle w:val="167"/>
                    <w:keepNext w:val="0"/>
                    <w:keepLines w:val="0"/>
                    <w:pageBreakBefore w:val="0"/>
                    <w:widowControl w:val="0"/>
                    <w:numPr>
                      <w:ilvl w:val="0"/>
                      <w:numId w:val="0"/>
                    </w:numPr>
                    <w:tabs>
                      <w:tab w:val="left" w:pos="1782"/>
                    </w:tabs>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标准浓度（</w:t>
                  </w:r>
                  <w:r>
                    <w:rPr>
                      <w:rFonts w:hint="default" w:ascii="Times New Roman" w:hAnsi="Times New Roman" w:cs="Times New Roman"/>
                      <w:b/>
                      <w:bCs w:val="0"/>
                      <w:color w:val="000000" w:themeColor="text1"/>
                      <w:sz w:val="21"/>
                      <w:szCs w:val="21"/>
                      <w:vertAlign w:val="baseline"/>
                      <w:lang w:val="en-US" w:eastAsia="zh-CN"/>
                      <w14:textFill>
                        <w14:solidFill>
                          <w14:schemeClr w14:val="tx1"/>
                        </w14:solidFill>
                      </w14:textFill>
                    </w:rPr>
                    <w:t>mg/m</w:t>
                  </w:r>
                  <w:r>
                    <w:rPr>
                      <w:rFonts w:hint="default" w:ascii="Times New Roman" w:hAnsi="Times New Roman" w:cs="Times New Roman"/>
                      <w:b/>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w:t>
                  </w:r>
                </w:p>
              </w:tc>
              <w:tc>
                <w:tcPr>
                  <w:tcW w:w="712" w:type="pct"/>
                  <w:noWrap w:val="0"/>
                  <w:vAlign w:val="center"/>
                </w:tcPr>
                <w:p w14:paraId="50D68347">
                  <w:pPr>
                    <w:pStyle w:val="167"/>
                    <w:keepNext w:val="0"/>
                    <w:keepLines w:val="0"/>
                    <w:pageBreakBefore w:val="0"/>
                    <w:widowControl w:val="0"/>
                    <w:numPr>
                      <w:ilvl w:val="0"/>
                      <w:numId w:val="0"/>
                    </w:numPr>
                    <w:tabs>
                      <w:tab w:val="left" w:pos="1782"/>
                    </w:tabs>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结果判定</w:t>
                  </w:r>
                </w:p>
              </w:tc>
            </w:tr>
            <w:tr w14:paraId="29D5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7" w:type="pct"/>
                  <w:vMerge w:val="restart"/>
                  <w:noWrap w:val="0"/>
                  <w:vAlign w:val="center"/>
                </w:tcPr>
                <w:p w14:paraId="6FE073FA">
                  <w:pPr>
                    <w:keepNext w:val="0"/>
                    <w:keepLines w:val="0"/>
                    <w:pageBreakBefore w:val="0"/>
                    <w:widowControl w:val="0"/>
                    <w:tabs>
                      <w:tab w:val="left" w:pos="900"/>
                    </w:tabs>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锅炉废气</w:t>
                  </w:r>
                </w:p>
              </w:tc>
              <w:tc>
                <w:tcPr>
                  <w:tcW w:w="762" w:type="pct"/>
                  <w:vMerge w:val="restart"/>
                  <w:noWrap w:val="0"/>
                  <w:vAlign w:val="center"/>
                </w:tcPr>
                <w:p w14:paraId="51BB1987">
                  <w:pPr>
                    <w:keepNext w:val="0"/>
                    <w:keepLines w:val="0"/>
                    <w:pageBreakBefore w:val="0"/>
                    <w:widowControl w:val="0"/>
                    <w:tabs>
                      <w:tab w:val="left" w:pos="900"/>
                    </w:tabs>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DA001</w:t>
                  </w:r>
                </w:p>
              </w:tc>
              <w:tc>
                <w:tcPr>
                  <w:tcW w:w="979" w:type="pct"/>
                  <w:noWrap w:val="0"/>
                  <w:vAlign w:val="center"/>
                </w:tcPr>
                <w:p w14:paraId="7AA149C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颗粒物</w:t>
                  </w:r>
                </w:p>
              </w:tc>
              <w:tc>
                <w:tcPr>
                  <w:tcW w:w="1670" w:type="dxa"/>
                  <w:noWrap w:val="0"/>
                  <w:vAlign w:val="center"/>
                </w:tcPr>
                <w:p w14:paraId="40EA08C5">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7.10</w:t>
                  </w:r>
                </w:p>
              </w:tc>
              <w:tc>
                <w:tcPr>
                  <w:tcW w:w="739" w:type="pct"/>
                  <w:noWrap w:val="0"/>
                  <w:vAlign w:val="center"/>
                </w:tcPr>
                <w:p w14:paraId="1D9F7AE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cs="Times New Roman"/>
                      <w:b w:val="0"/>
                      <w:bCs/>
                      <w:color w:val="000000" w:themeColor="text1"/>
                      <w:kern w:val="0"/>
                      <w:sz w:val="21"/>
                      <w:szCs w:val="21"/>
                      <w:highlight w:val="none"/>
                      <w:lang w:val="en-US" w:eastAsia="zh-CN"/>
                      <w14:textFill>
                        <w14:solidFill>
                          <w14:schemeClr w14:val="tx1"/>
                        </w14:solidFill>
                      </w14:textFill>
                    </w:rPr>
                    <w:t>20</w:t>
                  </w:r>
                </w:p>
              </w:tc>
              <w:tc>
                <w:tcPr>
                  <w:tcW w:w="712" w:type="pct"/>
                  <w:noWrap w:val="0"/>
                  <w:vAlign w:val="center"/>
                </w:tcPr>
                <w:p w14:paraId="361BBEC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t>达标</w:t>
                  </w:r>
                </w:p>
              </w:tc>
            </w:tr>
            <w:tr w14:paraId="067D3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7" w:type="pct"/>
                  <w:vMerge w:val="continue"/>
                  <w:noWrap w:val="0"/>
                  <w:vAlign w:val="center"/>
                </w:tcPr>
                <w:p w14:paraId="266D27A6">
                  <w:pPr>
                    <w:keepNext w:val="0"/>
                    <w:keepLines w:val="0"/>
                    <w:pageBreakBefore w:val="0"/>
                    <w:widowControl w:val="0"/>
                    <w:tabs>
                      <w:tab w:val="left" w:pos="900"/>
                    </w:tabs>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p>
              </w:tc>
              <w:tc>
                <w:tcPr>
                  <w:tcW w:w="762" w:type="pct"/>
                  <w:vMerge w:val="continue"/>
                  <w:noWrap w:val="0"/>
                  <w:vAlign w:val="center"/>
                </w:tcPr>
                <w:p w14:paraId="752AFA57">
                  <w:pPr>
                    <w:keepNext w:val="0"/>
                    <w:keepLines w:val="0"/>
                    <w:pageBreakBefore w:val="0"/>
                    <w:widowControl w:val="0"/>
                    <w:tabs>
                      <w:tab w:val="left" w:pos="900"/>
                    </w:tabs>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p>
              </w:tc>
              <w:tc>
                <w:tcPr>
                  <w:tcW w:w="979" w:type="pct"/>
                  <w:noWrap w:val="0"/>
                  <w:vAlign w:val="center"/>
                </w:tcPr>
                <w:p w14:paraId="05B2E0C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二氧化硫</w:t>
                  </w:r>
                </w:p>
              </w:tc>
              <w:tc>
                <w:tcPr>
                  <w:tcW w:w="1670" w:type="dxa"/>
                  <w:noWrap w:val="0"/>
                  <w:vAlign w:val="center"/>
                </w:tcPr>
                <w:p w14:paraId="20FBD9E2">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30.245</w:t>
                  </w:r>
                </w:p>
              </w:tc>
              <w:tc>
                <w:tcPr>
                  <w:tcW w:w="739" w:type="pct"/>
                  <w:noWrap w:val="0"/>
                  <w:vAlign w:val="center"/>
                </w:tcPr>
                <w:p w14:paraId="478CCCE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cs="Times New Roman"/>
                      <w:b w:val="0"/>
                      <w:bCs/>
                      <w:color w:val="000000" w:themeColor="text1"/>
                      <w:kern w:val="0"/>
                      <w:sz w:val="21"/>
                      <w:szCs w:val="21"/>
                      <w:highlight w:val="none"/>
                      <w:lang w:val="en-US" w:eastAsia="zh-CN"/>
                      <w14:textFill>
                        <w14:solidFill>
                          <w14:schemeClr w14:val="tx1"/>
                        </w14:solidFill>
                      </w14:textFill>
                    </w:rPr>
                    <w:t>50</w:t>
                  </w:r>
                </w:p>
              </w:tc>
              <w:tc>
                <w:tcPr>
                  <w:tcW w:w="712" w:type="pct"/>
                  <w:noWrap w:val="0"/>
                  <w:vAlign w:val="center"/>
                </w:tcPr>
                <w:p w14:paraId="7448599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t>达标</w:t>
                  </w:r>
                </w:p>
              </w:tc>
            </w:tr>
            <w:tr w14:paraId="40434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7" w:type="pct"/>
                  <w:vMerge w:val="continue"/>
                  <w:noWrap w:val="0"/>
                  <w:vAlign w:val="center"/>
                </w:tcPr>
                <w:p w14:paraId="38EC9743">
                  <w:pPr>
                    <w:keepNext w:val="0"/>
                    <w:keepLines w:val="0"/>
                    <w:pageBreakBefore w:val="0"/>
                    <w:widowControl w:val="0"/>
                    <w:tabs>
                      <w:tab w:val="left" w:pos="900"/>
                    </w:tabs>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p>
              </w:tc>
              <w:tc>
                <w:tcPr>
                  <w:tcW w:w="762" w:type="pct"/>
                  <w:vMerge w:val="continue"/>
                  <w:noWrap w:val="0"/>
                  <w:vAlign w:val="center"/>
                </w:tcPr>
                <w:p w14:paraId="6ACA69B9">
                  <w:pPr>
                    <w:keepNext w:val="0"/>
                    <w:keepLines w:val="0"/>
                    <w:pageBreakBefore w:val="0"/>
                    <w:widowControl w:val="0"/>
                    <w:tabs>
                      <w:tab w:val="left" w:pos="900"/>
                    </w:tabs>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p>
              </w:tc>
              <w:tc>
                <w:tcPr>
                  <w:tcW w:w="979" w:type="pct"/>
                  <w:noWrap w:val="0"/>
                  <w:vAlign w:val="center"/>
                </w:tcPr>
                <w:p w14:paraId="6F903C5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氮氧化物</w:t>
                  </w:r>
                </w:p>
              </w:tc>
              <w:tc>
                <w:tcPr>
                  <w:tcW w:w="1670" w:type="dxa"/>
                  <w:noWrap w:val="0"/>
                  <w:vAlign w:val="center"/>
                </w:tcPr>
                <w:p w14:paraId="4158B97A">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140.02</w:t>
                  </w:r>
                </w:p>
              </w:tc>
              <w:tc>
                <w:tcPr>
                  <w:tcW w:w="739" w:type="pct"/>
                  <w:noWrap w:val="0"/>
                  <w:vAlign w:val="center"/>
                </w:tcPr>
                <w:p w14:paraId="7A53EB6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cs="Times New Roman"/>
                      <w:b w:val="0"/>
                      <w:bCs/>
                      <w:color w:val="000000" w:themeColor="text1"/>
                      <w:kern w:val="0"/>
                      <w:sz w:val="21"/>
                      <w:szCs w:val="21"/>
                      <w:highlight w:val="none"/>
                      <w:lang w:val="en-US" w:eastAsia="zh-CN"/>
                      <w14:textFill>
                        <w14:solidFill>
                          <w14:schemeClr w14:val="tx1"/>
                        </w14:solidFill>
                      </w14:textFill>
                    </w:rPr>
                    <w:t>200</w:t>
                  </w:r>
                </w:p>
              </w:tc>
              <w:tc>
                <w:tcPr>
                  <w:tcW w:w="712" w:type="pct"/>
                  <w:noWrap w:val="0"/>
                  <w:vAlign w:val="center"/>
                </w:tcPr>
                <w:p w14:paraId="49F2E8E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t>达标</w:t>
                  </w:r>
                </w:p>
              </w:tc>
            </w:tr>
            <w:tr w14:paraId="350F5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7" w:type="pct"/>
                  <w:vMerge w:val="restart"/>
                  <w:noWrap w:val="0"/>
                  <w:vAlign w:val="center"/>
                </w:tcPr>
                <w:p w14:paraId="2DFD7741">
                  <w:pPr>
                    <w:keepNext w:val="0"/>
                    <w:keepLines w:val="0"/>
                    <w:pageBreakBefore w:val="0"/>
                    <w:widowControl w:val="0"/>
                    <w:tabs>
                      <w:tab w:val="left" w:pos="900"/>
                    </w:tabs>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kern w:val="24"/>
                      <w:sz w:val="21"/>
                      <w:szCs w:val="21"/>
                      <w:lang w:val="en-US" w:eastAsia="zh-CN"/>
                      <w14:textFill>
                        <w14:solidFill>
                          <w14:schemeClr w14:val="tx1"/>
                        </w14:solidFill>
                      </w14:textFill>
                    </w:rPr>
                    <w:t>有机</w:t>
                  </w:r>
                  <w:r>
                    <w:rPr>
                      <w:rFonts w:hint="default" w:ascii="Times New Roman" w:hAnsi="Times New Roman" w:cs="Times New Roman"/>
                      <w:b w:val="0"/>
                      <w:bCs/>
                      <w:color w:val="000000" w:themeColor="text1"/>
                      <w:kern w:val="24"/>
                      <w:sz w:val="21"/>
                      <w:szCs w:val="21"/>
                      <w:lang w:val="en-US" w:eastAsia="zh-CN"/>
                      <w14:textFill>
                        <w14:solidFill>
                          <w14:schemeClr w14:val="tx1"/>
                        </w14:solidFill>
                      </w14:textFill>
                    </w:rPr>
                    <w:t>废气</w:t>
                  </w:r>
                </w:p>
              </w:tc>
              <w:tc>
                <w:tcPr>
                  <w:tcW w:w="762" w:type="pct"/>
                  <w:vMerge w:val="restart"/>
                  <w:noWrap w:val="0"/>
                  <w:vAlign w:val="center"/>
                </w:tcPr>
                <w:p w14:paraId="544F9D3D">
                  <w:pPr>
                    <w:keepNext w:val="0"/>
                    <w:keepLines w:val="0"/>
                    <w:pageBreakBefore w:val="0"/>
                    <w:widowControl w:val="0"/>
                    <w:tabs>
                      <w:tab w:val="left" w:pos="900"/>
                    </w:tabs>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DA00</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2</w:t>
                  </w:r>
                </w:p>
              </w:tc>
              <w:tc>
                <w:tcPr>
                  <w:tcW w:w="979" w:type="pct"/>
                  <w:noWrap w:val="0"/>
                  <w:vAlign w:val="center"/>
                </w:tcPr>
                <w:p w14:paraId="510765B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非甲烷总烃</w:t>
                  </w:r>
                </w:p>
              </w:tc>
              <w:tc>
                <w:tcPr>
                  <w:tcW w:w="1048" w:type="pct"/>
                  <w:noWrap w:val="0"/>
                  <w:vAlign w:val="center"/>
                </w:tcPr>
                <w:p w14:paraId="6884CC8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2.</w:t>
                  </w:r>
                  <w:r>
                    <w:rPr>
                      <w:rFonts w:hint="eastAsia" w:cs="Times New Roman"/>
                      <w:b w:val="0"/>
                      <w:bCs/>
                      <w:color w:val="000000" w:themeColor="text1"/>
                      <w:kern w:val="0"/>
                      <w:sz w:val="21"/>
                      <w:szCs w:val="21"/>
                      <w:highlight w:val="none"/>
                      <w:lang w:val="en-US" w:eastAsia="zh-CN"/>
                      <w14:textFill>
                        <w14:solidFill>
                          <w14:schemeClr w14:val="tx1"/>
                        </w14:solidFill>
                      </w14:textFill>
                    </w:rPr>
                    <w:t>429</w:t>
                  </w:r>
                </w:p>
              </w:tc>
              <w:tc>
                <w:tcPr>
                  <w:tcW w:w="739" w:type="pct"/>
                  <w:noWrap w:val="0"/>
                  <w:vAlign w:val="center"/>
                </w:tcPr>
                <w:p w14:paraId="2A7B008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100</w:t>
                  </w:r>
                </w:p>
              </w:tc>
              <w:tc>
                <w:tcPr>
                  <w:tcW w:w="712" w:type="pct"/>
                  <w:noWrap w:val="0"/>
                  <w:vAlign w:val="center"/>
                </w:tcPr>
                <w:p w14:paraId="49AD01D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达标</w:t>
                  </w:r>
                </w:p>
              </w:tc>
            </w:tr>
            <w:tr w14:paraId="63F1B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7" w:type="pct"/>
                  <w:vMerge w:val="continue"/>
                  <w:noWrap w:val="0"/>
                  <w:vAlign w:val="center"/>
                </w:tcPr>
                <w:p w14:paraId="2BF5BF93">
                  <w:pPr>
                    <w:keepNext w:val="0"/>
                    <w:keepLines w:val="0"/>
                    <w:pageBreakBefore w:val="0"/>
                    <w:widowControl w:val="0"/>
                    <w:tabs>
                      <w:tab w:val="left" w:pos="900"/>
                    </w:tabs>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kern w:val="24"/>
                      <w:sz w:val="21"/>
                      <w:szCs w:val="21"/>
                      <w:lang w:val="en-US" w:eastAsia="zh-CN"/>
                      <w14:textFill>
                        <w14:solidFill>
                          <w14:schemeClr w14:val="tx1"/>
                        </w14:solidFill>
                      </w14:textFill>
                    </w:rPr>
                  </w:pPr>
                </w:p>
              </w:tc>
              <w:tc>
                <w:tcPr>
                  <w:tcW w:w="762" w:type="pct"/>
                  <w:vMerge w:val="continue"/>
                  <w:noWrap w:val="0"/>
                  <w:vAlign w:val="center"/>
                </w:tcPr>
                <w:p w14:paraId="2215E9B1">
                  <w:pPr>
                    <w:keepNext w:val="0"/>
                    <w:keepLines w:val="0"/>
                    <w:pageBreakBefore w:val="0"/>
                    <w:widowControl w:val="0"/>
                    <w:tabs>
                      <w:tab w:val="left" w:pos="900"/>
                    </w:tabs>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p>
              </w:tc>
              <w:tc>
                <w:tcPr>
                  <w:tcW w:w="979" w:type="pct"/>
                  <w:noWrap w:val="0"/>
                  <w:vAlign w:val="center"/>
                </w:tcPr>
                <w:p w14:paraId="0C71CAB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kern w:val="0"/>
                      <w:sz w:val="21"/>
                      <w:szCs w:val="21"/>
                      <w:highlight w:val="none"/>
                      <w:lang w:val="en-US" w:eastAsia="zh-CN"/>
                      <w14:textFill>
                        <w14:solidFill>
                          <w14:schemeClr w14:val="tx1"/>
                        </w14:solidFill>
                      </w14:textFill>
                    </w:rPr>
                    <w:t>甲苯</w:t>
                  </w:r>
                </w:p>
              </w:tc>
              <w:tc>
                <w:tcPr>
                  <w:tcW w:w="1670" w:type="dxa"/>
                  <w:noWrap w:val="0"/>
                  <w:vAlign w:val="center"/>
                </w:tcPr>
                <w:p w14:paraId="6589A179">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0.00786</w:t>
                  </w:r>
                </w:p>
              </w:tc>
              <w:tc>
                <w:tcPr>
                  <w:tcW w:w="739" w:type="pct"/>
                  <w:noWrap w:val="0"/>
                  <w:vAlign w:val="center"/>
                </w:tcPr>
                <w:p w14:paraId="0C3B25C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15</w:t>
                  </w:r>
                </w:p>
              </w:tc>
              <w:tc>
                <w:tcPr>
                  <w:tcW w:w="712" w:type="pct"/>
                  <w:noWrap w:val="0"/>
                  <w:vAlign w:val="center"/>
                </w:tcPr>
                <w:p w14:paraId="0485AEC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达标</w:t>
                  </w:r>
                </w:p>
              </w:tc>
            </w:tr>
            <w:tr w14:paraId="753F8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7" w:type="pct"/>
                  <w:vMerge w:val="continue"/>
                  <w:noWrap w:val="0"/>
                  <w:vAlign w:val="center"/>
                </w:tcPr>
                <w:p w14:paraId="35C03A04">
                  <w:pPr>
                    <w:keepNext w:val="0"/>
                    <w:keepLines w:val="0"/>
                    <w:pageBreakBefore w:val="0"/>
                    <w:widowControl w:val="0"/>
                    <w:tabs>
                      <w:tab w:val="left" w:pos="900"/>
                    </w:tabs>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kern w:val="24"/>
                      <w:sz w:val="21"/>
                      <w:szCs w:val="21"/>
                      <w:lang w:val="en-US" w:eastAsia="zh-CN"/>
                      <w14:textFill>
                        <w14:solidFill>
                          <w14:schemeClr w14:val="tx1"/>
                        </w14:solidFill>
                      </w14:textFill>
                    </w:rPr>
                  </w:pPr>
                </w:p>
              </w:tc>
              <w:tc>
                <w:tcPr>
                  <w:tcW w:w="762" w:type="pct"/>
                  <w:vMerge w:val="continue"/>
                  <w:noWrap w:val="0"/>
                  <w:vAlign w:val="center"/>
                </w:tcPr>
                <w:p w14:paraId="5164B811">
                  <w:pPr>
                    <w:keepNext w:val="0"/>
                    <w:keepLines w:val="0"/>
                    <w:pageBreakBefore w:val="0"/>
                    <w:widowControl w:val="0"/>
                    <w:tabs>
                      <w:tab w:val="left" w:pos="900"/>
                    </w:tabs>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p>
              </w:tc>
              <w:tc>
                <w:tcPr>
                  <w:tcW w:w="979" w:type="pct"/>
                  <w:noWrap w:val="0"/>
                  <w:vAlign w:val="center"/>
                </w:tcPr>
                <w:p w14:paraId="062EE7F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kern w:val="0"/>
                      <w:sz w:val="21"/>
                      <w:szCs w:val="21"/>
                      <w:highlight w:val="none"/>
                      <w:lang w:val="en-US" w:eastAsia="zh-CN"/>
                      <w14:textFill>
                        <w14:solidFill>
                          <w14:schemeClr w14:val="tx1"/>
                        </w14:solidFill>
                      </w14:textFill>
                    </w:rPr>
                    <w:t>乙苯</w:t>
                  </w:r>
                </w:p>
              </w:tc>
              <w:tc>
                <w:tcPr>
                  <w:tcW w:w="1670" w:type="dxa"/>
                  <w:noWrap w:val="0"/>
                  <w:vAlign w:val="center"/>
                </w:tcPr>
                <w:p w14:paraId="3EE98219">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0.00643</w:t>
                  </w:r>
                </w:p>
              </w:tc>
              <w:tc>
                <w:tcPr>
                  <w:tcW w:w="739" w:type="pct"/>
                  <w:noWrap w:val="0"/>
                  <w:vAlign w:val="center"/>
                </w:tcPr>
                <w:p w14:paraId="0597EE2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100</w:t>
                  </w:r>
                </w:p>
              </w:tc>
              <w:tc>
                <w:tcPr>
                  <w:tcW w:w="712" w:type="pct"/>
                  <w:noWrap w:val="0"/>
                  <w:vAlign w:val="center"/>
                </w:tcPr>
                <w:p w14:paraId="52810A4D">
                  <w:pPr>
                    <w:keepNext w:val="0"/>
                    <w:keepLines w:val="0"/>
                    <w:pageBreakBefore w:val="0"/>
                    <w:widowControl w:val="0"/>
                    <w:tabs>
                      <w:tab w:val="left" w:pos="900"/>
                    </w:tabs>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达标</w:t>
                  </w:r>
                </w:p>
              </w:tc>
            </w:tr>
            <w:tr w14:paraId="28103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7" w:type="pct"/>
                  <w:vMerge w:val="continue"/>
                  <w:noWrap w:val="0"/>
                  <w:vAlign w:val="center"/>
                </w:tcPr>
                <w:p w14:paraId="526C6D14">
                  <w:pPr>
                    <w:keepNext w:val="0"/>
                    <w:keepLines w:val="0"/>
                    <w:pageBreakBefore w:val="0"/>
                    <w:widowControl w:val="0"/>
                    <w:tabs>
                      <w:tab w:val="left" w:pos="900"/>
                    </w:tabs>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kern w:val="24"/>
                      <w:sz w:val="21"/>
                      <w:szCs w:val="21"/>
                      <w:lang w:val="en-US" w:eastAsia="zh-CN"/>
                      <w14:textFill>
                        <w14:solidFill>
                          <w14:schemeClr w14:val="tx1"/>
                        </w14:solidFill>
                      </w14:textFill>
                    </w:rPr>
                  </w:pPr>
                </w:p>
              </w:tc>
              <w:tc>
                <w:tcPr>
                  <w:tcW w:w="762" w:type="pct"/>
                  <w:vMerge w:val="continue"/>
                  <w:noWrap w:val="0"/>
                  <w:vAlign w:val="center"/>
                </w:tcPr>
                <w:p w14:paraId="2D1DD94D">
                  <w:pPr>
                    <w:keepNext w:val="0"/>
                    <w:keepLines w:val="0"/>
                    <w:pageBreakBefore w:val="0"/>
                    <w:widowControl w:val="0"/>
                    <w:tabs>
                      <w:tab w:val="left" w:pos="900"/>
                    </w:tabs>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p>
              </w:tc>
              <w:tc>
                <w:tcPr>
                  <w:tcW w:w="979" w:type="pct"/>
                  <w:noWrap w:val="0"/>
                  <w:vAlign w:val="center"/>
                </w:tcPr>
                <w:p w14:paraId="3AF197F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kern w:val="0"/>
                      <w:sz w:val="21"/>
                      <w:szCs w:val="21"/>
                      <w:highlight w:val="none"/>
                      <w:lang w:val="en-US" w:eastAsia="zh-CN"/>
                      <w14:textFill>
                        <w14:solidFill>
                          <w14:schemeClr w14:val="tx1"/>
                        </w14:solidFill>
                      </w14:textFill>
                    </w:rPr>
                    <w:t>苯乙烯</w:t>
                  </w:r>
                </w:p>
              </w:tc>
              <w:tc>
                <w:tcPr>
                  <w:tcW w:w="1670" w:type="dxa"/>
                  <w:noWrap w:val="0"/>
                  <w:vAlign w:val="center"/>
                </w:tcPr>
                <w:p w14:paraId="65694C88">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0.2143</w:t>
                  </w:r>
                </w:p>
              </w:tc>
              <w:tc>
                <w:tcPr>
                  <w:tcW w:w="739" w:type="pct"/>
                  <w:noWrap w:val="0"/>
                  <w:vAlign w:val="center"/>
                </w:tcPr>
                <w:p w14:paraId="303D39C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50</w:t>
                  </w:r>
                </w:p>
              </w:tc>
              <w:tc>
                <w:tcPr>
                  <w:tcW w:w="712" w:type="pct"/>
                  <w:noWrap w:val="0"/>
                  <w:vAlign w:val="center"/>
                </w:tcPr>
                <w:p w14:paraId="1A6B72CF">
                  <w:pPr>
                    <w:keepNext w:val="0"/>
                    <w:keepLines w:val="0"/>
                    <w:pageBreakBefore w:val="0"/>
                    <w:widowControl w:val="0"/>
                    <w:tabs>
                      <w:tab w:val="left" w:pos="900"/>
                    </w:tabs>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达标</w:t>
                  </w:r>
                </w:p>
              </w:tc>
            </w:tr>
            <w:tr w14:paraId="7AB7E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7" w:type="pct"/>
                  <w:vMerge w:val="continue"/>
                  <w:noWrap w:val="0"/>
                  <w:vAlign w:val="center"/>
                </w:tcPr>
                <w:p w14:paraId="4105126A">
                  <w:pPr>
                    <w:keepNext w:val="0"/>
                    <w:keepLines w:val="0"/>
                    <w:pageBreakBefore w:val="0"/>
                    <w:widowControl w:val="0"/>
                    <w:tabs>
                      <w:tab w:val="left" w:pos="900"/>
                    </w:tabs>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kern w:val="24"/>
                      <w:sz w:val="21"/>
                      <w:szCs w:val="21"/>
                      <w:lang w:val="en-US" w:eastAsia="zh-CN"/>
                      <w14:textFill>
                        <w14:solidFill>
                          <w14:schemeClr w14:val="tx1"/>
                        </w14:solidFill>
                      </w14:textFill>
                    </w:rPr>
                  </w:pPr>
                </w:p>
              </w:tc>
              <w:tc>
                <w:tcPr>
                  <w:tcW w:w="762" w:type="pct"/>
                  <w:vMerge w:val="continue"/>
                  <w:noWrap w:val="0"/>
                  <w:vAlign w:val="center"/>
                </w:tcPr>
                <w:p w14:paraId="6638AF83">
                  <w:pPr>
                    <w:keepNext w:val="0"/>
                    <w:keepLines w:val="0"/>
                    <w:pageBreakBefore w:val="0"/>
                    <w:widowControl w:val="0"/>
                    <w:tabs>
                      <w:tab w:val="left" w:pos="900"/>
                    </w:tabs>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p>
              </w:tc>
              <w:tc>
                <w:tcPr>
                  <w:tcW w:w="979" w:type="pct"/>
                  <w:noWrap w:val="0"/>
                  <w:vAlign w:val="center"/>
                </w:tcPr>
                <w:p w14:paraId="1AD74741">
                  <w:pPr>
                    <w:keepNext w:val="0"/>
                    <w:keepLines w:val="0"/>
                    <w:pageBreakBefore w:val="0"/>
                    <w:widowControl w:val="0"/>
                    <w:tabs>
                      <w:tab w:val="left" w:pos="900"/>
                    </w:tabs>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单位产品非甲烷总烃排放量</w:t>
                  </w:r>
                </w:p>
              </w:tc>
              <w:tc>
                <w:tcPr>
                  <w:tcW w:w="1048" w:type="pct"/>
                  <w:noWrap w:val="0"/>
                  <w:vAlign w:val="center"/>
                </w:tcPr>
                <w:p w14:paraId="051BC61E">
                  <w:pPr>
                    <w:pStyle w:val="18"/>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0.</w:t>
                  </w:r>
                  <w:r>
                    <w:rPr>
                      <w:rFonts w:hint="eastAsia" w:cs="Times New Roman"/>
                      <w:b w:val="0"/>
                      <w:bCs w:val="0"/>
                      <w:color w:val="000000" w:themeColor="text1"/>
                      <w:kern w:val="24"/>
                      <w:sz w:val="21"/>
                      <w:szCs w:val="21"/>
                      <w:lang w:val="en-US" w:eastAsia="zh-CN"/>
                      <w14:textFill>
                        <w14:solidFill>
                          <w14:schemeClr w14:val="tx1"/>
                        </w14:solidFill>
                      </w14:textFill>
                    </w:rPr>
                    <w:t>272</w:t>
                  </w:r>
                </w:p>
                <w:p w14:paraId="69AC37D0">
                  <w:pPr>
                    <w:pStyle w:val="18"/>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kg/t-产品</w:t>
                  </w:r>
                </w:p>
              </w:tc>
              <w:tc>
                <w:tcPr>
                  <w:tcW w:w="739" w:type="pct"/>
                  <w:noWrap w:val="0"/>
                  <w:vAlign w:val="center"/>
                </w:tcPr>
                <w:p w14:paraId="1AB26EA8">
                  <w:pPr>
                    <w:pStyle w:val="167"/>
                    <w:keepNext w:val="0"/>
                    <w:keepLines w:val="0"/>
                    <w:pageBreakBefore w:val="0"/>
                    <w:widowControl w:val="0"/>
                    <w:numPr>
                      <w:ilvl w:val="0"/>
                      <w:numId w:val="0"/>
                    </w:numPr>
                    <w:tabs>
                      <w:tab w:val="left" w:pos="1782"/>
                    </w:tabs>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0.5</w:t>
                  </w:r>
                </w:p>
                <w:p w14:paraId="2267F1A1">
                  <w:pPr>
                    <w:pStyle w:val="167"/>
                    <w:keepNext w:val="0"/>
                    <w:keepLines w:val="0"/>
                    <w:pageBreakBefore w:val="0"/>
                    <w:widowControl w:val="0"/>
                    <w:numPr>
                      <w:ilvl w:val="0"/>
                      <w:numId w:val="0"/>
                    </w:numPr>
                    <w:tabs>
                      <w:tab w:val="left" w:pos="1782"/>
                    </w:tabs>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kg/t-产品</w:t>
                  </w:r>
                </w:p>
              </w:tc>
              <w:tc>
                <w:tcPr>
                  <w:tcW w:w="712" w:type="pct"/>
                  <w:noWrap w:val="0"/>
                  <w:vAlign w:val="center"/>
                </w:tcPr>
                <w:p w14:paraId="5B466FC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达标</w:t>
                  </w:r>
                </w:p>
              </w:tc>
            </w:tr>
          </w:tbl>
          <w:p w14:paraId="112E7024">
            <w:pPr>
              <w:pStyle w:val="18"/>
              <w:keepNext w:val="0"/>
              <w:keepLines/>
              <w:pageBreakBefore w:val="0"/>
              <w:kinsoku/>
              <w:overflowPunct/>
              <w:bidi w:val="0"/>
              <w:adjustRightInd/>
              <w:snapToGrid/>
              <w:spacing w:line="360" w:lineRule="auto"/>
              <w:ind w:firstLine="482" w:firstLineChars="200"/>
              <w:jc w:val="left"/>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②非正常排放</w:t>
            </w:r>
          </w:p>
          <w:p w14:paraId="601F6A7D">
            <w:pPr>
              <w:keepNext w:val="0"/>
              <w:keepLines/>
              <w:pageBreakBefore w:val="0"/>
              <w:kinsoku/>
              <w:overflowPunct/>
              <w:bidi w:val="0"/>
              <w:adjustRightInd/>
              <w:snapToGrid/>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当处理废气</w:t>
            </w:r>
            <w:r>
              <w:rPr>
                <w:rFonts w:hint="default" w:ascii="Times New Roman" w:hAnsi="Times New Roman" w:cs="Times New Roman"/>
                <w:color w:val="000000" w:themeColor="text1"/>
                <w:sz w:val="24"/>
                <w:lang w:val="en-US" w:eastAsia="zh-CN"/>
                <w14:textFill>
                  <w14:solidFill>
                    <w14:schemeClr w14:val="tx1"/>
                  </w14:solidFill>
                </w14:textFill>
              </w:rPr>
              <w:t>治理设施</w:t>
            </w:r>
            <w:r>
              <w:rPr>
                <w:rFonts w:hint="default" w:ascii="Times New Roman" w:hAnsi="Times New Roman" w:eastAsia="宋体" w:cs="Times New Roman"/>
                <w:color w:val="000000" w:themeColor="text1"/>
                <w:sz w:val="24"/>
                <w:lang w:val="en-US" w:eastAsia="zh-CN"/>
                <w14:textFill>
                  <w14:solidFill>
                    <w14:schemeClr w14:val="tx1"/>
                  </w14:solidFill>
                </w14:textFill>
              </w:rPr>
              <w:t>发生故障不能正常运行的情况下，废气的处理效果将会降低，</w:t>
            </w:r>
            <w:r>
              <w:rPr>
                <w:rFonts w:hint="eastAsia" w:cs="Times New Roman"/>
                <w:color w:val="000000" w:themeColor="text1"/>
                <w:sz w:val="24"/>
                <w:lang w:val="en-US" w:eastAsia="zh-CN"/>
                <w14:textFill>
                  <w14:solidFill>
                    <w14:schemeClr w14:val="tx1"/>
                  </w14:solidFill>
                </w14:textFill>
              </w:rPr>
              <w:t>①本次考虑“</w:t>
            </w:r>
            <w:r>
              <w:rPr>
                <w:rFonts w:hint="default" w:ascii="Times New Roman" w:hAnsi="Times New Roman" w:eastAsia="宋体" w:cs="Times New Roman"/>
                <w:color w:val="000000" w:themeColor="text1"/>
                <w:sz w:val="24"/>
                <w:lang w:val="en-US" w:eastAsia="zh-CN"/>
                <w14:textFill>
                  <w14:solidFill>
                    <w14:schemeClr w14:val="tx1"/>
                  </w14:solidFill>
                </w14:textFill>
              </w:rPr>
              <w:t>低氮燃烧器</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损坏故障，</w:t>
            </w:r>
            <w:r>
              <w:rPr>
                <w:rFonts w:hint="default" w:ascii="Times New Roman" w:hAnsi="Times New Roman" w:eastAsia="宋体" w:cs="Times New Roman"/>
                <w:color w:val="000000" w:themeColor="text1"/>
                <w:sz w:val="24"/>
                <w:lang w:val="en-US" w:eastAsia="zh-CN"/>
                <w14:textFill>
                  <w14:solidFill>
                    <w14:schemeClr w14:val="tx1"/>
                  </w14:solidFill>
                </w14:textFill>
              </w:rPr>
              <w:t>对氮氧化物的</w:t>
            </w:r>
            <w:r>
              <w:rPr>
                <w:rFonts w:hint="default" w:ascii="Times New Roman" w:hAnsi="Times New Roman" w:eastAsia="宋体" w:cs="Times New Roman"/>
                <w:color w:val="000000" w:themeColor="text1"/>
                <w:sz w:val="24"/>
                <w14:textFill>
                  <w14:solidFill>
                    <w14:schemeClr w14:val="tx1"/>
                  </w14:solidFill>
                </w14:textFill>
              </w:rPr>
              <w:t>处理效率降低</w:t>
            </w:r>
            <w:r>
              <w:rPr>
                <w:rFonts w:hint="default" w:ascii="Times New Roman" w:hAnsi="Times New Roman" w:eastAsia="宋体" w:cs="Times New Roman"/>
                <w:color w:val="000000" w:themeColor="text1"/>
                <w:sz w:val="24"/>
                <w:lang w:val="en-US" w:eastAsia="zh-CN"/>
                <w14:textFill>
                  <w14:solidFill>
                    <w14:schemeClr w14:val="tx1"/>
                  </w14:solidFill>
                </w14:textFill>
              </w:rPr>
              <w:t>0</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时</w:t>
            </w:r>
            <w:r>
              <w:rPr>
                <w:rFonts w:hint="eastAsia" w:ascii="Times New Roman" w:hAnsi="Times New Roman" w:eastAsia="宋体" w:cs="Times New Roman"/>
                <w:color w:val="000000" w:themeColor="text1"/>
                <w:sz w:val="24"/>
                <w:lang w:val="en-US" w:eastAsia="zh-CN"/>
                <w14:textFill>
                  <w14:solidFill>
                    <w14:schemeClr w14:val="tx1"/>
                  </w14:solidFill>
                </w14:textFill>
              </w:rPr>
              <w:t>；②</w:t>
            </w:r>
            <w:r>
              <w:rPr>
                <w:rFonts w:hint="eastAsia" w:cs="Times New Roman"/>
                <w:color w:val="000000" w:themeColor="text1"/>
                <w:sz w:val="24"/>
                <w:lang w:val="en-US" w:eastAsia="zh-CN"/>
                <w14:textFill>
                  <w14:solidFill>
                    <w14:schemeClr w14:val="tx1"/>
                  </w14:solidFill>
                </w14:textFill>
              </w:rPr>
              <w:t>本次考虑“</w:t>
            </w:r>
            <w:r>
              <w:rPr>
                <w:rFonts w:hint="eastAsia" w:ascii="Times New Roman" w:hAnsi="Times New Roman" w:eastAsia="宋体" w:cs="Times New Roman"/>
                <w:color w:val="000000" w:themeColor="text1"/>
                <w:sz w:val="24"/>
                <w:lang w:val="en-US" w:eastAsia="zh-CN"/>
                <w14:textFill>
                  <w14:solidFill>
                    <w14:schemeClr w14:val="tx1"/>
                  </w14:solidFill>
                </w14:textFill>
              </w:rPr>
              <w:t>布袋除尘器</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中部分布袋损坏，对</w:t>
            </w:r>
            <w:r>
              <w:rPr>
                <w:rFonts w:hint="default" w:ascii="Times New Roman" w:hAnsi="Times New Roman" w:eastAsia="宋体" w:cs="Times New Roman"/>
                <w:color w:val="000000" w:themeColor="text1"/>
                <w:sz w:val="24"/>
                <w:lang w:val="en-US" w:eastAsia="zh-CN"/>
                <w14:textFill>
                  <w14:solidFill>
                    <w14:schemeClr w14:val="tx1"/>
                  </w14:solidFill>
                </w14:textFill>
              </w:rPr>
              <w:t>颗粒物的</w:t>
            </w:r>
            <w:r>
              <w:rPr>
                <w:rFonts w:hint="default" w:ascii="Times New Roman" w:hAnsi="Times New Roman" w:eastAsia="宋体" w:cs="Times New Roman"/>
                <w:color w:val="000000" w:themeColor="text1"/>
                <w:sz w:val="24"/>
                <w14:textFill>
                  <w14:solidFill>
                    <w14:schemeClr w14:val="tx1"/>
                  </w14:solidFill>
                </w14:textFill>
              </w:rPr>
              <w:t>处理效率降低</w:t>
            </w:r>
            <w:r>
              <w:rPr>
                <w:rFonts w:hint="default" w:ascii="Times New Roman" w:hAnsi="Times New Roman" w:eastAsia="宋体" w:cs="Times New Roman"/>
                <w:color w:val="000000" w:themeColor="text1"/>
                <w:sz w:val="24"/>
                <w:lang w:eastAsia="zh-CN"/>
                <w14:textFill>
                  <w14:solidFill>
                    <w14:schemeClr w14:val="tx1"/>
                  </w14:solidFill>
                </w14:textFill>
              </w:rPr>
              <w:t>至</w:t>
            </w:r>
            <w:r>
              <w:rPr>
                <w:rFonts w:hint="eastAsia" w:cs="Times New Roman"/>
                <w:color w:val="000000" w:themeColor="text1"/>
                <w:sz w:val="24"/>
                <w:lang w:val="en-US" w:eastAsia="zh-CN"/>
                <w14:textFill>
                  <w14:solidFill>
                    <w14:schemeClr w14:val="tx1"/>
                  </w14:solidFill>
                </w14:textFill>
              </w:rPr>
              <w:t>90</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时</w:t>
            </w:r>
            <w:r>
              <w:rPr>
                <w:rFonts w:hint="eastAsia" w:ascii="Times New Roman" w:hAnsi="Times New Roman" w:eastAsia="宋体" w:cs="Times New Roman"/>
                <w:color w:val="000000" w:themeColor="text1"/>
                <w:sz w:val="24"/>
                <w:lang w:val="en-US" w:eastAsia="zh-CN"/>
                <w14:textFill>
                  <w14:solidFill>
                    <w14:schemeClr w14:val="tx1"/>
                  </w14:solidFill>
                </w14:textFill>
              </w:rPr>
              <w:t>；③</w:t>
            </w:r>
            <w:r>
              <w:rPr>
                <w:rFonts w:hint="eastAsia" w:cs="Times New Roman"/>
                <w:color w:val="000000" w:themeColor="text1"/>
                <w:sz w:val="24"/>
                <w:lang w:val="en-US" w:eastAsia="zh-CN"/>
                <w14:textFill>
                  <w14:solidFill>
                    <w14:schemeClr w14:val="tx1"/>
                  </w14:solidFill>
                </w14:textFill>
              </w:rPr>
              <w:t>本次考虑“</w:t>
            </w:r>
            <w:r>
              <w:rPr>
                <w:rFonts w:hint="eastAsia" w:ascii="Times New Roman" w:hAnsi="Times New Roman" w:eastAsia="宋体" w:cs="Times New Roman"/>
                <w:color w:val="000000" w:themeColor="text1"/>
                <w:sz w:val="24"/>
                <w:lang w:val="en-US" w:eastAsia="zh-CN"/>
                <w14:textFill>
                  <w14:solidFill>
                    <w14:schemeClr w14:val="tx1"/>
                  </w14:solidFill>
                </w14:textFill>
              </w:rPr>
              <w:t>两级活性炭吸附设施</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均损坏故障，对有机废气</w:t>
            </w:r>
            <w:r>
              <w:rPr>
                <w:rFonts w:hint="default" w:ascii="Times New Roman" w:hAnsi="Times New Roman" w:eastAsia="宋体" w:cs="Times New Roman"/>
                <w:color w:val="000000" w:themeColor="text1"/>
                <w:sz w:val="24"/>
                <w:lang w:val="en-US" w:eastAsia="zh-CN"/>
                <w14:textFill>
                  <w14:solidFill>
                    <w14:schemeClr w14:val="tx1"/>
                  </w14:solidFill>
                </w14:textFill>
              </w:rPr>
              <w:t>的</w:t>
            </w:r>
            <w:r>
              <w:rPr>
                <w:rFonts w:hint="default" w:ascii="Times New Roman" w:hAnsi="Times New Roman" w:eastAsia="宋体" w:cs="Times New Roman"/>
                <w:color w:val="000000" w:themeColor="text1"/>
                <w:sz w:val="24"/>
                <w14:textFill>
                  <w14:solidFill>
                    <w14:schemeClr w14:val="tx1"/>
                  </w14:solidFill>
                </w14:textFill>
              </w:rPr>
              <w:t>处理效率降低</w:t>
            </w:r>
            <w:r>
              <w:rPr>
                <w:rFonts w:hint="default" w:ascii="Times New Roman" w:hAnsi="Times New Roman" w:eastAsia="宋体" w:cs="Times New Roman"/>
                <w:color w:val="000000" w:themeColor="text1"/>
                <w:sz w:val="24"/>
                <w:lang w:eastAsia="zh-CN"/>
                <w14:textFill>
                  <w14:solidFill>
                    <w14:schemeClr w14:val="tx1"/>
                  </w14:solidFill>
                </w14:textFill>
              </w:rPr>
              <w:t>至</w:t>
            </w:r>
            <w:r>
              <w:rPr>
                <w:rFonts w:hint="eastAsia" w:cs="Times New Roman"/>
                <w:color w:val="000000" w:themeColor="text1"/>
                <w:sz w:val="24"/>
                <w:lang w:val="en-US" w:eastAsia="zh-CN"/>
                <w14:textFill>
                  <w14:solidFill>
                    <w14:schemeClr w14:val="tx1"/>
                  </w14:solidFill>
                </w14:textFill>
              </w:rPr>
              <w:t>0</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时，</w:t>
            </w:r>
            <w:r>
              <w:rPr>
                <w:rFonts w:hint="eastAsia" w:ascii="Times New Roman" w:hAnsi="Times New Roman" w:eastAsia="宋体" w:cs="Times New Roman"/>
                <w:color w:val="000000" w:themeColor="text1"/>
                <w:sz w:val="24"/>
                <w:lang w:val="en-US" w:eastAsia="zh-CN"/>
                <w14:textFill>
                  <w14:solidFill>
                    <w14:schemeClr w14:val="tx1"/>
                  </w14:solidFill>
                </w14:textFill>
              </w:rPr>
              <w:t>DA001、DA002</w:t>
            </w:r>
            <w:r>
              <w:rPr>
                <w:rFonts w:hint="default" w:ascii="Times New Roman" w:hAnsi="Times New Roman" w:eastAsia="宋体" w:cs="Times New Roman"/>
                <w:color w:val="000000" w:themeColor="text1"/>
                <w:sz w:val="24"/>
                <w:lang w:val="en-US" w:eastAsia="zh-CN"/>
                <w14:textFill>
                  <w14:solidFill>
                    <w14:schemeClr w14:val="tx1"/>
                  </w14:solidFill>
                </w14:textFill>
              </w:rPr>
              <w:t>排气筒非正常排放情况。</w:t>
            </w:r>
          </w:p>
          <w:p w14:paraId="2245422C">
            <w:pPr>
              <w:keepNext w:val="0"/>
              <w:keepLines/>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eastAsia="zh-CN"/>
                <w14:textFill>
                  <w14:solidFill>
                    <w14:schemeClr w14:val="tx1"/>
                  </w14:solidFill>
                </w14:textFill>
              </w:rPr>
              <w:t>表</w:t>
            </w: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4-</w:t>
            </w:r>
            <w:r>
              <w:rPr>
                <w:rFonts w:hint="eastAsia" w:cs="Times New Roman"/>
                <w:b/>
                <w:color w:val="000000" w:themeColor="text1"/>
                <w:kern w:val="0"/>
                <w:sz w:val="21"/>
                <w:szCs w:val="21"/>
                <w:highlight w:val="none"/>
                <w:lang w:val="en-US" w:eastAsia="zh-CN"/>
                <w14:textFill>
                  <w14:solidFill>
                    <w14:schemeClr w14:val="tx1"/>
                  </w14:solidFill>
                </w14:textFill>
              </w:rPr>
              <w:t>9</w:t>
            </w: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 xml:space="preserve"> 非正常工况污染物排放情况</w:t>
            </w:r>
          </w:p>
          <w:tbl>
            <w:tblPr>
              <w:tblStyle w:val="34"/>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915"/>
              <w:gridCol w:w="900"/>
              <w:gridCol w:w="1156"/>
              <w:gridCol w:w="1064"/>
              <w:gridCol w:w="903"/>
              <w:gridCol w:w="816"/>
              <w:gridCol w:w="781"/>
              <w:gridCol w:w="763"/>
            </w:tblGrid>
            <w:tr w14:paraId="0D1F8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noWrap w:val="0"/>
                  <w:vAlign w:val="center"/>
                </w:tcPr>
                <w:p w14:paraId="57101CD7">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t>非正常排放源</w:t>
                  </w:r>
                </w:p>
              </w:tc>
              <w:tc>
                <w:tcPr>
                  <w:tcW w:w="915" w:type="dxa"/>
                  <w:noWrap w:val="0"/>
                  <w:vAlign w:val="center"/>
                </w:tcPr>
                <w:p w14:paraId="7E891561">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t>非正常排放原因</w:t>
                  </w:r>
                </w:p>
              </w:tc>
              <w:tc>
                <w:tcPr>
                  <w:tcW w:w="900" w:type="dxa"/>
                  <w:noWrap w:val="0"/>
                  <w:vAlign w:val="center"/>
                </w:tcPr>
                <w:p w14:paraId="4DA5B912">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t>污染物</w:t>
                  </w:r>
                </w:p>
              </w:tc>
              <w:tc>
                <w:tcPr>
                  <w:tcW w:w="1156" w:type="dxa"/>
                  <w:noWrap w:val="0"/>
                  <w:vAlign w:val="center"/>
                </w:tcPr>
                <w:p w14:paraId="6CE77DAD">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t>非正常</w:t>
                  </w: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排放浓度mg/m</w:t>
                  </w:r>
                  <w:r>
                    <w:rPr>
                      <w:rFonts w:hint="default" w:ascii="Times New Roman" w:hAnsi="Times New Roman" w:eastAsia="宋体" w:cs="Times New Roman"/>
                      <w:b w:val="0"/>
                      <w:bCs/>
                      <w:color w:val="000000" w:themeColor="text1"/>
                      <w:kern w:val="0"/>
                      <w:sz w:val="21"/>
                      <w:szCs w:val="21"/>
                      <w:highlight w:val="none"/>
                      <w:vertAlign w:val="superscript"/>
                      <w14:textFill>
                        <w14:solidFill>
                          <w14:schemeClr w14:val="tx1"/>
                        </w14:solidFill>
                      </w14:textFill>
                    </w:rPr>
                    <w:t>3</w:t>
                  </w:r>
                </w:p>
              </w:tc>
              <w:tc>
                <w:tcPr>
                  <w:tcW w:w="1064" w:type="dxa"/>
                  <w:noWrap w:val="0"/>
                  <w:vAlign w:val="center"/>
                </w:tcPr>
                <w:p w14:paraId="2C9D6E3E">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t>非正常排放速率</w:t>
                  </w: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/kg/h</w:t>
                  </w:r>
                </w:p>
              </w:tc>
              <w:tc>
                <w:tcPr>
                  <w:tcW w:w="903" w:type="dxa"/>
                  <w:noWrap w:val="0"/>
                  <w:vAlign w:val="center"/>
                </w:tcPr>
                <w:p w14:paraId="32279ABA">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t>实际</w:t>
                  </w: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治理效率</w:t>
                  </w:r>
                  <w:r>
                    <w:rPr>
                      <w:rFonts w:hint="eastAsia" w:cs="Times New Roman"/>
                      <w:b w:val="0"/>
                      <w:bCs/>
                      <w:color w:val="000000" w:themeColor="text1"/>
                      <w:kern w:val="0"/>
                      <w:sz w:val="21"/>
                      <w:szCs w:val="21"/>
                      <w:highlight w:val="none"/>
                      <w:lang w:val="en-US" w:eastAsia="zh-CN"/>
                      <w14:textFill>
                        <w14:solidFill>
                          <w14:schemeClr w14:val="tx1"/>
                        </w14:solidFill>
                      </w14:textFill>
                    </w:rPr>
                    <w:t>%</w:t>
                  </w:r>
                </w:p>
              </w:tc>
              <w:tc>
                <w:tcPr>
                  <w:tcW w:w="816" w:type="dxa"/>
                  <w:noWrap w:val="0"/>
                  <w:vAlign w:val="center"/>
                </w:tcPr>
                <w:p w14:paraId="1A29EC17">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t>单次持续时间</w:t>
                  </w: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/h</w:t>
                  </w:r>
                </w:p>
              </w:tc>
              <w:tc>
                <w:tcPr>
                  <w:tcW w:w="781" w:type="dxa"/>
                  <w:noWrap w:val="0"/>
                  <w:vAlign w:val="center"/>
                </w:tcPr>
                <w:p w14:paraId="2C60F392">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t>年发生频次</w:t>
                  </w: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/次</w:t>
                  </w:r>
                </w:p>
              </w:tc>
              <w:tc>
                <w:tcPr>
                  <w:tcW w:w="763" w:type="dxa"/>
                  <w:noWrap w:val="0"/>
                  <w:vAlign w:val="center"/>
                </w:tcPr>
                <w:p w14:paraId="38D80776">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t>应对措施</w:t>
                  </w:r>
                </w:p>
              </w:tc>
            </w:tr>
            <w:tr w14:paraId="645F0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restart"/>
                  <w:noWrap w:val="0"/>
                  <w:vAlign w:val="center"/>
                </w:tcPr>
                <w:p w14:paraId="0C90BD93">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DA001</w:t>
                  </w:r>
                </w:p>
              </w:tc>
              <w:tc>
                <w:tcPr>
                  <w:tcW w:w="915" w:type="dxa"/>
                  <w:vMerge w:val="restart"/>
                  <w:noWrap w:val="0"/>
                  <w:vAlign w:val="center"/>
                </w:tcPr>
                <w:p w14:paraId="21AD5269">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r>
                    <w:rPr>
                      <w:rFonts w:hint="eastAsia" w:cs="Times New Roman"/>
                      <w:b w:val="0"/>
                      <w:bCs/>
                      <w:color w:val="000000" w:themeColor="text1"/>
                      <w:kern w:val="0"/>
                      <w:sz w:val="21"/>
                      <w:szCs w:val="21"/>
                      <w:highlight w:val="none"/>
                      <w:vertAlign w:val="baseline"/>
                      <w:lang w:eastAsia="zh-CN"/>
                      <w14:textFill>
                        <w14:solidFill>
                          <w14:schemeClr w14:val="tx1"/>
                        </w14:solidFill>
                      </w14:textFill>
                    </w:rPr>
                    <w:t>废气治理设施效率降低</w:t>
                  </w:r>
                </w:p>
              </w:tc>
              <w:tc>
                <w:tcPr>
                  <w:tcW w:w="900" w:type="dxa"/>
                  <w:noWrap w:val="0"/>
                  <w:vAlign w:val="center"/>
                </w:tcPr>
                <w:p w14:paraId="59FE9E7B">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r>
                    <w:rPr>
                      <w:rFonts w:hint="eastAsia" w:cs="Times New Roman"/>
                      <w:b w:val="0"/>
                      <w:bCs/>
                      <w:color w:val="000000" w:themeColor="text1"/>
                      <w:kern w:val="0"/>
                      <w:sz w:val="21"/>
                      <w:szCs w:val="21"/>
                      <w:highlight w:val="none"/>
                      <w:vertAlign w:val="baseline"/>
                      <w:lang w:eastAsia="zh-CN"/>
                      <w14:textFill>
                        <w14:solidFill>
                          <w14:schemeClr w14:val="tx1"/>
                        </w14:solidFill>
                      </w14:textFill>
                    </w:rPr>
                    <w:t>颗粒物</w:t>
                  </w:r>
                </w:p>
              </w:tc>
              <w:tc>
                <w:tcPr>
                  <w:tcW w:w="1156" w:type="dxa"/>
                  <w:noWrap w:val="0"/>
                  <w:vAlign w:val="center"/>
                </w:tcPr>
                <w:p w14:paraId="186ABA2B">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71.0</w:t>
                  </w:r>
                </w:p>
              </w:tc>
              <w:tc>
                <w:tcPr>
                  <w:tcW w:w="1064" w:type="dxa"/>
                  <w:noWrap w:val="0"/>
                  <w:vAlign w:val="center"/>
                </w:tcPr>
                <w:p w14:paraId="29EC57CF">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0.</w:t>
                  </w: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226</w:t>
                  </w:r>
                </w:p>
              </w:tc>
              <w:tc>
                <w:tcPr>
                  <w:tcW w:w="903" w:type="dxa"/>
                  <w:noWrap w:val="0"/>
                  <w:vAlign w:val="center"/>
                </w:tcPr>
                <w:p w14:paraId="5B981FFC">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90</w:t>
                  </w:r>
                </w:p>
              </w:tc>
              <w:tc>
                <w:tcPr>
                  <w:tcW w:w="816" w:type="dxa"/>
                  <w:noWrap w:val="0"/>
                  <w:vAlign w:val="center"/>
                </w:tcPr>
                <w:p w14:paraId="286E05DB">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1</w:t>
                  </w:r>
                </w:p>
              </w:tc>
              <w:tc>
                <w:tcPr>
                  <w:tcW w:w="781" w:type="dxa"/>
                  <w:noWrap w:val="0"/>
                  <w:vAlign w:val="center"/>
                </w:tcPr>
                <w:p w14:paraId="1CAE8A18">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1</w:t>
                  </w:r>
                </w:p>
              </w:tc>
              <w:tc>
                <w:tcPr>
                  <w:tcW w:w="763" w:type="dxa"/>
                  <w:vMerge w:val="restart"/>
                  <w:noWrap w:val="0"/>
                  <w:vAlign w:val="center"/>
                </w:tcPr>
                <w:p w14:paraId="2334F66C">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设备关停检修</w:t>
                  </w:r>
                </w:p>
              </w:tc>
            </w:tr>
            <w:tr w14:paraId="780A5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7" w:type="dxa"/>
                  <w:vMerge w:val="continue"/>
                  <w:noWrap w:val="0"/>
                  <w:vAlign w:val="center"/>
                </w:tcPr>
                <w:p w14:paraId="214338C3">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p>
              </w:tc>
              <w:tc>
                <w:tcPr>
                  <w:tcW w:w="915" w:type="dxa"/>
                  <w:vMerge w:val="continue"/>
                  <w:noWrap w:val="0"/>
                  <w:vAlign w:val="center"/>
                </w:tcPr>
                <w:p w14:paraId="3BD5A8D5">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p>
              </w:tc>
              <w:tc>
                <w:tcPr>
                  <w:tcW w:w="900" w:type="dxa"/>
                  <w:noWrap w:val="0"/>
                  <w:vAlign w:val="center"/>
                </w:tcPr>
                <w:p w14:paraId="7399BDAB">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r>
                    <w:rPr>
                      <w:rFonts w:hint="eastAsia" w:cs="Times New Roman"/>
                      <w:b w:val="0"/>
                      <w:bCs/>
                      <w:color w:val="000000" w:themeColor="text1"/>
                      <w:kern w:val="0"/>
                      <w:sz w:val="21"/>
                      <w:szCs w:val="21"/>
                      <w:highlight w:val="none"/>
                      <w:vertAlign w:val="baseline"/>
                      <w:lang w:eastAsia="zh-CN"/>
                      <w14:textFill>
                        <w14:solidFill>
                          <w14:schemeClr w14:val="tx1"/>
                        </w14:solidFill>
                      </w14:textFill>
                    </w:rPr>
                    <w:t>氮氧化物</w:t>
                  </w:r>
                </w:p>
              </w:tc>
              <w:tc>
                <w:tcPr>
                  <w:tcW w:w="1156" w:type="dxa"/>
                  <w:noWrap w:val="0"/>
                  <w:vAlign w:val="center"/>
                </w:tcPr>
                <w:p w14:paraId="62399A14">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200</w:t>
                  </w:r>
                </w:p>
              </w:tc>
              <w:tc>
                <w:tcPr>
                  <w:tcW w:w="1064" w:type="dxa"/>
                  <w:noWrap w:val="0"/>
                  <w:vAlign w:val="center"/>
                </w:tcPr>
                <w:p w14:paraId="56824481">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0.6366</w:t>
                  </w:r>
                </w:p>
              </w:tc>
              <w:tc>
                <w:tcPr>
                  <w:tcW w:w="903" w:type="dxa"/>
                  <w:noWrap w:val="0"/>
                  <w:vAlign w:val="center"/>
                </w:tcPr>
                <w:p w14:paraId="6F7ED483">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0</w:t>
                  </w:r>
                </w:p>
              </w:tc>
              <w:tc>
                <w:tcPr>
                  <w:tcW w:w="816" w:type="dxa"/>
                  <w:noWrap w:val="0"/>
                  <w:vAlign w:val="center"/>
                </w:tcPr>
                <w:p w14:paraId="063AE8D6">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1</w:t>
                  </w:r>
                </w:p>
              </w:tc>
              <w:tc>
                <w:tcPr>
                  <w:tcW w:w="781" w:type="dxa"/>
                  <w:noWrap w:val="0"/>
                  <w:vAlign w:val="center"/>
                </w:tcPr>
                <w:p w14:paraId="74489AC3">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1</w:t>
                  </w:r>
                </w:p>
              </w:tc>
              <w:tc>
                <w:tcPr>
                  <w:tcW w:w="763" w:type="dxa"/>
                  <w:vMerge w:val="continue"/>
                  <w:noWrap w:val="0"/>
                  <w:vAlign w:val="center"/>
                </w:tcPr>
                <w:p w14:paraId="209A17D7">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p>
              </w:tc>
            </w:tr>
            <w:tr w14:paraId="65C97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restart"/>
                  <w:noWrap w:val="0"/>
                  <w:vAlign w:val="center"/>
                </w:tcPr>
                <w:p w14:paraId="065EC47C">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DA002</w:t>
                  </w:r>
                </w:p>
              </w:tc>
              <w:tc>
                <w:tcPr>
                  <w:tcW w:w="915" w:type="dxa"/>
                  <w:vMerge w:val="restart"/>
                  <w:noWrap w:val="0"/>
                  <w:vAlign w:val="center"/>
                </w:tcPr>
                <w:p w14:paraId="6AA59B7A">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r>
                    <w:rPr>
                      <w:rFonts w:hint="eastAsia" w:cs="Times New Roman"/>
                      <w:b w:val="0"/>
                      <w:bCs/>
                      <w:color w:val="000000" w:themeColor="text1"/>
                      <w:kern w:val="0"/>
                      <w:sz w:val="21"/>
                      <w:szCs w:val="21"/>
                      <w:highlight w:val="none"/>
                      <w:vertAlign w:val="baseline"/>
                      <w:lang w:eastAsia="zh-CN"/>
                      <w14:textFill>
                        <w14:solidFill>
                          <w14:schemeClr w14:val="tx1"/>
                        </w14:solidFill>
                      </w14:textFill>
                    </w:rPr>
                    <w:t>废气治理设施效率降低</w:t>
                  </w:r>
                </w:p>
              </w:tc>
              <w:tc>
                <w:tcPr>
                  <w:tcW w:w="900" w:type="dxa"/>
                  <w:noWrap w:val="0"/>
                  <w:vAlign w:val="center"/>
                </w:tcPr>
                <w:p w14:paraId="5075996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非甲烷总烃</w:t>
                  </w:r>
                </w:p>
              </w:tc>
              <w:tc>
                <w:tcPr>
                  <w:tcW w:w="1156" w:type="dxa"/>
                  <w:noWrap w:val="0"/>
                  <w:vAlign w:val="center"/>
                </w:tcPr>
                <w:p w14:paraId="7CC305C7">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9.714</w:t>
                  </w:r>
                </w:p>
              </w:tc>
              <w:tc>
                <w:tcPr>
                  <w:tcW w:w="1064" w:type="dxa"/>
                  <w:noWrap w:val="0"/>
                  <w:vAlign w:val="center"/>
                </w:tcPr>
                <w:p w14:paraId="23BC7226">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0.074</w:t>
                  </w:r>
                </w:p>
              </w:tc>
              <w:tc>
                <w:tcPr>
                  <w:tcW w:w="903" w:type="dxa"/>
                  <w:noWrap w:val="0"/>
                  <w:vAlign w:val="center"/>
                </w:tcPr>
                <w:p w14:paraId="62B4589C">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0</w:t>
                  </w:r>
                </w:p>
              </w:tc>
              <w:tc>
                <w:tcPr>
                  <w:tcW w:w="816" w:type="dxa"/>
                  <w:noWrap w:val="0"/>
                  <w:vAlign w:val="center"/>
                </w:tcPr>
                <w:p w14:paraId="14711992">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1</w:t>
                  </w:r>
                </w:p>
              </w:tc>
              <w:tc>
                <w:tcPr>
                  <w:tcW w:w="781" w:type="dxa"/>
                  <w:noWrap w:val="0"/>
                  <w:vAlign w:val="center"/>
                </w:tcPr>
                <w:p w14:paraId="416B0369">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1</w:t>
                  </w:r>
                </w:p>
              </w:tc>
              <w:tc>
                <w:tcPr>
                  <w:tcW w:w="763" w:type="dxa"/>
                  <w:vMerge w:val="restart"/>
                  <w:noWrap w:val="0"/>
                  <w:vAlign w:val="center"/>
                </w:tcPr>
                <w:p w14:paraId="69977C7E">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设备关停检修</w:t>
                  </w:r>
                </w:p>
              </w:tc>
            </w:tr>
            <w:tr w14:paraId="3B662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continue"/>
                  <w:noWrap w:val="0"/>
                  <w:vAlign w:val="center"/>
                </w:tcPr>
                <w:p w14:paraId="591EA5A8">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p>
              </w:tc>
              <w:tc>
                <w:tcPr>
                  <w:tcW w:w="915" w:type="dxa"/>
                  <w:vMerge w:val="continue"/>
                  <w:noWrap w:val="0"/>
                  <w:vAlign w:val="center"/>
                </w:tcPr>
                <w:p w14:paraId="15A3608E">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p>
              </w:tc>
              <w:tc>
                <w:tcPr>
                  <w:tcW w:w="900" w:type="dxa"/>
                  <w:noWrap w:val="0"/>
                  <w:vAlign w:val="center"/>
                </w:tcPr>
                <w:p w14:paraId="245643A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甲苯</w:t>
                  </w:r>
                </w:p>
              </w:tc>
              <w:tc>
                <w:tcPr>
                  <w:tcW w:w="1156" w:type="dxa"/>
                  <w:noWrap w:val="0"/>
                  <w:vAlign w:val="center"/>
                </w:tcPr>
                <w:p w14:paraId="6FE00F45">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0.0314</w:t>
                  </w:r>
                </w:p>
              </w:tc>
              <w:tc>
                <w:tcPr>
                  <w:tcW w:w="1064" w:type="dxa"/>
                  <w:noWrap w:val="0"/>
                  <w:vAlign w:val="center"/>
                </w:tcPr>
                <w:p w14:paraId="1EC98A99">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0.00022</w:t>
                  </w:r>
                </w:p>
              </w:tc>
              <w:tc>
                <w:tcPr>
                  <w:tcW w:w="903" w:type="dxa"/>
                  <w:noWrap w:val="0"/>
                  <w:vAlign w:val="center"/>
                </w:tcPr>
                <w:p w14:paraId="4E4A8A9B">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0</w:t>
                  </w:r>
                </w:p>
              </w:tc>
              <w:tc>
                <w:tcPr>
                  <w:tcW w:w="816" w:type="dxa"/>
                  <w:noWrap w:val="0"/>
                  <w:vAlign w:val="center"/>
                </w:tcPr>
                <w:p w14:paraId="2176A137">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1</w:t>
                  </w:r>
                </w:p>
              </w:tc>
              <w:tc>
                <w:tcPr>
                  <w:tcW w:w="781" w:type="dxa"/>
                  <w:noWrap w:val="0"/>
                  <w:vAlign w:val="center"/>
                </w:tcPr>
                <w:p w14:paraId="4745F466">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1</w:t>
                  </w:r>
                </w:p>
              </w:tc>
              <w:tc>
                <w:tcPr>
                  <w:tcW w:w="763" w:type="dxa"/>
                  <w:vMerge w:val="continue"/>
                  <w:noWrap w:val="0"/>
                  <w:vAlign w:val="center"/>
                </w:tcPr>
                <w:p w14:paraId="2045730B">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p>
              </w:tc>
            </w:tr>
            <w:tr w14:paraId="3871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continue"/>
                  <w:noWrap w:val="0"/>
                  <w:vAlign w:val="center"/>
                </w:tcPr>
                <w:p w14:paraId="39F576F5">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p>
              </w:tc>
              <w:tc>
                <w:tcPr>
                  <w:tcW w:w="915" w:type="dxa"/>
                  <w:vMerge w:val="continue"/>
                  <w:noWrap w:val="0"/>
                  <w:vAlign w:val="center"/>
                </w:tcPr>
                <w:p w14:paraId="37AF5DE2">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p>
              </w:tc>
              <w:tc>
                <w:tcPr>
                  <w:tcW w:w="900" w:type="dxa"/>
                  <w:noWrap w:val="0"/>
                  <w:vAlign w:val="center"/>
                </w:tcPr>
                <w:p w14:paraId="56FF50C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乙苯</w:t>
                  </w:r>
                </w:p>
              </w:tc>
              <w:tc>
                <w:tcPr>
                  <w:tcW w:w="1156" w:type="dxa"/>
                  <w:noWrap w:val="0"/>
                  <w:vAlign w:val="center"/>
                </w:tcPr>
                <w:p w14:paraId="37EDBDB4">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0.0257</w:t>
                  </w:r>
                </w:p>
              </w:tc>
              <w:tc>
                <w:tcPr>
                  <w:tcW w:w="1064" w:type="dxa"/>
                  <w:noWrap w:val="0"/>
                  <w:vAlign w:val="center"/>
                </w:tcPr>
                <w:p w14:paraId="2323A4FF">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0.00018</w:t>
                  </w:r>
                </w:p>
              </w:tc>
              <w:tc>
                <w:tcPr>
                  <w:tcW w:w="903" w:type="dxa"/>
                  <w:noWrap w:val="0"/>
                  <w:vAlign w:val="center"/>
                </w:tcPr>
                <w:p w14:paraId="20D6E5B0">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0</w:t>
                  </w:r>
                </w:p>
              </w:tc>
              <w:tc>
                <w:tcPr>
                  <w:tcW w:w="816" w:type="dxa"/>
                  <w:noWrap w:val="0"/>
                  <w:vAlign w:val="center"/>
                </w:tcPr>
                <w:p w14:paraId="3AE28622">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1</w:t>
                  </w:r>
                </w:p>
              </w:tc>
              <w:tc>
                <w:tcPr>
                  <w:tcW w:w="781" w:type="dxa"/>
                  <w:noWrap w:val="0"/>
                  <w:vAlign w:val="center"/>
                </w:tcPr>
                <w:p w14:paraId="49CCDE30">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1</w:t>
                  </w:r>
                </w:p>
              </w:tc>
              <w:tc>
                <w:tcPr>
                  <w:tcW w:w="763" w:type="dxa"/>
                  <w:vMerge w:val="continue"/>
                  <w:noWrap w:val="0"/>
                  <w:vAlign w:val="center"/>
                </w:tcPr>
                <w:p w14:paraId="59E74759">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p>
              </w:tc>
            </w:tr>
            <w:tr w14:paraId="6DE55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continue"/>
                  <w:noWrap w:val="0"/>
                  <w:vAlign w:val="center"/>
                </w:tcPr>
                <w:p w14:paraId="302256B5">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p>
              </w:tc>
              <w:tc>
                <w:tcPr>
                  <w:tcW w:w="915" w:type="dxa"/>
                  <w:vMerge w:val="continue"/>
                  <w:noWrap w:val="0"/>
                  <w:vAlign w:val="center"/>
                </w:tcPr>
                <w:p w14:paraId="3B2DEBD3">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p>
              </w:tc>
              <w:tc>
                <w:tcPr>
                  <w:tcW w:w="900" w:type="dxa"/>
                  <w:noWrap w:val="0"/>
                  <w:vAlign w:val="center"/>
                </w:tcPr>
                <w:p w14:paraId="7C4BA7B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苯乙烯</w:t>
                  </w:r>
                </w:p>
              </w:tc>
              <w:tc>
                <w:tcPr>
                  <w:tcW w:w="1156" w:type="dxa"/>
                  <w:noWrap w:val="0"/>
                  <w:vAlign w:val="center"/>
                </w:tcPr>
                <w:p w14:paraId="2763C30B">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0.857</w:t>
                  </w:r>
                </w:p>
              </w:tc>
              <w:tc>
                <w:tcPr>
                  <w:tcW w:w="1064" w:type="dxa"/>
                  <w:noWrap w:val="0"/>
                  <w:vAlign w:val="center"/>
                </w:tcPr>
                <w:p w14:paraId="0B918ACF">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0.006</w:t>
                  </w:r>
                </w:p>
              </w:tc>
              <w:tc>
                <w:tcPr>
                  <w:tcW w:w="903" w:type="dxa"/>
                  <w:noWrap w:val="0"/>
                  <w:vAlign w:val="center"/>
                </w:tcPr>
                <w:p w14:paraId="6B0C843C">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0</w:t>
                  </w:r>
                </w:p>
              </w:tc>
              <w:tc>
                <w:tcPr>
                  <w:tcW w:w="816" w:type="dxa"/>
                  <w:noWrap w:val="0"/>
                  <w:vAlign w:val="center"/>
                </w:tcPr>
                <w:p w14:paraId="6622015C">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1</w:t>
                  </w:r>
                </w:p>
              </w:tc>
              <w:tc>
                <w:tcPr>
                  <w:tcW w:w="781" w:type="dxa"/>
                  <w:noWrap w:val="0"/>
                  <w:vAlign w:val="center"/>
                </w:tcPr>
                <w:p w14:paraId="08E10607">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1</w:t>
                  </w:r>
                </w:p>
              </w:tc>
              <w:tc>
                <w:tcPr>
                  <w:tcW w:w="763" w:type="dxa"/>
                  <w:vMerge w:val="continue"/>
                  <w:noWrap w:val="0"/>
                  <w:vAlign w:val="center"/>
                </w:tcPr>
                <w:p w14:paraId="60E43FCD">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p>
              </w:tc>
            </w:tr>
          </w:tbl>
          <w:p w14:paraId="76AE1E6D">
            <w:pPr>
              <w:keepNext w:val="0"/>
              <w:keepLines/>
              <w:pageBreakBefore w:val="0"/>
              <w:widowControl w:val="0"/>
              <w:kinsoku/>
              <w:wordWrap/>
              <w:overflowPunct/>
              <w:topLinePunct w:val="0"/>
              <w:autoSpaceDE/>
              <w:autoSpaceDN/>
              <w:bidi w:val="0"/>
              <w:adjustRightInd/>
              <w:snapToGrid/>
              <w:spacing w:line="240" w:lineRule="auto"/>
              <w:ind w:firstLine="420"/>
              <w:jc w:val="center"/>
              <w:textAlignment w:val="auto"/>
              <w:rPr>
                <w:color w:val="000000" w:themeColor="text1"/>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eastAsia="zh-CN"/>
                <w14:textFill>
                  <w14:solidFill>
                    <w14:schemeClr w14:val="tx1"/>
                  </w14:solidFill>
                </w14:textFill>
              </w:rPr>
              <w:t>表</w:t>
            </w: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4-</w:t>
            </w:r>
            <w:r>
              <w:rPr>
                <w:rFonts w:hint="eastAsia" w:cs="Times New Roman"/>
                <w:b/>
                <w:color w:val="000000" w:themeColor="text1"/>
                <w:kern w:val="0"/>
                <w:sz w:val="21"/>
                <w:szCs w:val="21"/>
                <w:highlight w:val="none"/>
                <w:lang w:val="en-US" w:eastAsia="zh-CN"/>
                <w14:textFill>
                  <w14:solidFill>
                    <w14:schemeClr w14:val="tx1"/>
                  </w14:solidFill>
                </w14:textFill>
              </w:rPr>
              <w:t>10</w:t>
            </w: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 xml:space="preserve"> 非正常工况污染物</w:t>
            </w:r>
            <w:r>
              <w:rPr>
                <w:rFonts w:hint="eastAsia" w:cs="Times New Roman"/>
                <w:b/>
                <w:color w:val="000000" w:themeColor="text1"/>
                <w:kern w:val="0"/>
                <w:sz w:val="21"/>
                <w:szCs w:val="21"/>
                <w:highlight w:val="none"/>
                <w:lang w:val="en-US" w:eastAsia="zh-CN"/>
                <w14:textFill>
                  <w14:solidFill>
                    <w14:schemeClr w14:val="tx1"/>
                  </w14:solidFill>
                </w14:textFill>
              </w:rPr>
              <w:t>达标</w:t>
            </w: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情况</w:t>
            </w:r>
          </w:p>
          <w:tbl>
            <w:tblPr>
              <w:tblStyle w:val="3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58"/>
              <w:gridCol w:w="1408"/>
              <w:gridCol w:w="711"/>
              <w:gridCol w:w="1949"/>
              <w:gridCol w:w="1828"/>
              <w:gridCol w:w="1247"/>
            </w:tblGrid>
            <w:tr w14:paraId="228F2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645" w:type="pct"/>
                  <w:shd w:val="clear" w:color="000000" w:fill="FFFFFF"/>
                  <w:vAlign w:val="center"/>
                </w:tcPr>
                <w:p w14:paraId="669B3D5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val="0"/>
                      <w:color w:val="000000" w:themeColor="text1"/>
                      <w:kern w:val="0"/>
                      <w:sz w:val="21"/>
                      <w:szCs w:val="21"/>
                      <w:highlight w:val="none"/>
                      <w:lang w:eastAsia="zh-CN"/>
                      <w14:textFill>
                        <w14:solidFill>
                          <w14:schemeClr w14:val="tx1"/>
                        </w14:solidFill>
                      </w14:textFill>
                    </w:rPr>
                  </w:pPr>
                  <w:r>
                    <w:rPr>
                      <w:rFonts w:hint="eastAsia" w:cs="Times New Roman"/>
                      <w:b/>
                      <w:bCs w:val="0"/>
                      <w:color w:val="000000" w:themeColor="text1"/>
                      <w:kern w:val="0"/>
                      <w:sz w:val="21"/>
                      <w:szCs w:val="21"/>
                      <w:highlight w:val="none"/>
                      <w:lang w:eastAsia="zh-CN"/>
                      <w14:textFill>
                        <w14:solidFill>
                          <w14:schemeClr w14:val="tx1"/>
                        </w14:solidFill>
                      </w14:textFill>
                    </w:rPr>
                    <w:t>排放口</w:t>
                  </w:r>
                </w:p>
              </w:tc>
              <w:tc>
                <w:tcPr>
                  <w:tcW w:w="858" w:type="pct"/>
                  <w:shd w:val="clear" w:color="000000" w:fill="FFFFFF"/>
                  <w:vAlign w:val="center"/>
                </w:tcPr>
                <w:p w14:paraId="43D76EA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污染物</w:t>
                  </w:r>
                </w:p>
              </w:tc>
              <w:tc>
                <w:tcPr>
                  <w:tcW w:w="433" w:type="pct"/>
                  <w:shd w:val="clear" w:color="000000" w:fill="FFFFFF"/>
                  <w:vAlign w:val="center"/>
                </w:tcPr>
                <w:p w14:paraId="69D20FD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治理效率</w:t>
                  </w:r>
                </w:p>
              </w:tc>
              <w:tc>
                <w:tcPr>
                  <w:tcW w:w="1188" w:type="pct"/>
                  <w:shd w:val="clear" w:color="000000" w:fill="FFFFFF"/>
                  <w:vAlign w:val="center"/>
                </w:tcPr>
                <w:p w14:paraId="1369530C">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排放浓度mg/m</w:t>
                  </w:r>
                  <w:r>
                    <w:rPr>
                      <w:rFonts w:hint="default" w:ascii="Times New Roman" w:hAnsi="Times New Roman" w:eastAsia="宋体" w:cs="Times New Roman"/>
                      <w:b/>
                      <w:bCs w:val="0"/>
                      <w:color w:val="000000" w:themeColor="text1"/>
                      <w:kern w:val="0"/>
                      <w:sz w:val="21"/>
                      <w:szCs w:val="21"/>
                      <w:highlight w:val="none"/>
                      <w:vertAlign w:val="superscript"/>
                      <w14:textFill>
                        <w14:solidFill>
                          <w14:schemeClr w14:val="tx1"/>
                        </w14:solidFill>
                      </w14:textFill>
                    </w:rPr>
                    <w:t>3</w:t>
                  </w:r>
                </w:p>
              </w:tc>
              <w:tc>
                <w:tcPr>
                  <w:tcW w:w="1114" w:type="pct"/>
                  <w:shd w:val="clear" w:color="000000" w:fill="FFFFFF"/>
                  <w:vAlign w:val="center"/>
                </w:tcPr>
                <w:p w14:paraId="3B0507ED">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标准限值mg/m</w:t>
                  </w:r>
                  <w:r>
                    <w:rPr>
                      <w:rFonts w:hint="default" w:ascii="Times New Roman" w:hAnsi="Times New Roman" w:eastAsia="宋体" w:cs="Times New Roman"/>
                      <w:b/>
                      <w:bCs w:val="0"/>
                      <w:color w:val="000000" w:themeColor="text1"/>
                      <w:kern w:val="0"/>
                      <w:sz w:val="21"/>
                      <w:szCs w:val="21"/>
                      <w:highlight w:val="none"/>
                      <w:vertAlign w:val="superscript"/>
                      <w14:textFill>
                        <w14:solidFill>
                          <w14:schemeClr w14:val="tx1"/>
                        </w14:solidFill>
                      </w14:textFill>
                    </w:rPr>
                    <w:t>3</w:t>
                  </w:r>
                </w:p>
              </w:tc>
              <w:tc>
                <w:tcPr>
                  <w:tcW w:w="760" w:type="pct"/>
                  <w:shd w:val="clear" w:color="000000" w:fill="FFFFFF"/>
                  <w:vAlign w:val="center"/>
                </w:tcPr>
                <w:p w14:paraId="3315EC1F">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达标情况</w:t>
                  </w:r>
                </w:p>
              </w:tc>
            </w:tr>
            <w:tr w14:paraId="5AF09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645" w:type="pct"/>
                  <w:vMerge w:val="restart"/>
                  <w:shd w:val="clear" w:color="000000" w:fill="FFFFFF"/>
                  <w:vAlign w:val="center"/>
                </w:tcPr>
                <w:p w14:paraId="0899B3D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cs="Times New Roman"/>
                      <w:b w:val="0"/>
                      <w:bCs/>
                      <w:color w:val="000000" w:themeColor="text1"/>
                      <w:kern w:val="0"/>
                      <w:sz w:val="21"/>
                      <w:szCs w:val="21"/>
                      <w:highlight w:val="none"/>
                      <w:lang w:val="en-US" w:eastAsia="zh-CN"/>
                      <w14:textFill>
                        <w14:solidFill>
                          <w14:schemeClr w14:val="tx1"/>
                        </w14:solidFill>
                      </w14:textFill>
                    </w:rPr>
                    <w:t>DA001</w:t>
                  </w:r>
                </w:p>
              </w:tc>
              <w:tc>
                <w:tcPr>
                  <w:tcW w:w="858" w:type="pct"/>
                  <w:shd w:val="clear" w:color="000000" w:fill="FFFFFF"/>
                  <w:vAlign w:val="center"/>
                </w:tcPr>
                <w:p w14:paraId="2742A6C4">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pPr>
                  <w:r>
                    <w:rPr>
                      <w:rFonts w:hint="eastAsia" w:cs="Times New Roman"/>
                      <w:b w:val="0"/>
                      <w:bCs/>
                      <w:color w:val="000000" w:themeColor="text1"/>
                      <w:kern w:val="0"/>
                      <w:sz w:val="21"/>
                      <w:szCs w:val="21"/>
                      <w:highlight w:val="none"/>
                      <w:vertAlign w:val="baseline"/>
                      <w:lang w:eastAsia="zh-CN"/>
                      <w14:textFill>
                        <w14:solidFill>
                          <w14:schemeClr w14:val="tx1"/>
                        </w14:solidFill>
                      </w14:textFill>
                    </w:rPr>
                    <w:t>颗粒物</w:t>
                  </w:r>
                </w:p>
              </w:tc>
              <w:tc>
                <w:tcPr>
                  <w:tcW w:w="433" w:type="pct"/>
                  <w:shd w:val="clear" w:color="000000" w:fill="FFFFFF"/>
                  <w:vAlign w:val="center"/>
                </w:tcPr>
                <w:p w14:paraId="6D5D5124">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90</w:t>
                  </w:r>
                </w:p>
              </w:tc>
              <w:tc>
                <w:tcPr>
                  <w:tcW w:w="1188" w:type="pct"/>
                  <w:shd w:val="clear" w:color="000000" w:fill="FFFFFF"/>
                  <w:vAlign w:val="center"/>
                </w:tcPr>
                <w:p w14:paraId="4B8337BF">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71.0</w:t>
                  </w:r>
                </w:p>
              </w:tc>
              <w:tc>
                <w:tcPr>
                  <w:tcW w:w="1114" w:type="pct"/>
                  <w:shd w:val="clear" w:color="000000" w:fill="FFFFFF"/>
                  <w:vAlign w:val="center"/>
                </w:tcPr>
                <w:p w14:paraId="5F538582">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0.226</w:t>
                  </w:r>
                </w:p>
              </w:tc>
              <w:tc>
                <w:tcPr>
                  <w:tcW w:w="760" w:type="pct"/>
                  <w:shd w:val="clear" w:color="000000" w:fill="FFFFFF"/>
                  <w:vAlign w:val="center"/>
                </w:tcPr>
                <w:p w14:paraId="5B6707F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eastAsia" w:cs="Times New Roman"/>
                      <w:b/>
                      <w:bCs/>
                      <w:color w:val="000000" w:themeColor="text1"/>
                      <w:kern w:val="0"/>
                      <w:sz w:val="21"/>
                      <w:szCs w:val="21"/>
                      <w:highlight w:val="none"/>
                      <w:lang w:eastAsia="zh-CN"/>
                      <w14:textFill>
                        <w14:solidFill>
                          <w14:schemeClr w14:val="tx1"/>
                        </w14:solidFill>
                      </w14:textFill>
                    </w:rPr>
                    <w:t>超标</w:t>
                  </w:r>
                </w:p>
              </w:tc>
            </w:tr>
            <w:tr w14:paraId="12130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645" w:type="pct"/>
                  <w:vMerge w:val="continue"/>
                  <w:shd w:val="clear" w:color="000000" w:fill="FFFFFF"/>
                  <w:vAlign w:val="center"/>
                </w:tcPr>
                <w:p w14:paraId="1AC0E83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cs="Times New Roman"/>
                      <w:b w:val="0"/>
                      <w:bCs/>
                      <w:color w:val="000000" w:themeColor="text1"/>
                      <w:kern w:val="0"/>
                      <w:sz w:val="21"/>
                      <w:szCs w:val="21"/>
                      <w:highlight w:val="none"/>
                      <w:lang w:val="en-US" w:eastAsia="zh-CN"/>
                      <w14:textFill>
                        <w14:solidFill>
                          <w14:schemeClr w14:val="tx1"/>
                        </w14:solidFill>
                      </w14:textFill>
                    </w:rPr>
                  </w:pPr>
                </w:p>
              </w:tc>
              <w:tc>
                <w:tcPr>
                  <w:tcW w:w="858" w:type="pct"/>
                  <w:shd w:val="clear" w:color="000000" w:fill="FFFFFF"/>
                  <w:vAlign w:val="center"/>
                </w:tcPr>
                <w:p w14:paraId="24E3BA9C">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cs="Times New Roman"/>
                      <w:b w:val="0"/>
                      <w:bCs/>
                      <w:color w:val="000000" w:themeColor="text1"/>
                      <w:kern w:val="0"/>
                      <w:sz w:val="21"/>
                      <w:szCs w:val="21"/>
                      <w:highlight w:val="none"/>
                      <w:vertAlign w:val="baseline"/>
                      <w:lang w:eastAsia="zh-CN"/>
                      <w14:textFill>
                        <w14:solidFill>
                          <w14:schemeClr w14:val="tx1"/>
                        </w14:solidFill>
                      </w14:textFill>
                    </w:rPr>
                    <w:t>氮氧化物</w:t>
                  </w:r>
                </w:p>
              </w:tc>
              <w:tc>
                <w:tcPr>
                  <w:tcW w:w="433" w:type="pct"/>
                  <w:shd w:val="clear" w:color="000000" w:fill="FFFFFF"/>
                  <w:vAlign w:val="center"/>
                </w:tcPr>
                <w:p w14:paraId="10B44896">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0</w:t>
                  </w:r>
                </w:p>
              </w:tc>
              <w:tc>
                <w:tcPr>
                  <w:tcW w:w="1188" w:type="pct"/>
                  <w:shd w:val="clear" w:color="000000" w:fill="FFFFFF"/>
                  <w:vAlign w:val="center"/>
                </w:tcPr>
                <w:p w14:paraId="7D7E2238">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200</w:t>
                  </w:r>
                </w:p>
              </w:tc>
              <w:tc>
                <w:tcPr>
                  <w:tcW w:w="1114" w:type="pct"/>
                  <w:shd w:val="clear" w:color="000000" w:fill="FFFFFF"/>
                  <w:vAlign w:val="center"/>
                </w:tcPr>
                <w:p w14:paraId="51B33838">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200</w:t>
                  </w:r>
                </w:p>
              </w:tc>
              <w:tc>
                <w:tcPr>
                  <w:tcW w:w="760" w:type="pct"/>
                  <w:shd w:val="clear" w:color="000000" w:fill="FFFFFF"/>
                  <w:vAlign w:val="center"/>
                </w:tcPr>
                <w:p w14:paraId="32F0375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eastAsia" w:cs="Times New Roman"/>
                      <w:b/>
                      <w:bCs/>
                      <w:color w:val="000000" w:themeColor="text1"/>
                      <w:kern w:val="0"/>
                      <w:sz w:val="21"/>
                      <w:szCs w:val="21"/>
                      <w:highlight w:val="none"/>
                      <w:lang w:eastAsia="zh-CN"/>
                      <w14:textFill>
                        <w14:solidFill>
                          <w14:schemeClr w14:val="tx1"/>
                        </w14:solidFill>
                      </w14:textFill>
                    </w:rPr>
                    <w:t>超标</w:t>
                  </w:r>
                </w:p>
              </w:tc>
            </w:tr>
            <w:tr w14:paraId="6EFB0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645" w:type="pct"/>
                  <w:shd w:val="clear" w:color="000000" w:fill="FFFFFF"/>
                  <w:vAlign w:val="center"/>
                </w:tcPr>
                <w:p w14:paraId="2699462E">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eastAsia" w:cs="Times New Roman"/>
                      <w:b/>
                      <w:bCs w:val="0"/>
                      <w:color w:val="000000" w:themeColor="text1"/>
                      <w:kern w:val="0"/>
                      <w:sz w:val="21"/>
                      <w:szCs w:val="21"/>
                      <w:highlight w:val="none"/>
                      <w:lang w:eastAsia="zh-CN"/>
                      <w14:textFill>
                        <w14:solidFill>
                          <w14:schemeClr w14:val="tx1"/>
                        </w14:solidFill>
                      </w14:textFill>
                    </w:rPr>
                    <w:t>排放口</w:t>
                  </w:r>
                </w:p>
              </w:tc>
              <w:tc>
                <w:tcPr>
                  <w:tcW w:w="858" w:type="pct"/>
                  <w:shd w:val="clear" w:color="000000" w:fill="FFFFFF"/>
                  <w:vAlign w:val="center"/>
                </w:tcPr>
                <w:p w14:paraId="22F1A6B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污染物</w:t>
                  </w:r>
                </w:p>
              </w:tc>
              <w:tc>
                <w:tcPr>
                  <w:tcW w:w="433" w:type="pct"/>
                  <w:shd w:val="clear" w:color="000000" w:fill="FFFFFF"/>
                  <w:vAlign w:val="center"/>
                </w:tcPr>
                <w:p w14:paraId="308C25C5">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治理效率</w:t>
                  </w:r>
                </w:p>
              </w:tc>
              <w:tc>
                <w:tcPr>
                  <w:tcW w:w="1188" w:type="pct"/>
                  <w:shd w:val="clear" w:color="000000" w:fill="FFFFFF"/>
                  <w:vAlign w:val="center"/>
                </w:tcPr>
                <w:p w14:paraId="2A4AD9C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排放浓度mg/m</w:t>
                  </w:r>
                  <w:r>
                    <w:rPr>
                      <w:rFonts w:hint="default" w:ascii="Times New Roman" w:hAnsi="Times New Roman" w:eastAsia="宋体" w:cs="Times New Roman"/>
                      <w:b/>
                      <w:bCs w:val="0"/>
                      <w:color w:val="000000" w:themeColor="text1"/>
                      <w:kern w:val="0"/>
                      <w:sz w:val="21"/>
                      <w:szCs w:val="21"/>
                      <w:highlight w:val="none"/>
                      <w:vertAlign w:val="superscript"/>
                      <w14:textFill>
                        <w14:solidFill>
                          <w14:schemeClr w14:val="tx1"/>
                        </w14:solidFill>
                      </w14:textFill>
                    </w:rPr>
                    <w:t>3</w:t>
                  </w:r>
                </w:p>
              </w:tc>
              <w:tc>
                <w:tcPr>
                  <w:tcW w:w="1114" w:type="pct"/>
                  <w:shd w:val="clear" w:color="000000" w:fill="FFFFFF"/>
                  <w:vAlign w:val="center"/>
                </w:tcPr>
                <w:p w14:paraId="606A833F">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标准限值mg/m</w:t>
                  </w:r>
                  <w:r>
                    <w:rPr>
                      <w:rFonts w:hint="default" w:ascii="Times New Roman" w:hAnsi="Times New Roman" w:eastAsia="宋体" w:cs="Times New Roman"/>
                      <w:b/>
                      <w:bCs w:val="0"/>
                      <w:color w:val="000000" w:themeColor="text1"/>
                      <w:kern w:val="0"/>
                      <w:sz w:val="21"/>
                      <w:szCs w:val="21"/>
                      <w:highlight w:val="none"/>
                      <w:vertAlign w:val="superscript"/>
                      <w14:textFill>
                        <w14:solidFill>
                          <w14:schemeClr w14:val="tx1"/>
                        </w14:solidFill>
                      </w14:textFill>
                    </w:rPr>
                    <w:t>3</w:t>
                  </w:r>
                </w:p>
              </w:tc>
              <w:tc>
                <w:tcPr>
                  <w:tcW w:w="760" w:type="pct"/>
                  <w:shd w:val="clear" w:color="000000" w:fill="FFFFFF"/>
                  <w:vAlign w:val="center"/>
                </w:tcPr>
                <w:p w14:paraId="10219538">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达标情况</w:t>
                  </w:r>
                </w:p>
              </w:tc>
            </w:tr>
            <w:tr w14:paraId="01775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645" w:type="pct"/>
                  <w:vMerge w:val="restart"/>
                  <w:shd w:val="clear" w:color="000000" w:fill="FFFFFF"/>
                  <w:vAlign w:val="center"/>
                </w:tcPr>
                <w:p w14:paraId="797764B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cs="Times New Roman"/>
                      <w:b w:val="0"/>
                      <w:bCs/>
                      <w:color w:val="000000" w:themeColor="text1"/>
                      <w:kern w:val="0"/>
                      <w:sz w:val="21"/>
                      <w:szCs w:val="21"/>
                      <w:highlight w:val="none"/>
                      <w:lang w:val="en-US" w:eastAsia="zh-CN"/>
                      <w14:textFill>
                        <w14:solidFill>
                          <w14:schemeClr w14:val="tx1"/>
                        </w14:solidFill>
                      </w14:textFill>
                    </w:rPr>
                    <w:t>DA002</w:t>
                  </w:r>
                </w:p>
              </w:tc>
              <w:tc>
                <w:tcPr>
                  <w:tcW w:w="858" w:type="pct"/>
                  <w:shd w:val="clear" w:color="000000" w:fill="FFFFFF"/>
                  <w:vAlign w:val="center"/>
                </w:tcPr>
                <w:p w14:paraId="15A74B9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非甲烷总烃</w:t>
                  </w:r>
                </w:p>
              </w:tc>
              <w:tc>
                <w:tcPr>
                  <w:tcW w:w="433" w:type="pct"/>
                  <w:shd w:val="clear" w:color="000000" w:fill="FFFFFF"/>
                  <w:vAlign w:val="center"/>
                </w:tcPr>
                <w:p w14:paraId="2B8D0D18">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cs="Times New Roman"/>
                      <w:b w:val="0"/>
                      <w:bCs/>
                      <w:color w:val="000000" w:themeColor="text1"/>
                      <w:kern w:val="0"/>
                      <w:sz w:val="21"/>
                      <w:szCs w:val="21"/>
                      <w:highlight w:val="none"/>
                      <w:lang w:val="en-US" w:eastAsia="zh-CN"/>
                      <w14:textFill>
                        <w14:solidFill>
                          <w14:schemeClr w14:val="tx1"/>
                        </w14:solidFill>
                      </w14:textFill>
                    </w:rPr>
                    <w:t>0</w:t>
                  </w:r>
                </w:p>
              </w:tc>
              <w:tc>
                <w:tcPr>
                  <w:tcW w:w="1188" w:type="pct"/>
                  <w:shd w:val="clear" w:color="000000" w:fill="FFFFFF"/>
                  <w:vAlign w:val="center"/>
                </w:tcPr>
                <w:p w14:paraId="3DCEE43F">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9.714</w:t>
                  </w:r>
                </w:p>
              </w:tc>
              <w:tc>
                <w:tcPr>
                  <w:tcW w:w="1114" w:type="pct"/>
                  <w:shd w:val="clear" w:color="000000" w:fill="FFFFFF"/>
                  <w:vAlign w:val="center"/>
                </w:tcPr>
                <w:p w14:paraId="21E3FAC8">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cs="Times New Roman"/>
                      <w:b w:val="0"/>
                      <w:bCs/>
                      <w:color w:val="000000" w:themeColor="text1"/>
                      <w:kern w:val="0"/>
                      <w:sz w:val="21"/>
                      <w:szCs w:val="21"/>
                      <w:highlight w:val="none"/>
                      <w:lang w:val="en-US" w:eastAsia="zh-CN"/>
                      <w14:textFill>
                        <w14:solidFill>
                          <w14:schemeClr w14:val="tx1"/>
                        </w14:solidFill>
                      </w14:textFill>
                    </w:rPr>
                    <w:t>100</w:t>
                  </w:r>
                </w:p>
              </w:tc>
              <w:tc>
                <w:tcPr>
                  <w:tcW w:w="760" w:type="pct"/>
                  <w:shd w:val="clear" w:color="000000" w:fill="FFFFFF"/>
                  <w:vAlign w:val="center"/>
                </w:tcPr>
                <w:p w14:paraId="0430DC0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达标</w:t>
                  </w:r>
                </w:p>
              </w:tc>
            </w:tr>
            <w:tr w14:paraId="44C7D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645" w:type="pct"/>
                  <w:vMerge w:val="continue"/>
                  <w:shd w:val="clear" w:color="000000" w:fill="FFFFFF"/>
                  <w:vAlign w:val="center"/>
                </w:tcPr>
                <w:p w14:paraId="2B065AF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pPr>
                </w:p>
              </w:tc>
              <w:tc>
                <w:tcPr>
                  <w:tcW w:w="858" w:type="pct"/>
                  <w:shd w:val="clear" w:color="000000" w:fill="FFFFFF"/>
                  <w:vAlign w:val="center"/>
                </w:tcPr>
                <w:p w14:paraId="6A32E9F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甲苯</w:t>
                  </w:r>
                </w:p>
              </w:tc>
              <w:tc>
                <w:tcPr>
                  <w:tcW w:w="433" w:type="pct"/>
                  <w:shd w:val="clear" w:color="000000" w:fill="FFFFFF"/>
                  <w:vAlign w:val="center"/>
                </w:tcPr>
                <w:p w14:paraId="592504E5">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cs="Times New Roman"/>
                      <w:b w:val="0"/>
                      <w:bCs/>
                      <w:color w:val="000000" w:themeColor="text1"/>
                      <w:kern w:val="0"/>
                      <w:sz w:val="21"/>
                      <w:szCs w:val="21"/>
                      <w:highlight w:val="none"/>
                      <w:lang w:val="en-US" w:eastAsia="zh-CN"/>
                      <w14:textFill>
                        <w14:solidFill>
                          <w14:schemeClr w14:val="tx1"/>
                        </w14:solidFill>
                      </w14:textFill>
                    </w:rPr>
                  </w:pPr>
                  <w:r>
                    <w:rPr>
                      <w:rFonts w:hint="eastAsia" w:cs="Times New Roman"/>
                      <w:b w:val="0"/>
                      <w:bCs/>
                      <w:color w:val="000000" w:themeColor="text1"/>
                      <w:kern w:val="0"/>
                      <w:sz w:val="21"/>
                      <w:szCs w:val="21"/>
                      <w:highlight w:val="none"/>
                      <w:lang w:val="en-US" w:eastAsia="zh-CN"/>
                      <w14:textFill>
                        <w14:solidFill>
                          <w14:schemeClr w14:val="tx1"/>
                        </w14:solidFill>
                      </w14:textFill>
                    </w:rPr>
                    <w:t>0</w:t>
                  </w:r>
                </w:p>
              </w:tc>
              <w:tc>
                <w:tcPr>
                  <w:tcW w:w="1188" w:type="pct"/>
                  <w:shd w:val="clear" w:color="000000" w:fill="FFFFFF"/>
                  <w:vAlign w:val="center"/>
                </w:tcPr>
                <w:p w14:paraId="6AAB2A70">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color w:val="000000" w:themeColor="text1"/>
                      <w:kern w:val="0"/>
                      <w:sz w:val="21"/>
                      <w:szCs w:val="21"/>
                      <w:highlight w:val="none"/>
                      <w:lang w:val="en-US" w:eastAsia="zh-CN"/>
                      <w14:textFill>
                        <w14:solidFill>
                          <w14:schemeClr w14:val="tx1"/>
                        </w14:solidFill>
                      </w14:textFill>
                    </w:rPr>
                  </w:pP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0.0314</w:t>
                  </w:r>
                </w:p>
              </w:tc>
              <w:tc>
                <w:tcPr>
                  <w:tcW w:w="1114" w:type="pct"/>
                  <w:shd w:val="clear" w:color="000000" w:fill="FFFFFF"/>
                  <w:vAlign w:val="center"/>
                </w:tcPr>
                <w:p w14:paraId="6D8D4099">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cs="Times New Roman"/>
                      <w:b w:val="0"/>
                      <w:bCs/>
                      <w:color w:val="000000" w:themeColor="text1"/>
                      <w:kern w:val="0"/>
                      <w:sz w:val="21"/>
                      <w:szCs w:val="21"/>
                      <w:highlight w:val="none"/>
                      <w:lang w:val="en-US" w:eastAsia="zh-CN"/>
                      <w14:textFill>
                        <w14:solidFill>
                          <w14:schemeClr w14:val="tx1"/>
                        </w14:solidFill>
                      </w14:textFill>
                    </w:rPr>
                  </w:pPr>
                  <w:r>
                    <w:rPr>
                      <w:rFonts w:hint="eastAsia" w:cs="Times New Roman"/>
                      <w:b w:val="0"/>
                      <w:bCs/>
                      <w:color w:val="000000" w:themeColor="text1"/>
                      <w:kern w:val="0"/>
                      <w:sz w:val="21"/>
                      <w:szCs w:val="21"/>
                      <w:highlight w:val="none"/>
                      <w:lang w:val="en-US" w:eastAsia="zh-CN"/>
                      <w14:textFill>
                        <w14:solidFill>
                          <w14:schemeClr w14:val="tx1"/>
                        </w14:solidFill>
                      </w14:textFill>
                    </w:rPr>
                    <w:t>15</w:t>
                  </w:r>
                </w:p>
              </w:tc>
              <w:tc>
                <w:tcPr>
                  <w:tcW w:w="760" w:type="pct"/>
                  <w:shd w:val="clear" w:color="000000" w:fill="FFFFFF"/>
                  <w:vAlign w:val="center"/>
                </w:tcPr>
                <w:p w14:paraId="349CA278">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达标</w:t>
                  </w:r>
                </w:p>
              </w:tc>
            </w:tr>
            <w:tr w14:paraId="5C656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645" w:type="pct"/>
                  <w:vMerge w:val="continue"/>
                  <w:shd w:val="clear" w:color="000000" w:fill="FFFFFF"/>
                  <w:vAlign w:val="center"/>
                </w:tcPr>
                <w:p w14:paraId="0E6849EE">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pPr>
                </w:p>
              </w:tc>
              <w:tc>
                <w:tcPr>
                  <w:tcW w:w="858" w:type="pct"/>
                  <w:shd w:val="clear" w:color="000000" w:fill="FFFFFF"/>
                  <w:vAlign w:val="center"/>
                </w:tcPr>
                <w:p w14:paraId="5BC2F72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乙苯</w:t>
                  </w:r>
                </w:p>
              </w:tc>
              <w:tc>
                <w:tcPr>
                  <w:tcW w:w="433" w:type="pct"/>
                  <w:shd w:val="clear" w:color="000000" w:fill="FFFFFF"/>
                  <w:vAlign w:val="center"/>
                </w:tcPr>
                <w:p w14:paraId="41114FB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cs="Times New Roman"/>
                      <w:b w:val="0"/>
                      <w:bCs/>
                      <w:color w:val="000000" w:themeColor="text1"/>
                      <w:kern w:val="0"/>
                      <w:sz w:val="21"/>
                      <w:szCs w:val="21"/>
                      <w:highlight w:val="none"/>
                      <w:lang w:val="en-US" w:eastAsia="zh-CN"/>
                      <w14:textFill>
                        <w14:solidFill>
                          <w14:schemeClr w14:val="tx1"/>
                        </w14:solidFill>
                      </w14:textFill>
                    </w:rPr>
                    <w:t>0</w:t>
                  </w:r>
                </w:p>
              </w:tc>
              <w:tc>
                <w:tcPr>
                  <w:tcW w:w="1188" w:type="pct"/>
                  <w:shd w:val="clear" w:color="000000" w:fill="FFFFFF"/>
                  <w:vAlign w:val="center"/>
                </w:tcPr>
                <w:p w14:paraId="3B6279F2">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0.0257</w:t>
                  </w:r>
                </w:p>
              </w:tc>
              <w:tc>
                <w:tcPr>
                  <w:tcW w:w="1114" w:type="pct"/>
                  <w:shd w:val="clear" w:color="000000" w:fill="FFFFFF"/>
                  <w:vAlign w:val="center"/>
                </w:tcPr>
                <w:p w14:paraId="352DCAC5">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cs="Times New Roman"/>
                      <w:b w:val="0"/>
                      <w:bCs/>
                      <w:color w:val="000000" w:themeColor="text1"/>
                      <w:kern w:val="0"/>
                      <w:sz w:val="21"/>
                      <w:szCs w:val="21"/>
                      <w:highlight w:val="none"/>
                      <w:lang w:val="en-US" w:eastAsia="zh-CN"/>
                      <w14:textFill>
                        <w14:solidFill>
                          <w14:schemeClr w14:val="tx1"/>
                        </w14:solidFill>
                      </w14:textFill>
                    </w:rPr>
                    <w:t>100</w:t>
                  </w:r>
                </w:p>
              </w:tc>
              <w:tc>
                <w:tcPr>
                  <w:tcW w:w="760" w:type="pct"/>
                  <w:shd w:val="clear" w:color="000000" w:fill="FFFFFF"/>
                  <w:vAlign w:val="center"/>
                </w:tcPr>
                <w:p w14:paraId="49DAA399">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达标</w:t>
                  </w:r>
                </w:p>
              </w:tc>
            </w:tr>
            <w:tr w14:paraId="6C28F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645" w:type="pct"/>
                  <w:vMerge w:val="continue"/>
                  <w:shd w:val="clear" w:color="000000" w:fill="FFFFFF"/>
                  <w:vAlign w:val="center"/>
                </w:tcPr>
                <w:p w14:paraId="746980E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pPr>
                </w:p>
              </w:tc>
              <w:tc>
                <w:tcPr>
                  <w:tcW w:w="858" w:type="pct"/>
                  <w:shd w:val="clear" w:color="000000" w:fill="FFFFFF"/>
                  <w:vAlign w:val="center"/>
                </w:tcPr>
                <w:p w14:paraId="269CF05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苯乙烯</w:t>
                  </w:r>
                </w:p>
              </w:tc>
              <w:tc>
                <w:tcPr>
                  <w:tcW w:w="433" w:type="pct"/>
                  <w:shd w:val="clear" w:color="000000" w:fill="FFFFFF"/>
                  <w:vAlign w:val="center"/>
                </w:tcPr>
                <w:p w14:paraId="28EE298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cs="Times New Roman"/>
                      <w:b w:val="0"/>
                      <w:bCs/>
                      <w:color w:val="000000" w:themeColor="text1"/>
                      <w:kern w:val="0"/>
                      <w:sz w:val="21"/>
                      <w:szCs w:val="21"/>
                      <w:highlight w:val="none"/>
                      <w:lang w:val="en-US" w:eastAsia="zh-CN"/>
                      <w14:textFill>
                        <w14:solidFill>
                          <w14:schemeClr w14:val="tx1"/>
                        </w14:solidFill>
                      </w14:textFill>
                    </w:rPr>
                  </w:pPr>
                  <w:r>
                    <w:rPr>
                      <w:rFonts w:hint="eastAsia" w:cs="Times New Roman"/>
                      <w:b w:val="0"/>
                      <w:bCs/>
                      <w:color w:val="000000" w:themeColor="text1"/>
                      <w:kern w:val="0"/>
                      <w:sz w:val="21"/>
                      <w:szCs w:val="21"/>
                      <w:highlight w:val="none"/>
                      <w:lang w:val="en-US" w:eastAsia="zh-CN"/>
                      <w14:textFill>
                        <w14:solidFill>
                          <w14:schemeClr w14:val="tx1"/>
                        </w14:solidFill>
                      </w14:textFill>
                    </w:rPr>
                    <w:t>0</w:t>
                  </w:r>
                </w:p>
              </w:tc>
              <w:tc>
                <w:tcPr>
                  <w:tcW w:w="1188" w:type="pct"/>
                  <w:shd w:val="clear" w:color="000000" w:fill="FFFFFF"/>
                  <w:vAlign w:val="center"/>
                </w:tcPr>
                <w:p w14:paraId="0D8EACD6">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color w:val="000000" w:themeColor="text1"/>
                      <w:kern w:val="0"/>
                      <w:sz w:val="21"/>
                      <w:szCs w:val="21"/>
                      <w:highlight w:val="none"/>
                      <w:lang w:val="en-US" w:eastAsia="zh-CN"/>
                      <w14:textFill>
                        <w14:solidFill>
                          <w14:schemeClr w14:val="tx1"/>
                        </w14:solidFill>
                      </w14:textFill>
                    </w:rPr>
                  </w:pP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0.857</w:t>
                  </w:r>
                </w:p>
              </w:tc>
              <w:tc>
                <w:tcPr>
                  <w:tcW w:w="1114" w:type="pct"/>
                  <w:shd w:val="clear" w:color="000000" w:fill="FFFFFF"/>
                  <w:vAlign w:val="center"/>
                </w:tcPr>
                <w:p w14:paraId="09358D38">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cs="Times New Roman"/>
                      <w:b w:val="0"/>
                      <w:bCs/>
                      <w:color w:val="000000" w:themeColor="text1"/>
                      <w:kern w:val="0"/>
                      <w:sz w:val="21"/>
                      <w:szCs w:val="21"/>
                      <w:highlight w:val="none"/>
                      <w:lang w:val="en-US" w:eastAsia="zh-CN"/>
                      <w14:textFill>
                        <w14:solidFill>
                          <w14:schemeClr w14:val="tx1"/>
                        </w14:solidFill>
                      </w14:textFill>
                    </w:rPr>
                  </w:pPr>
                  <w:r>
                    <w:rPr>
                      <w:rFonts w:hint="eastAsia" w:cs="Times New Roman"/>
                      <w:b w:val="0"/>
                      <w:bCs/>
                      <w:color w:val="000000" w:themeColor="text1"/>
                      <w:kern w:val="0"/>
                      <w:sz w:val="21"/>
                      <w:szCs w:val="21"/>
                      <w:highlight w:val="none"/>
                      <w:lang w:val="en-US" w:eastAsia="zh-CN"/>
                      <w14:textFill>
                        <w14:solidFill>
                          <w14:schemeClr w14:val="tx1"/>
                        </w14:solidFill>
                      </w14:textFill>
                    </w:rPr>
                    <w:t>50</w:t>
                  </w:r>
                </w:p>
              </w:tc>
              <w:tc>
                <w:tcPr>
                  <w:tcW w:w="760" w:type="pct"/>
                  <w:shd w:val="clear" w:color="000000" w:fill="FFFFFF"/>
                  <w:vAlign w:val="center"/>
                </w:tcPr>
                <w:p w14:paraId="5A72FB68">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达标</w:t>
                  </w:r>
                </w:p>
              </w:tc>
            </w:tr>
          </w:tbl>
          <w:p w14:paraId="6EEDB4AA">
            <w:pPr>
              <w:keepNext w:val="0"/>
              <w:keepLines w:val="0"/>
              <w:pageBreakBefore w:val="0"/>
              <w:widowControl w:val="0"/>
              <w:kinsoku/>
              <w:wordWrap w:val="0"/>
              <w:overflowPunct/>
              <w:topLinePunct/>
              <w:autoSpaceDE/>
              <w:autoSpaceDN/>
              <w:bidi w:val="0"/>
              <w:adjustRightInd/>
              <w:snapToGrid/>
              <w:spacing w:line="360" w:lineRule="auto"/>
              <w:ind w:firstLine="480" w:firstLineChars="200"/>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由上表可知，若设备故障，</w:t>
            </w:r>
            <w:r>
              <w:rPr>
                <w:rFonts w:hint="eastAsia" w:cs="Times New Roman"/>
                <w:b w:val="0"/>
                <w:bCs w:val="0"/>
                <w:color w:val="000000" w:themeColor="text1"/>
                <w:sz w:val="24"/>
                <w:lang w:val="en-US" w:eastAsia="zh-CN"/>
                <w14:textFill>
                  <w14:solidFill>
                    <w14:schemeClr w14:val="tx1"/>
                  </w14:solidFill>
                </w14:textFill>
              </w:rPr>
              <w:t>锅炉废气治理设施中“低氮燃烧器”对氮氧化物治理效率降低至0</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时，</w:t>
            </w:r>
            <w:r>
              <w:rPr>
                <w:rFonts w:hint="eastAsia" w:cs="Times New Roman"/>
                <w:b w:val="0"/>
                <w:bCs w:val="0"/>
                <w:color w:val="000000" w:themeColor="text1"/>
                <w:sz w:val="24"/>
                <w:lang w:val="en-US" w:eastAsia="zh-CN"/>
                <w14:textFill>
                  <w14:solidFill>
                    <w14:schemeClr w14:val="tx1"/>
                  </w14:solidFill>
                </w14:textFill>
              </w:rPr>
              <w:t>氮氧化物</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排放浓度</w:t>
            </w:r>
            <w:r>
              <w:rPr>
                <w:rFonts w:hint="eastAsia" w:cs="Times New Roman"/>
                <w:b w:val="0"/>
                <w:bCs w:val="0"/>
                <w:color w:val="000000" w:themeColor="text1"/>
                <w:sz w:val="24"/>
                <w:lang w:val="en-US" w:eastAsia="zh-CN"/>
                <w14:textFill>
                  <w14:solidFill>
                    <w14:schemeClr w14:val="tx1"/>
                  </w14:solidFill>
                </w14:textFill>
              </w:rPr>
              <w:t>即将超过</w:t>
            </w:r>
            <w:r>
              <w:rPr>
                <w:rFonts w:hint="default" w:ascii="Times New Roman" w:hAnsi="Times New Roman" w:cs="Times New Roman"/>
                <w:color w:val="000000" w:themeColor="text1"/>
                <w:sz w:val="24"/>
                <w14:textFill>
                  <w14:solidFill>
                    <w14:schemeClr w14:val="tx1"/>
                  </w14:solidFill>
                </w14:textFill>
              </w:rPr>
              <w:t>《锅炉大气污染物排放标准》（GB13271-2014）表2</w:t>
            </w:r>
            <w:r>
              <w:rPr>
                <w:rFonts w:hint="eastAsia" w:cs="Times New Roman"/>
                <w:color w:val="000000" w:themeColor="text1"/>
                <w:sz w:val="24"/>
                <w:lang w:eastAsia="zh-CN"/>
                <w14:textFill>
                  <w14:solidFill>
                    <w14:schemeClr w14:val="tx1"/>
                  </w14:solidFill>
                </w14:textFill>
              </w:rPr>
              <w:t>燃气</w:t>
            </w:r>
            <w:r>
              <w:rPr>
                <w:rFonts w:hint="default" w:ascii="Times New Roman" w:hAnsi="Times New Roman" w:cs="Times New Roman"/>
                <w:color w:val="000000" w:themeColor="text1"/>
                <w:sz w:val="24"/>
                <w14:textFill>
                  <w14:solidFill>
                    <w14:schemeClr w14:val="tx1"/>
                  </w14:solidFill>
                </w14:textFill>
              </w:rPr>
              <w:t>锅炉大气污染物排放浓度限值</w:t>
            </w:r>
            <w:r>
              <w:rPr>
                <w:rFonts w:hint="eastAsia" w:cs="Times New Roman"/>
                <w:b w:val="0"/>
                <w:bCs w:val="0"/>
                <w:color w:val="000000" w:themeColor="text1"/>
                <w:sz w:val="24"/>
                <w:lang w:val="en-US" w:eastAsia="zh-CN"/>
                <w14:textFill>
                  <w14:solidFill>
                    <w14:schemeClr w14:val="tx1"/>
                  </w14:solidFill>
                </w14:textFill>
              </w:rPr>
              <w:t>。锅炉废气治理设施中“布袋除尘器”对颗粒物治理</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效率降低至</w:t>
            </w:r>
            <w:r>
              <w:rPr>
                <w:rFonts w:hint="eastAsia" w:cs="Times New Roman"/>
                <w:b w:val="0"/>
                <w:bCs w:val="0"/>
                <w:color w:val="000000" w:themeColor="text1"/>
                <w:sz w:val="24"/>
                <w:lang w:val="en-US" w:eastAsia="zh-CN"/>
                <w14:textFill>
                  <w14:solidFill>
                    <w14:schemeClr w14:val="tx1"/>
                  </w14:solidFill>
                </w14:textFill>
              </w:rPr>
              <w:t>90</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时，</w:t>
            </w:r>
            <w:r>
              <w:rPr>
                <w:rFonts w:hint="eastAsia" w:cs="Times New Roman"/>
                <w:b w:val="0"/>
                <w:bCs w:val="0"/>
                <w:color w:val="000000" w:themeColor="text1"/>
                <w:sz w:val="24"/>
                <w:lang w:val="en-US" w:eastAsia="zh-CN"/>
                <w14:textFill>
                  <w14:solidFill>
                    <w14:schemeClr w14:val="tx1"/>
                  </w14:solidFill>
                </w14:textFill>
              </w:rPr>
              <w:t>颗粒物</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排放浓度超出</w:t>
            </w:r>
            <w:r>
              <w:rPr>
                <w:rFonts w:hint="default" w:ascii="Times New Roman" w:hAnsi="Times New Roman" w:cs="Times New Roman"/>
                <w:color w:val="000000" w:themeColor="text1"/>
                <w:sz w:val="24"/>
                <w14:textFill>
                  <w14:solidFill>
                    <w14:schemeClr w14:val="tx1"/>
                  </w14:solidFill>
                </w14:textFill>
              </w:rPr>
              <w:t>《锅炉大气污染物排放标准》（GB13271-2014）表2</w:t>
            </w:r>
            <w:r>
              <w:rPr>
                <w:rFonts w:hint="eastAsia" w:cs="Times New Roman"/>
                <w:color w:val="000000" w:themeColor="text1"/>
                <w:sz w:val="24"/>
                <w:lang w:eastAsia="zh-CN"/>
                <w14:textFill>
                  <w14:solidFill>
                    <w14:schemeClr w14:val="tx1"/>
                  </w14:solidFill>
                </w14:textFill>
              </w:rPr>
              <w:t>燃气</w:t>
            </w:r>
            <w:r>
              <w:rPr>
                <w:rFonts w:hint="default" w:ascii="Times New Roman" w:hAnsi="Times New Roman" w:cs="Times New Roman"/>
                <w:color w:val="000000" w:themeColor="text1"/>
                <w:sz w:val="24"/>
                <w14:textFill>
                  <w14:solidFill>
                    <w14:schemeClr w14:val="tx1"/>
                  </w14:solidFill>
                </w14:textFill>
              </w:rPr>
              <w:t>锅炉大气污染物排放浓度限值</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，对外环境造成影响。</w:t>
            </w:r>
          </w:p>
          <w:p w14:paraId="0266A22F">
            <w:pPr>
              <w:keepNext w:val="0"/>
              <w:keepLines w:val="0"/>
              <w:pageBreakBefore w:val="0"/>
              <w:widowControl w:val="0"/>
              <w:kinsoku/>
              <w:wordWrap w:val="0"/>
              <w:overflowPunct/>
              <w:topLinePunct/>
              <w:autoSpaceDE/>
              <w:autoSpaceDN/>
              <w:bidi w:val="0"/>
              <w:adjustRightInd/>
              <w:snapToGrid/>
              <w:spacing w:line="360" w:lineRule="auto"/>
              <w:ind w:firstLine="480" w:firstLineChars="200"/>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若设备故障，</w:t>
            </w:r>
            <w:r>
              <w:rPr>
                <w:rFonts w:hint="eastAsia" w:cs="Times New Roman"/>
                <w:b w:val="0"/>
                <w:bCs w:val="0"/>
                <w:color w:val="000000" w:themeColor="text1"/>
                <w:sz w:val="24"/>
                <w:lang w:val="en-US" w:eastAsia="zh-CN"/>
                <w14:textFill>
                  <w14:solidFill>
                    <w14:schemeClr w14:val="tx1"/>
                  </w14:solidFill>
                </w14:textFill>
              </w:rPr>
              <w:t>有机废气治理设施有机废气治理</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效率降低至</w:t>
            </w:r>
            <w:r>
              <w:rPr>
                <w:rFonts w:hint="eastAsia" w:cs="Times New Roman"/>
                <w:b w:val="0"/>
                <w:bCs w:val="0"/>
                <w:color w:val="000000" w:themeColor="text1"/>
                <w:sz w:val="24"/>
                <w:lang w:val="en-US" w:eastAsia="zh-CN"/>
                <w14:textFill>
                  <w14:solidFill>
                    <w14:schemeClr w14:val="tx1"/>
                  </w14:solidFill>
                </w14:textFill>
              </w:rPr>
              <w:t>0时，非甲烷总烃、甲苯、乙苯、苯乙烯</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排放浓度</w:t>
            </w:r>
            <w:r>
              <w:rPr>
                <w:rFonts w:hint="eastAsia" w:cs="Times New Roman"/>
                <w:b w:val="0"/>
                <w:bCs w:val="0"/>
                <w:color w:val="000000" w:themeColor="text1"/>
                <w:sz w:val="24"/>
                <w:lang w:val="en-US" w:eastAsia="zh-CN"/>
                <w14:textFill>
                  <w14:solidFill>
                    <w14:schemeClr w14:val="tx1"/>
                  </w14:solidFill>
                </w14:textFill>
              </w:rPr>
              <w:t>虽然满足</w:t>
            </w:r>
            <w:r>
              <w:rPr>
                <w:rFonts w:hint="default" w:ascii="Times New Roman" w:hAnsi="Times New Roman" w:cs="Times New Roman" w:eastAsiaTheme="minorEastAsia"/>
                <w:color w:val="000000" w:themeColor="text1"/>
                <w:sz w:val="24"/>
                <w:highlight w:val="none"/>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合成树脂工业污染物排放标准</w:t>
            </w:r>
            <w:r>
              <w:rPr>
                <w:rFonts w:hint="default" w:ascii="Times New Roman" w:hAnsi="Times New Roman" w:cs="Times New Roman" w:eastAsiaTheme="minorEastAsia"/>
                <w:color w:val="000000" w:themeColor="text1"/>
                <w:sz w:val="24"/>
                <w:highlight w:val="none"/>
                <w14:textFill>
                  <w14:solidFill>
                    <w14:schemeClr w14:val="tx1"/>
                  </w14:solidFill>
                </w14:textFill>
              </w:rPr>
              <w:t>》</w:t>
            </w:r>
            <w:r>
              <w:rPr>
                <w:rFonts w:hint="eastAsia"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GB</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31572</w:t>
            </w:r>
            <w:r>
              <w:rPr>
                <w:rFonts w:hint="default" w:ascii="Times New Roman" w:hAnsi="Times New Roman" w:cs="Times New Roman" w:eastAsiaTheme="minorEastAsia"/>
                <w:color w:val="000000" w:themeColor="text1"/>
                <w:sz w:val="24"/>
                <w:highlight w:val="none"/>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2015</w:t>
            </w:r>
            <w:r>
              <w:rPr>
                <w:rFonts w:hint="eastAsia" w:cs="Times New Roman" w:eastAsiaTheme="minorEastAsia"/>
                <w:color w:val="000000" w:themeColor="text1"/>
                <w:sz w:val="24"/>
                <w:highlight w:val="none"/>
                <w:lang w:eastAsia="zh-CN"/>
                <w14:textFill>
                  <w14:solidFill>
                    <w14:schemeClr w14:val="tx1"/>
                  </w14:solidFill>
                </w14:textFill>
              </w:rPr>
              <w:t>及2024年修改单</w:t>
            </w:r>
            <w:r>
              <w:rPr>
                <w:rFonts w:hint="eastAsia"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中标准限值要求</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w:t>
            </w:r>
            <w:r>
              <w:rPr>
                <w:rFonts w:hint="eastAsia" w:cs="Times New Roman"/>
                <w:b w:val="0"/>
                <w:bCs w:val="0"/>
                <w:color w:val="000000" w:themeColor="text1"/>
                <w:sz w:val="24"/>
                <w:lang w:val="en-US" w:eastAsia="zh-CN"/>
                <w14:textFill>
                  <w14:solidFill>
                    <w14:schemeClr w14:val="tx1"/>
                  </w14:solidFill>
                </w14:textFill>
              </w:rPr>
              <w:t>但是加剧了对</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环境</w:t>
            </w:r>
            <w:r>
              <w:rPr>
                <w:rFonts w:hint="eastAsia" w:cs="Times New Roman"/>
                <w:b w:val="0"/>
                <w:bCs w:val="0"/>
                <w:color w:val="000000" w:themeColor="text1"/>
                <w:sz w:val="24"/>
                <w:lang w:val="en-US" w:eastAsia="zh-CN"/>
                <w14:textFill>
                  <w14:solidFill>
                    <w14:schemeClr w14:val="tx1"/>
                  </w14:solidFill>
                </w14:textFill>
              </w:rPr>
              <w:t>的影响</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w:t>
            </w:r>
          </w:p>
          <w:p w14:paraId="0381FC5B">
            <w:pPr>
              <w:keepNext w:val="0"/>
              <w:keepLines w:val="0"/>
              <w:pageBreakBefore w:val="0"/>
              <w:widowControl w:val="0"/>
              <w:kinsoku/>
              <w:wordWrap w:val="0"/>
              <w:overflowPunct/>
              <w:topLinePunct/>
              <w:autoSpaceDE/>
              <w:autoSpaceDN/>
              <w:bidi w:val="0"/>
              <w:adjustRightInd/>
              <w:snapToGrid/>
              <w:spacing w:line="360" w:lineRule="auto"/>
              <w:ind w:firstLine="480" w:firstLineChars="200"/>
              <w:rPr>
                <w:rFonts w:hint="default" w:ascii="Times New Roman" w:hAnsi="Times New Roman" w:eastAsia="宋体" w:cs="Times New Roman"/>
                <w:b w:val="0"/>
                <w:bCs w:val="0"/>
                <w:color w:val="000000" w:themeColor="text1"/>
                <w:sz w:val="24"/>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故</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当出现非正常排放时，建设单位要及时对设备关停检修，杜绝废气非正常排放的发生，尽量控制对周围环境的影响。为避免非正常工况，应对废气处理设施进行日常检查及定期维护，事故排放现象一旦被发现，应立即停产检修，待正常运行后才可投入生产。</w:t>
            </w:r>
          </w:p>
          <w:p w14:paraId="7AE48331">
            <w:pPr>
              <w:pStyle w:val="18"/>
              <w:keepNext w:val="0"/>
              <w:keepLines w:val="0"/>
              <w:pageBreakBefore w:val="0"/>
              <w:widowControl w:val="0"/>
              <w:kinsoku/>
              <w:wordWrap w:val="0"/>
              <w:overflowPunct/>
              <w:topLinePunct/>
              <w:autoSpaceDE/>
              <w:autoSpaceDN/>
              <w:bidi w:val="0"/>
              <w:adjustRightInd/>
              <w:snapToGrid/>
              <w:spacing w:line="360" w:lineRule="auto"/>
              <w:ind w:firstLine="482"/>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2）无组织废气达标情况分析</w:t>
            </w:r>
          </w:p>
          <w:p w14:paraId="08861686">
            <w:pPr>
              <w:pStyle w:val="18"/>
              <w:keepNext w:val="0"/>
              <w:keepLines w:val="0"/>
              <w:pageBreakBefore w:val="0"/>
              <w:widowControl w:val="0"/>
              <w:kinsoku/>
              <w:wordWrap w:val="0"/>
              <w:overflowPunct/>
              <w:topLinePunct/>
              <w:autoSpaceDE/>
              <w:autoSpaceDN/>
              <w:bidi w:val="0"/>
              <w:adjustRightInd/>
              <w:snapToGrid/>
              <w:spacing w:line="360" w:lineRule="auto"/>
              <w:ind w:firstLine="480" w:firstLineChars="200"/>
              <w:jc w:val="left"/>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本项目无组织废气主要为</w:t>
            </w:r>
            <w:r>
              <w:rPr>
                <w:rFonts w:hint="eastAsia" w:cs="Times New Roman"/>
                <w:color w:val="000000" w:themeColor="text1"/>
                <w:sz w:val="24"/>
                <w:szCs w:val="24"/>
                <w:lang w:val="en-US" w:eastAsia="zh-CN"/>
                <w14:textFill>
                  <w14:solidFill>
                    <w14:schemeClr w14:val="tx1"/>
                  </w14:solidFill>
                </w14:textFill>
              </w:rPr>
              <w:t>非甲烷总烃、</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甲苯、乙苯、苯乙烯</w:t>
            </w:r>
            <w:r>
              <w:rPr>
                <w:rFonts w:hint="eastAsia" w:cs="Times New Roman"/>
                <w:color w:val="000000" w:themeColor="text1"/>
                <w:sz w:val="24"/>
                <w:szCs w:val="24"/>
                <w:lang w:val="en-US" w:eastAsia="zh-CN"/>
                <w14:textFill>
                  <w14:solidFill>
                    <w14:schemeClr w14:val="tx1"/>
                  </w14:solidFill>
                </w14:textFill>
              </w:rPr>
              <w:t>、颗粒物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因甲苯、乙苯、苯乙烯</w:t>
            </w:r>
            <w:r>
              <w:rPr>
                <w:rFonts w:hint="eastAsia" w:cs="Times New Roman"/>
                <w:color w:val="000000" w:themeColor="text1"/>
                <w:sz w:val="24"/>
                <w:szCs w:val="24"/>
                <w:lang w:val="en-US" w:eastAsia="zh-CN"/>
                <w14:textFill>
                  <w14:solidFill>
                    <w14:schemeClr w14:val="tx1"/>
                  </w14:solidFill>
                </w14:textFill>
              </w:rPr>
              <w:t>、颗粒物</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产生量极少，排放速率较低，因此仅对非甲烷总烃进行预测分析。</w:t>
            </w:r>
          </w:p>
          <w:p w14:paraId="40453551">
            <w:pPr>
              <w:pStyle w:val="18"/>
              <w:keepNext w:val="0"/>
              <w:keepLines w:val="0"/>
              <w:pageBreakBefore w:val="0"/>
              <w:widowControl w:val="0"/>
              <w:kinsoku/>
              <w:wordWrap w:val="0"/>
              <w:overflowPunct/>
              <w:topLinePunct/>
              <w:autoSpaceDE/>
              <w:autoSpaceDN/>
              <w:bidi w:val="0"/>
              <w:adjustRightInd/>
              <w:snapToGrid/>
              <w:spacing w:line="360" w:lineRule="auto"/>
              <w:ind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通过规范生产操作，车间设置风扇，废气经排风扇排出；同时要求员工做好个人防护措施，以尽量减轻废气排放对员工健康的影响。</w:t>
            </w:r>
          </w:p>
          <w:p w14:paraId="5B7168A7">
            <w:pPr>
              <w:pStyle w:val="18"/>
              <w:keepNext w:val="0"/>
              <w:keepLines w:val="0"/>
              <w:pageBreakBefore w:val="0"/>
              <w:widowControl w:val="0"/>
              <w:kinsoku/>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本评价采用《环境影响评价技术导则大气环境》（HJ2.2-2018）推荐的AERSCREEN模型进行预测，其预测参数如下：</w:t>
            </w:r>
          </w:p>
          <w:p w14:paraId="2818960D">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表</w:t>
            </w:r>
            <w:r>
              <w:rPr>
                <w:rFonts w:hint="default" w:ascii="Times New Roman" w:hAnsi="Times New Roman" w:cs="Times New Roman"/>
                <w:b/>
                <w:bCs/>
                <w:color w:val="000000" w:themeColor="text1"/>
                <w:sz w:val="21"/>
                <w:szCs w:val="21"/>
                <w:lang w:val="en-US" w:eastAsia="zh-CN"/>
                <w14:textFill>
                  <w14:solidFill>
                    <w14:schemeClr w14:val="tx1"/>
                  </w14:solidFill>
                </w14:textFill>
              </w:rPr>
              <w:t>4-</w:t>
            </w:r>
            <w:r>
              <w:rPr>
                <w:rFonts w:hint="eastAsia" w:cs="Times New Roman"/>
                <w:b/>
                <w:bCs/>
                <w:color w:val="000000" w:themeColor="text1"/>
                <w:sz w:val="21"/>
                <w:szCs w:val="21"/>
                <w:lang w:val="en-US" w:eastAsia="zh-CN"/>
                <w14:textFill>
                  <w14:solidFill>
                    <w14:schemeClr w14:val="tx1"/>
                  </w14:solidFill>
                </w14:textFill>
              </w:rPr>
              <w:t>11</w:t>
            </w: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AERSCREEN模型预测参数表</w:t>
            </w:r>
          </w:p>
          <w:tbl>
            <w:tblPr>
              <w:tblStyle w:val="33"/>
              <w:tblW w:w="4978"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721"/>
              <w:gridCol w:w="2727"/>
              <w:gridCol w:w="2724"/>
            </w:tblGrid>
            <w:tr w14:paraId="56F49C9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3333" w:type="pct"/>
                  <w:gridSpan w:val="2"/>
                  <w:vAlign w:val="center"/>
                </w:tcPr>
                <w:p w14:paraId="340C8B7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参数</w:t>
                  </w:r>
                </w:p>
              </w:tc>
              <w:tc>
                <w:tcPr>
                  <w:tcW w:w="1666" w:type="pct"/>
                  <w:vAlign w:val="center"/>
                </w:tcPr>
                <w:p w14:paraId="2D1292CE">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取值</w:t>
                  </w:r>
                </w:p>
              </w:tc>
            </w:tr>
            <w:tr w14:paraId="1D43BE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664" w:type="pct"/>
                  <w:vMerge w:val="restart"/>
                  <w:vAlign w:val="center"/>
                </w:tcPr>
                <w:p w14:paraId="3B371F85">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城市/农村选项</w:t>
                  </w:r>
                </w:p>
              </w:tc>
              <w:tc>
                <w:tcPr>
                  <w:tcW w:w="1668" w:type="pct"/>
                  <w:vAlign w:val="center"/>
                </w:tcPr>
                <w:p w14:paraId="7A4F847F">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城市/农村</w:t>
                  </w:r>
                </w:p>
              </w:tc>
              <w:tc>
                <w:tcPr>
                  <w:tcW w:w="1666" w:type="pct"/>
                  <w:vAlign w:val="center"/>
                </w:tcPr>
                <w:p w14:paraId="3FAE76C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农村</w:t>
                  </w:r>
                </w:p>
              </w:tc>
            </w:tr>
            <w:tr w14:paraId="6B5DCD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664" w:type="pct"/>
                  <w:vMerge w:val="continue"/>
                  <w:vAlign w:val="center"/>
                </w:tcPr>
                <w:p w14:paraId="3C971C3D">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p>
              </w:tc>
              <w:tc>
                <w:tcPr>
                  <w:tcW w:w="1668" w:type="pct"/>
                  <w:vAlign w:val="center"/>
                </w:tcPr>
                <w:p w14:paraId="2EF3F86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人口数</w:t>
                  </w:r>
                  <w:r>
                    <w:rPr>
                      <w:rFonts w:hint="eastAsia" w:cs="Times New Roman"/>
                      <w:b w:val="0"/>
                      <w:bCs/>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城市人口数</w:t>
                  </w:r>
                  <w:r>
                    <w:rPr>
                      <w:rFonts w:hint="eastAsia" w:cs="Times New Roman"/>
                      <w:b w:val="0"/>
                      <w:bCs/>
                      <w:color w:val="000000" w:themeColor="text1"/>
                      <w:kern w:val="0"/>
                      <w:sz w:val="21"/>
                      <w:szCs w:val="21"/>
                      <w:highlight w:val="none"/>
                      <w:lang w:val="en-US" w:eastAsia="zh-CN"/>
                      <w14:textFill>
                        <w14:solidFill>
                          <w14:schemeClr w14:val="tx1"/>
                        </w14:solidFill>
                      </w14:textFill>
                    </w:rPr>
                    <w:t>）</w:t>
                  </w:r>
                </w:p>
              </w:tc>
              <w:tc>
                <w:tcPr>
                  <w:tcW w:w="1666" w:type="pct"/>
                  <w:vAlign w:val="center"/>
                </w:tcPr>
                <w:p w14:paraId="6F7517A8">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w:t>
                  </w:r>
                </w:p>
              </w:tc>
            </w:tr>
            <w:tr w14:paraId="6A4AEC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3333" w:type="pct"/>
                  <w:gridSpan w:val="2"/>
                  <w:vAlign w:val="center"/>
                </w:tcPr>
                <w:p w14:paraId="11EAAF1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最高环境温度</w:t>
                  </w:r>
                </w:p>
              </w:tc>
              <w:tc>
                <w:tcPr>
                  <w:tcW w:w="1666" w:type="pct"/>
                  <w:vAlign w:val="center"/>
                </w:tcPr>
                <w:p w14:paraId="19B8244E">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34.4</w:t>
                  </w:r>
                </w:p>
              </w:tc>
            </w:tr>
            <w:tr w14:paraId="6C957C1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3333" w:type="pct"/>
                  <w:gridSpan w:val="2"/>
                  <w:vAlign w:val="center"/>
                </w:tcPr>
                <w:p w14:paraId="6FEFE562">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最低环境温度</w:t>
                  </w:r>
                </w:p>
              </w:tc>
              <w:tc>
                <w:tcPr>
                  <w:tcW w:w="1666" w:type="pct"/>
                  <w:vAlign w:val="center"/>
                </w:tcPr>
                <w:p w14:paraId="68B957AC">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-5.5</w:t>
                  </w:r>
                </w:p>
              </w:tc>
            </w:tr>
            <w:tr w14:paraId="0D6DB6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3333" w:type="pct"/>
                  <w:gridSpan w:val="2"/>
                  <w:vAlign w:val="center"/>
                </w:tcPr>
                <w:p w14:paraId="06F9ABE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土地利用类型</w:t>
                  </w:r>
                </w:p>
              </w:tc>
              <w:tc>
                <w:tcPr>
                  <w:tcW w:w="1666" w:type="pct"/>
                  <w:vAlign w:val="center"/>
                </w:tcPr>
                <w:p w14:paraId="7C481D6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阔叶林</w:t>
                  </w:r>
                </w:p>
              </w:tc>
            </w:tr>
            <w:tr w14:paraId="77A6A7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3333" w:type="pct"/>
                  <w:gridSpan w:val="2"/>
                  <w:vAlign w:val="center"/>
                </w:tcPr>
                <w:p w14:paraId="7B3A6F6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区域湿度条件</w:t>
                  </w:r>
                </w:p>
              </w:tc>
              <w:tc>
                <w:tcPr>
                  <w:tcW w:w="1666" w:type="pct"/>
                  <w:vAlign w:val="center"/>
                </w:tcPr>
                <w:p w14:paraId="552EF042">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潮湿</w:t>
                  </w:r>
                </w:p>
              </w:tc>
            </w:tr>
            <w:tr w14:paraId="2BA2BE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664" w:type="pct"/>
                  <w:vMerge w:val="restart"/>
                  <w:vAlign w:val="center"/>
                </w:tcPr>
                <w:p w14:paraId="21ACBB1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是否考虑地形</w:t>
                  </w:r>
                </w:p>
              </w:tc>
              <w:tc>
                <w:tcPr>
                  <w:tcW w:w="1668" w:type="pct"/>
                  <w:vAlign w:val="center"/>
                </w:tcPr>
                <w:p w14:paraId="5FF13E7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考虑地形</w:t>
                  </w:r>
                </w:p>
              </w:tc>
              <w:tc>
                <w:tcPr>
                  <w:tcW w:w="1666" w:type="pct"/>
                  <w:vAlign w:val="center"/>
                </w:tcPr>
                <w:p w14:paraId="077F6F0D">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否</w:t>
                  </w:r>
                </w:p>
              </w:tc>
            </w:tr>
            <w:tr w14:paraId="591BE6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1664" w:type="pct"/>
                  <w:vMerge w:val="continue"/>
                  <w:vAlign w:val="center"/>
                </w:tcPr>
                <w:p w14:paraId="4B45DBF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p>
              </w:tc>
              <w:tc>
                <w:tcPr>
                  <w:tcW w:w="1668" w:type="pct"/>
                  <w:vAlign w:val="center"/>
                </w:tcPr>
                <w:p w14:paraId="5EC8ABAD">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地形数据分辨率</w:t>
                  </w:r>
                  <w:r>
                    <w:rPr>
                      <w:rFonts w:hint="eastAsia" w:cs="Times New Roman"/>
                      <w:b w:val="0"/>
                      <w:bCs/>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m</w:t>
                  </w:r>
                  <w:r>
                    <w:rPr>
                      <w:rFonts w:hint="eastAsia" w:cs="Times New Roman"/>
                      <w:b w:val="0"/>
                      <w:bCs/>
                      <w:color w:val="000000" w:themeColor="text1"/>
                      <w:kern w:val="0"/>
                      <w:sz w:val="21"/>
                      <w:szCs w:val="21"/>
                      <w:highlight w:val="none"/>
                      <w:lang w:val="en-US" w:eastAsia="zh-CN"/>
                      <w14:textFill>
                        <w14:solidFill>
                          <w14:schemeClr w14:val="tx1"/>
                        </w14:solidFill>
                      </w14:textFill>
                    </w:rPr>
                    <w:t>）</w:t>
                  </w:r>
                </w:p>
              </w:tc>
              <w:tc>
                <w:tcPr>
                  <w:tcW w:w="1666" w:type="pct"/>
                  <w:vAlign w:val="center"/>
                </w:tcPr>
                <w:p w14:paraId="33E060C5">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w:t>
                  </w:r>
                </w:p>
              </w:tc>
            </w:tr>
            <w:tr w14:paraId="7A0075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664" w:type="pct"/>
                  <w:vMerge w:val="restart"/>
                  <w:vAlign w:val="center"/>
                </w:tcPr>
                <w:p w14:paraId="270AB41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是否考虑岸线熏烟</w:t>
                  </w:r>
                </w:p>
              </w:tc>
              <w:tc>
                <w:tcPr>
                  <w:tcW w:w="1668" w:type="pct"/>
                  <w:vAlign w:val="center"/>
                </w:tcPr>
                <w:p w14:paraId="4A04DAC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考虑岸线熏烟</w:t>
                  </w:r>
                </w:p>
              </w:tc>
              <w:tc>
                <w:tcPr>
                  <w:tcW w:w="1666" w:type="pct"/>
                  <w:vAlign w:val="center"/>
                </w:tcPr>
                <w:p w14:paraId="32C50D2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否</w:t>
                  </w:r>
                </w:p>
              </w:tc>
            </w:tr>
            <w:tr w14:paraId="32AB03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664" w:type="pct"/>
                  <w:vMerge w:val="continue"/>
                  <w:vAlign w:val="center"/>
                </w:tcPr>
                <w:p w14:paraId="6706A6EC">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p>
              </w:tc>
              <w:tc>
                <w:tcPr>
                  <w:tcW w:w="1668" w:type="pct"/>
                  <w:vAlign w:val="center"/>
                </w:tcPr>
                <w:p w14:paraId="74541D0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岸线距离/m</w:t>
                  </w:r>
                </w:p>
              </w:tc>
              <w:tc>
                <w:tcPr>
                  <w:tcW w:w="1666" w:type="pct"/>
                  <w:vAlign w:val="center"/>
                </w:tcPr>
                <w:p w14:paraId="61DF4C9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w:t>
                  </w:r>
                </w:p>
              </w:tc>
            </w:tr>
            <w:tr w14:paraId="7D6A5F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664" w:type="pct"/>
                  <w:vMerge w:val="continue"/>
                  <w:vAlign w:val="center"/>
                </w:tcPr>
                <w:p w14:paraId="42733CDE">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p>
              </w:tc>
              <w:tc>
                <w:tcPr>
                  <w:tcW w:w="1668" w:type="pct"/>
                  <w:vAlign w:val="center"/>
                </w:tcPr>
                <w:p w14:paraId="5068806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岸线方向/°</w:t>
                  </w:r>
                </w:p>
              </w:tc>
              <w:tc>
                <w:tcPr>
                  <w:tcW w:w="1666" w:type="pct"/>
                  <w:vAlign w:val="center"/>
                </w:tcPr>
                <w:p w14:paraId="179C434C">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w:t>
                  </w:r>
                </w:p>
              </w:tc>
            </w:tr>
            <w:tr w14:paraId="1D2B7B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27" w:hRule="atLeast"/>
              </w:trPr>
              <w:tc>
                <w:tcPr>
                  <w:tcW w:w="1664" w:type="pct"/>
                  <w:vAlign w:val="center"/>
                </w:tcPr>
                <w:p w14:paraId="1D34188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排放速率</w:t>
                  </w:r>
                  <w:r>
                    <w:rPr>
                      <w:rFonts w:hint="eastAsia" w:cs="Times New Roman"/>
                      <w:b w:val="0"/>
                      <w:bCs/>
                      <w:color w:val="000000" w:themeColor="text1"/>
                      <w:kern w:val="0"/>
                      <w:sz w:val="21"/>
                      <w:szCs w:val="21"/>
                      <w:highlight w:val="none"/>
                      <w:lang w:val="en-US" w:eastAsia="zh-CN"/>
                      <w14:textFill>
                        <w14:solidFill>
                          <w14:schemeClr w14:val="tx1"/>
                        </w14:solidFill>
                      </w14:textFill>
                    </w:rPr>
                    <w:t>kg/h</w:t>
                  </w:r>
                </w:p>
              </w:tc>
              <w:tc>
                <w:tcPr>
                  <w:tcW w:w="1668" w:type="pct"/>
                  <w:vAlign w:val="center"/>
                </w:tcPr>
                <w:p w14:paraId="3309E20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非甲烷总烃</w:t>
                  </w:r>
                </w:p>
              </w:tc>
              <w:tc>
                <w:tcPr>
                  <w:tcW w:w="1666" w:type="pct"/>
                  <w:vAlign w:val="center"/>
                </w:tcPr>
                <w:p w14:paraId="3F47578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0.0265</w:t>
                  </w:r>
                </w:p>
              </w:tc>
            </w:tr>
          </w:tbl>
          <w:p w14:paraId="48E27D8D">
            <w:pPr>
              <w:keepNext w:val="0"/>
              <w:keepLines/>
              <w:pageBreakBefore w:val="0"/>
              <w:kinsoku/>
              <w:overflowPunct/>
              <w:bidi w:val="0"/>
              <w:adjustRightInd/>
              <w:snapToGrid/>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根据估算结果，本次项目非甲烷总烃</w:t>
            </w:r>
            <w:r>
              <w:rPr>
                <w:rFonts w:hint="default" w:ascii="Times New Roman" w:hAnsi="Times New Roman" w:eastAsia="宋体" w:cs="Times New Roman"/>
                <w:color w:val="000000" w:themeColor="text1"/>
                <w:sz w:val="24"/>
                <w:szCs w:val="24"/>
                <w14:textFill>
                  <w14:solidFill>
                    <w14:schemeClr w14:val="tx1"/>
                  </w14:solidFill>
                </w14:textFill>
              </w:rPr>
              <w:t>下风向最大浓度出现距离</w:t>
            </w:r>
            <w:r>
              <w:rPr>
                <w:rFonts w:hint="default" w:ascii="Times New Roman" w:hAnsi="Times New Roman" w:eastAsia="宋体" w:cs="Times New Roman"/>
                <w:color w:val="000000" w:themeColor="text1"/>
                <w:sz w:val="24"/>
                <w:szCs w:val="24"/>
                <w:lang w:eastAsia="zh-CN"/>
                <w14:textFill>
                  <w14:solidFill>
                    <w14:schemeClr w14:val="tx1"/>
                  </w14:solidFill>
                </w14:textFill>
              </w:rPr>
              <w:t>为</w:t>
            </w:r>
            <w:r>
              <w:rPr>
                <w:rFonts w:hint="eastAsia" w:cs="Times New Roman"/>
                <w:color w:val="000000" w:themeColor="text1"/>
                <w:sz w:val="24"/>
                <w:szCs w:val="24"/>
                <w:lang w:val="en-US" w:eastAsia="zh-CN"/>
                <w14:textFill>
                  <w14:solidFill>
                    <w14:schemeClr w14:val="tx1"/>
                  </w14:solidFill>
                </w14:textFill>
              </w:rPr>
              <w:t>41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m，非甲烷总烃下风向最大浓度为</w:t>
            </w:r>
            <w:r>
              <w:rPr>
                <w:rFonts w:hint="eastAsia" w:cs="Times New Roman"/>
                <w:color w:val="000000" w:themeColor="text1"/>
                <w:sz w:val="24"/>
                <w:szCs w:val="24"/>
                <w:lang w:val="en-US" w:eastAsia="zh-CN"/>
                <w14:textFill>
                  <w14:solidFill>
                    <w14:schemeClr w14:val="tx1"/>
                  </w14:solidFill>
                </w14:textFill>
              </w:rPr>
              <w:t>20.244</w:t>
            </w:r>
            <w:r>
              <w:rPr>
                <w:rFonts w:hint="default" w:ascii="Times New Roman" w:hAnsi="Times New Roman" w:cs="Times New Roman"/>
                <w:color w:val="000000" w:themeColor="text1"/>
                <w:sz w:val="24"/>
                <w:szCs w:val="24"/>
                <w:lang w:val="en-US" w:eastAsia="zh-CN"/>
                <w14:textFill>
                  <w14:solidFill>
                    <w14:schemeClr w14:val="tx1"/>
                  </w14:solidFill>
                </w14:textFill>
              </w:rPr>
              <w:t>μ</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本项目以下风向</w:t>
            </w:r>
            <w:r>
              <w:rPr>
                <w:rFonts w:hint="default" w:ascii="Times New Roman" w:hAnsi="Times New Roman" w:cs="Times New Roman"/>
                <w:color w:val="000000" w:themeColor="text1"/>
                <w:sz w:val="24"/>
                <w:szCs w:val="24"/>
                <w:lang w:val="en-US" w:eastAsia="zh-CN"/>
                <w14:textFill>
                  <w14:solidFill>
                    <w14:schemeClr w14:val="tx1"/>
                  </w14:solidFill>
                </w14:textFill>
              </w:rPr>
              <w:t>1m处浓度作为厂界浓度，</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非甲烷总烃下风向</w:t>
            </w:r>
            <w:r>
              <w:rPr>
                <w:rFonts w:hint="default" w:ascii="Times New Roman" w:hAnsi="Times New Roman" w:cs="Times New Roman"/>
                <w:color w:val="000000" w:themeColor="text1"/>
                <w:sz w:val="24"/>
                <w:szCs w:val="24"/>
                <w:lang w:val="en-US" w:eastAsia="zh-CN"/>
                <w14:textFill>
                  <w14:solidFill>
                    <w14:schemeClr w14:val="tx1"/>
                  </w14:solidFill>
                </w14:textFill>
              </w:rPr>
              <w:t>1m处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浓度为</w:t>
            </w:r>
            <w:r>
              <w:rPr>
                <w:rFonts w:hint="eastAsia" w:cs="Times New Roman"/>
                <w:color w:val="000000" w:themeColor="text1"/>
                <w:sz w:val="24"/>
                <w:szCs w:val="24"/>
                <w:lang w:val="en-US" w:eastAsia="zh-CN"/>
                <w14:textFill>
                  <w14:solidFill>
                    <w14:schemeClr w14:val="tx1"/>
                  </w14:solidFill>
                </w14:textFill>
              </w:rPr>
              <w:t>13.503</w:t>
            </w:r>
            <w:r>
              <w:rPr>
                <w:rFonts w:hint="default" w:ascii="Times New Roman" w:hAnsi="Times New Roman" w:cs="Times New Roman"/>
                <w:color w:val="000000" w:themeColor="text1"/>
                <w:sz w:val="24"/>
                <w:szCs w:val="24"/>
                <w:lang w:val="en-US" w:eastAsia="zh-CN"/>
                <w14:textFill>
                  <w14:solidFill>
                    <w14:schemeClr w14:val="tx1"/>
                  </w14:solidFill>
                </w14:textFill>
              </w:rPr>
              <w:t>μ</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，本项目厂界非甲烷总烃满足《大气污染物综合排放标准》（GB16297－1996）中无组织排放标准要求，对周边环境影响不大</w:t>
            </w:r>
            <w:r>
              <w:rPr>
                <w:rFonts w:hint="default" w:ascii="Times New Roman" w:hAnsi="Times New Roman" w:eastAsia="宋体" w:cs="Times New Roman"/>
                <w:color w:val="000000" w:themeColor="text1"/>
                <w:sz w:val="24"/>
                <w:szCs w:val="24"/>
                <w14:textFill>
                  <w14:solidFill>
                    <w14:schemeClr w14:val="tx1"/>
                  </w14:solidFill>
                </w14:textFill>
              </w:rPr>
              <w:t>。</w:t>
            </w:r>
          </w:p>
          <w:p w14:paraId="4CC0185E">
            <w:pPr>
              <w:keepNext w:val="0"/>
              <w:keepLines w:val="0"/>
              <w:pageBreakBefore w:val="0"/>
              <w:widowControl w:val="0"/>
              <w:kinsoku/>
              <w:wordWrap w:val="0"/>
              <w:overflowPunct/>
              <w:topLinePunct/>
              <w:autoSpaceDE/>
              <w:autoSpaceDN/>
              <w:bidi w:val="0"/>
              <w:adjustRightInd/>
              <w:snapToGri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综上所述</w:t>
            </w:r>
            <w:r>
              <w:rPr>
                <w:rFonts w:hint="default" w:ascii="Times New Roman" w:hAnsi="Times New Roman" w:cs="Times New Roman"/>
                <w:color w:val="000000" w:themeColor="text1"/>
                <w:sz w:val="24"/>
                <w14:textFill>
                  <w14:solidFill>
                    <w14:schemeClr w14:val="tx1"/>
                  </w14:solidFill>
                </w14:textFill>
              </w:rPr>
              <w:t>，项目厂界无组织</w:t>
            </w:r>
            <w:r>
              <w:rPr>
                <w:rFonts w:hint="eastAsia" w:cs="Times New Roman"/>
                <w:color w:val="000000" w:themeColor="text1"/>
                <w:sz w:val="24"/>
                <w:lang w:eastAsia="zh-CN"/>
                <w14:textFill>
                  <w14:solidFill>
                    <w14:schemeClr w14:val="tx1"/>
                  </w14:solidFill>
                </w14:textFill>
              </w:rPr>
              <w:t>非甲烷总烃</w:t>
            </w:r>
            <w:r>
              <w:rPr>
                <w:rFonts w:hint="default" w:ascii="Times New Roman" w:hAnsi="Times New Roman" w:cs="Times New Roman"/>
                <w:color w:val="000000" w:themeColor="text1"/>
                <w:sz w:val="24"/>
                <w14:textFill>
                  <w14:solidFill>
                    <w14:schemeClr w14:val="tx1"/>
                  </w14:solidFill>
                </w14:textFill>
              </w:rPr>
              <w:t>可实现达标排放，故采取的无组织废气治理设施有效可行。</w:t>
            </w:r>
          </w:p>
          <w:p w14:paraId="651F5D37">
            <w:pPr>
              <w:pStyle w:val="18"/>
              <w:autoSpaceDE/>
              <w:autoSpaceDN/>
              <w:adjustRightInd/>
              <w:spacing w:line="360" w:lineRule="auto"/>
              <w:ind w:firstLine="482" w:firstLineChars="200"/>
              <w:rPr>
                <w:rFonts w:hint="default" w:ascii="Times New Roman" w:hAnsi="Times New Roman" w:eastAsia="宋体" w:cs="Times New Roman"/>
                <w:b/>
                <w:bCs/>
                <w:color w:val="000000" w:themeColor="text1"/>
                <w:kern w:val="24"/>
                <w14:textFill>
                  <w14:solidFill>
                    <w14:schemeClr w14:val="tx1"/>
                  </w14:solidFill>
                </w14:textFill>
              </w:rPr>
            </w:pPr>
            <w:r>
              <w:rPr>
                <w:rFonts w:hint="default" w:ascii="Times New Roman" w:hAnsi="Times New Roman" w:eastAsia="宋体" w:cs="Times New Roman"/>
                <w:b/>
                <w:bCs/>
                <w:color w:val="000000" w:themeColor="text1"/>
                <w:kern w:val="24"/>
                <w14:textFill>
                  <w14:solidFill>
                    <w14:schemeClr w14:val="tx1"/>
                  </w14:solidFill>
                </w14:textFill>
              </w:rPr>
              <w:t>（3）可行</w:t>
            </w:r>
            <w:r>
              <w:rPr>
                <w:rFonts w:hint="default" w:ascii="Times New Roman" w:hAnsi="Times New Roman" w:eastAsia="宋体" w:cs="Times New Roman"/>
                <w:b/>
                <w:bCs/>
                <w:color w:val="000000" w:themeColor="text1"/>
                <w:kern w:val="24"/>
                <w:lang w:eastAsia="zh-CN"/>
                <w14:textFill>
                  <w14:solidFill>
                    <w14:schemeClr w14:val="tx1"/>
                  </w14:solidFill>
                </w14:textFill>
              </w:rPr>
              <w:t>技术</w:t>
            </w:r>
            <w:r>
              <w:rPr>
                <w:rFonts w:hint="default" w:ascii="Times New Roman" w:hAnsi="Times New Roman" w:eastAsia="宋体" w:cs="Times New Roman"/>
                <w:b/>
                <w:bCs/>
                <w:color w:val="000000" w:themeColor="text1"/>
                <w:kern w:val="24"/>
                <w14:textFill>
                  <w14:solidFill>
                    <w14:schemeClr w14:val="tx1"/>
                  </w14:solidFill>
                </w14:textFill>
              </w:rPr>
              <w:t>分析</w:t>
            </w:r>
          </w:p>
          <w:p w14:paraId="29E672F2">
            <w:pPr>
              <w:pStyle w:val="157"/>
              <w:keepNext w:val="0"/>
              <w:keepLines/>
              <w:pageBreakBefore w:val="0"/>
              <w:widowControl w:val="0"/>
              <w:numPr>
                <w:ilvl w:val="0"/>
                <w:numId w:val="0"/>
              </w:numPr>
              <w:kinsoku/>
              <w:wordWrap/>
              <w:overflowPunct/>
              <w:topLinePunct w:val="0"/>
              <w:bidi w:val="0"/>
              <w:adjustRightInd/>
              <w:snapToGrid/>
              <w:spacing w:line="360" w:lineRule="auto"/>
              <w:ind w:firstLine="482" w:firstLineChars="200"/>
              <w:contextualSpacing/>
              <w:rPr>
                <w:rFonts w:hint="eastAsia" w:ascii="Times New Roman" w:hAnsi="Times New Roman" w:eastAsia="宋体" w:cs="Times New Roman"/>
                <w:b/>
                <w:bCs/>
                <w:color w:val="000000" w:themeColor="text1"/>
                <w:sz w:val="24"/>
                <w:lang w:eastAsia="zh-CN"/>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1</w:t>
            </w:r>
            <w:r>
              <w:rPr>
                <w:rFonts w:hint="eastAsia" w:ascii="Times New Roman" w:hAnsi="Times New Roman" w:cs="Times New Roman"/>
                <w:b/>
                <w:bCs/>
                <w:color w:val="000000" w:themeColor="text1"/>
                <w:sz w:val="24"/>
                <w:lang w:eastAsia="zh-CN"/>
                <w14:textFill>
                  <w14:solidFill>
                    <w14:schemeClr w14:val="tx1"/>
                  </w14:solidFill>
                </w14:textFill>
              </w:rPr>
              <w:t>）锅炉废气治理措施可行技术</w:t>
            </w:r>
          </w:p>
          <w:p w14:paraId="084B54E7">
            <w:pPr>
              <w:pStyle w:val="157"/>
              <w:keepNext w:val="0"/>
              <w:keepLines/>
              <w:pageBreakBefore w:val="0"/>
              <w:widowControl w:val="0"/>
              <w:numPr>
                <w:ilvl w:val="0"/>
                <w:numId w:val="0"/>
              </w:numPr>
              <w:kinsoku/>
              <w:wordWrap/>
              <w:overflowPunct/>
              <w:topLinePunct w:val="0"/>
              <w:bidi w:val="0"/>
              <w:adjustRightInd/>
              <w:snapToGrid/>
              <w:spacing w:line="360" w:lineRule="auto"/>
              <w:ind w:firstLine="480" w:firstLineChars="200"/>
              <w:contextualSpacing/>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4"/>
                <w14:textFill>
                  <w14:solidFill>
                    <w14:schemeClr w14:val="tx1"/>
                  </w14:solidFill>
                </w14:textFill>
              </w:rPr>
              <w:t>本次</w:t>
            </w:r>
            <w:r>
              <w:rPr>
                <w:rFonts w:hint="eastAsia" w:ascii="Times New Roman" w:hAnsi="Times New Roman" w:cs="Times New Roman"/>
                <w:b w:val="0"/>
                <w:bCs w:val="0"/>
                <w:color w:val="000000" w:themeColor="text1"/>
                <w:sz w:val="24"/>
                <w:lang w:eastAsia="zh-CN"/>
                <w14:textFill>
                  <w14:solidFill>
                    <w14:schemeClr w14:val="tx1"/>
                  </w14:solidFill>
                </w14:textFill>
              </w:rPr>
              <w:t>锅炉废气治理措施</w:t>
            </w:r>
            <w:r>
              <w:rPr>
                <w:rFonts w:hint="default" w:ascii="Times New Roman" w:hAnsi="Times New Roman" w:cs="Times New Roman"/>
                <w:b w:val="0"/>
                <w:bCs w:val="0"/>
                <w:color w:val="000000" w:themeColor="text1"/>
                <w:sz w:val="24"/>
                <w14:textFill>
                  <w14:solidFill>
                    <w14:schemeClr w14:val="tx1"/>
                  </w14:solidFill>
                </w14:textFill>
              </w:rPr>
              <w:t>可行技术主要根据</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《排污许可证申请与核发技术规范 锅炉》（HJ953—2018）中</w:t>
            </w:r>
            <w:r>
              <w:rPr>
                <w:rFonts w:hint="eastAsia"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表7锅炉烟气污染防治可行技术</w:t>
            </w:r>
            <w:r>
              <w:rPr>
                <w:rFonts w:hint="eastAsia" w:cs="Times New Roman"/>
                <w:b w:val="0"/>
                <w:bCs w:val="0"/>
                <w:color w:val="000000" w:themeColor="text1"/>
                <w:sz w:val="24"/>
                <w:lang w:val="en-US" w:eastAsia="zh-CN"/>
                <w14:textFill>
                  <w14:solidFill>
                    <w14:schemeClr w14:val="tx1"/>
                  </w14:solidFill>
                </w14:textFill>
              </w:rPr>
              <w:t>”</w:t>
            </w:r>
            <w:r>
              <w:rPr>
                <w:rFonts w:hint="default" w:ascii="Times New Roman" w:hAnsi="Times New Roman" w:cs="Times New Roman"/>
                <w:b w:val="0"/>
                <w:bCs w:val="0"/>
                <w:color w:val="000000" w:themeColor="text1"/>
                <w:sz w:val="24"/>
                <w14:textFill>
                  <w14:solidFill>
                    <w14:schemeClr w14:val="tx1"/>
                  </w14:solidFill>
                </w14:textFill>
              </w:rPr>
              <w:t>的相关要求</w:t>
            </w:r>
            <w:r>
              <w:rPr>
                <w:rFonts w:hint="default" w:ascii="Times New Roman" w:hAnsi="Times New Roman" w:cs="Times New Roman"/>
                <w:b w:val="0"/>
                <w:bCs w:val="0"/>
                <w:color w:val="000000" w:themeColor="text1"/>
                <w:sz w:val="24"/>
                <w:lang w:eastAsia="zh-CN"/>
                <w14:textFill>
                  <w14:solidFill>
                    <w14:schemeClr w14:val="tx1"/>
                  </w14:solidFill>
                </w14:textFill>
              </w:rPr>
              <w:t>进行判定本项目可行技术</w:t>
            </w:r>
            <w:r>
              <w:rPr>
                <w:rFonts w:hint="default" w:ascii="Times New Roman" w:hAnsi="Times New Roman" w:cs="Times New Roman"/>
                <w:b w:val="0"/>
                <w:bCs w:val="0"/>
                <w:color w:val="000000" w:themeColor="text1"/>
                <w:sz w:val="24"/>
                <w14:textFill>
                  <w14:solidFill>
                    <w14:schemeClr w14:val="tx1"/>
                  </w14:solidFill>
                </w14:textFill>
              </w:rPr>
              <w:t>，详见下表。</w:t>
            </w:r>
          </w:p>
          <w:p w14:paraId="508D2EE2">
            <w:pPr>
              <w:pStyle w:val="157"/>
              <w:keepNext w:val="0"/>
              <w:keepLines/>
              <w:pageBreakBefore w:val="0"/>
              <w:widowControl w:val="0"/>
              <w:numPr>
                <w:ilvl w:val="0"/>
                <w:numId w:val="0"/>
              </w:numPr>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表4-</w:t>
            </w:r>
            <w:r>
              <w:rPr>
                <w:rFonts w:hint="eastAsia" w:cs="Times New Roman"/>
                <w:b/>
                <w:bCs/>
                <w:color w:val="000000" w:themeColor="text1"/>
                <w:sz w:val="21"/>
                <w:szCs w:val="21"/>
                <w:lang w:val="en-US" w:eastAsia="zh-CN"/>
                <w14:textFill>
                  <w14:solidFill>
                    <w14:schemeClr w14:val="tx1"/>
                  </w14:solidFill>
                </w14:textFill>
              </w:rPr>
              <w:t>12</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锅炉烟气污染可行技术</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753"/>
              <w:gridCol w:w="1844"/>
              <w:gridCol w:w="4604"/>
            </w:tblGrid>
            <w:tr w14:paraId="0C363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23" w:hRule="atLeast"/>
                <w:tblHeader/>
                <w:jc w:val="center"/>
              </w:trPr>
              <w:tc>
                <w:tcPr>
                  <w:tcW w:w="2193" w:type="pct"/>
                  <w:gridSpan w:val="2"/>
                  <w:tcBorders>
                    <w:tl2br w:val="nil"/>
                    <w:tr2bl w:val="nil"/>
                  </w:tcBorders>
                  <w:noWrap w:val="0"/>
                  <w:vAlign w:val="center"/>
                </w:tcPr>
                <w:p w14:paraId="7BCD2387">
                  <w:pPr>
                    <w:pStyle w:val="129"/>
                    <w:keepNext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燃料类型</w:t>
                  </w:r>
                </w:p>
              </w:tc>
              <w:tc>
                <w:tcPr>
                  <w:tcW w:w="2806" w:type="pct"/>
                  <w:tcBorders>
                    <w:tl2br w:val="nil"/>
                    <w:tr2bl w:val="nil"/>
                  </w:tcBorders>
                  <w:noWrap w:val="0"/>
                  <w:vAlign w:val="center"/>
                </w:tcPr>
                <w:p w14:paraId="13505CAA">
                  <w:pPr>
                    <w:pStyle w:val="129"/>
                    <w:keepNext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生物质</w:t>
                  </w:r>
                </w:p>
              </w:tc>
            </w:tr>
            <w:tr w14:paraId="4A9DC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23" w:hRule="atLeast"/>
                <w:tblHeader/>
                <w:jc w:val="center"/>
              </w:trPr>
              <w:tc>
                <w:tcPr>
                  <w:tcW w:w="2193" w:type="pct"/>
                  <w:gridSpan w:val="2"/>
                  <w:tcBorders>
                    <w:tl2br w:val="nil"/>
                    <w:tr2bl w:val="nil"/>
                  </w:tcBorders>
                  <w:noWrap w:val="0"/>
                  <w:vAlign w:val="center"/>
                </w:tcPr>
                <w:p w14:paraId="5ED6566D">
                  <w:pPr>
                    <w:pStyle w:val="129"/>
                    <w:keepNext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炉型</w:t>
                  </w:r>
                </w:p>
              </w:tc>
              <w:tc>
                <w:tcPr>
                  <w:tcW w:w="2806" w:type="pct"/>
                  <w:tcBorders>
                    <w:tl2br w:val="nil"/>
                    <w:tr2bl w:val="nil"/>
                  </w:tcBorders>
                  <w:noWrap w:val="0"/>
                  <w:vAlign w:val="center"/>
                </w:tcPr>
                <w:p w14:paraId="297B4EC4">
                  <w:pPr>
                    <w:pStyle w:val="129"/>
                    <w:keepNext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层燃炉、流化床炉、室燃炉</w:t>
                  </w:r>
                </w:p>
              </w:tc>
            </w:tr>
            <w:tr w14:paraId="03663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23" w:hRule="atLeast"/>
                <w:tblHeader/>
                <w:jc w:val="center"/>
              </w:trPr>
              <w:tc>
                <w:tcPr>
                  <w:tcW w:w="1068" w:type="pct"/>
                  <w:vMerge w:val="restart"/>
                  <w:tcBorders>
                    <w:tl2br w:val="nil"/>
                    <w:tr2bl w:val="nil"/>
                  </w:tcBorders>
                  <w:noWrap w:val="0"/>
                  <w:vAlign w:val="center"/>
                </w:tcPr>
                <w:p w14:paraId="388CD1A2">
                  <w:pPr>
                    <w:pStyle w:val="129"/>
                    <w:keepNext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二氧化硫</w:t>
                  </w:r>
                </w:p>
              </w:tc>
              <w:tc>
                <w:tcPr>
                  <w:tcW w:w="1124" w:type="pct"/>
                  <w:tcBorders>
                    <w:tl2br w:val="nil"/>
                    <w:tr2bl w:val="nil"/>
                  </w:tcBorders>
                  <w:noWrap w:val="0"/>
                  <w:vAlign w:val="center"/>
                </w:tcPr>
                <w:p w14:paraId="6BAC24C2">
                  <w:pPr>
                    <w:pStyle w:val="129"/>
                    <w:keepNext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一般地区</w:t>
                  </w:r>
                </w:p>
              </w:tc>
              <w:tc>
                <w:tcPr>
                  <w:tcW w:w="2806" w:type="pct"/>
                  <w:tcBorders>
                    <w:tl2br w:val="nil"/>
                    <w:tr2bl w:val="nil"/>
                  </w:tcBorders>
                  <w:noWrap w:val="0"/>
                  <w:vAlign w:val="center"/>
                </w:tcPr>
                <w:p w14:paraId="14135C00">
                  <w:pPr>
                    <w:pStyle w:val="129"/>
                    <w:keepNext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43470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23" w:hRule="atLeast"/>
                <w:jc w:val="center"/>
              </w:trPr>
              <w:tc>
                <w:tcPr>
                  <w:tcW w:w="1068" w:type="pct"/>
                  <w:vMerge w:val="continue"/>
                  <w:tcBorders>
                    <w:tl2br w:val="nil"/>
                    <w:tr2bl w:val="nil"/>
                  </w:tcBorders>
                  <w:noWrap w:val="0"/>
                  <w:vAlign w:val="center"/>
                </w:tcPr>
                <w:p w14:paraId="1083275F">
                  <w:pPr>
                    <w:pStyle w:val="129"/>
                    <w:keepNext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lang w:eastAsia="zh-CN"/>
                      <w14:textFill>
                        <w14:solidFill>
                          <w14:schemeClr w14:val="tx1"/>
                        </w14:solidFill>
                      </w14:textFill>
                    </w:rPr>
                  </w:pPr>
                </w:p>
              </w:tc>
              <w:tc>
                <w:tcPr>
                  <w:tcW w:w="1124" w:type="pct"/>
                  <w:tcBorders>
                    <w:tl2br w:val="nil"/>
                    <w:tr2bl w:val="nil"/>
                  </w:tcBorders>
                  <w:noWrap w:val="0"/>
                  <w:vAlign w:val="center"/>
                </w:tcPr>
                <w:p w14:paraId="68715CDA">
                  <w:pPr>
                    <w:pStyle w:val="129"/>
                    <w:keepNext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重点地区</w:t>
                  </w:r>
                </w:p>
              </w:tc>
              <w:tc>
                <w:tcPr>
                  <w:tcW w:w="2806" w:type="pct"/>
                  <w:tcBorders>
                    <w:tl2br w:val="nil"/>
                    <w:tr2bl w:val="nil"/>
                  </w:tcBorders>
                  <w:noWrap w:val="0"/>
                  <w:vAlign w:val="center"/>
                </w:tcPr>
                <w:p w14:paraId="06A3AC18">
                  <w:pPr>
                    <w:pStyle w:val="129"/>
                    <w:keepNext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775D2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23" w:hRule="atLeast"/>
                <w:jc w:val="center"/>
              </w:trPr>
              <w:tc>
                <w:tcPr>
                  <w:tcW w:w="1068" w:type="pct"/>
                  <w:vMerge w:val="restart"/>
                  <w:tcBorders>
                    <w:tl2br w:val="nil"/>
                    <w:tr2bl w:val="nil"/>
                  </w:tcBorders>
                  <w:noWrap w:val="0"/>
                  <w:vAlign w:val="center"/>
                </w:tcPr>
                <w:p w14:paraId="418FF333">
                  <w:pPr>
                    <w:pStyle w:val="129"/>
                    <w:keepNext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氮氧化物</w:t>
                  </w:r>
                </w:p>
              </w:tc>
              <w:tc>
                <w:tcPr>
                  <w:tcW w:w="1124" w:type="pct"/>
                  <w:tcBorders>
                    <w:tl2br w:val="nil"/>
                    <w:tr2bl w:val="nil"/>
                  </w:tcBorders>
                  <w:noWrap w:val="0"/>
                  <w:vAlign w:val="center"/>
                </w:tcPr>
                <w:p w14:paraId="2B6534DE">
                  <w:pPr>
                    <w:pStyle w:val="129"/>
                    <w:keepNext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一般地区</w:t>
                  </w:r>
                </w:p>
              </w:tc>
              <w:tc>
                <w:tcPr>
                  <w:tcW w:w="2806" w:type="pct"/>
                  <w:tcBorders>
                    <w:tl2br w:val="nil"/>
                    <w:tr2bl w:val="nil"/>
                  </w:tcBorders>
                  <w:noWrap w:val="0"/>
                  <w:vAlign w:val="center"/>
                </w:tcPr>
                <w:p w14:paraId="04150D43">
                  <w:pPr>
                    <w:pStyle w:val="129"/>
                    <w:keepNext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t>低氮燃烧技术、低氮燃烧脱硝技术、低氮燃烧+SCR脱硝技术、低氮燃烧+（SNCR-SCR联合）脱硝技术、SNCR脱硝技术、SCR脱硝技术、SNCR-SCR联合脱硝技术</w:t>
                  </w:r>
                </w:p>
              </w:tc>
            </w:tr>
            <w:tr w14:paraId="49373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23" w:hRule="atLeast"/>
                <w:jc w:val="center"/>
              </w:trPr>
              <w:tc>
                <w:tcPr>
                  <w:tcW w:w="1068" w:type="pct"/>
                  <w:vMerge w:val="continue"/>
                  <w:tcBorders>
                    <w:tl2br w:val="nil"/>
                    <w:tr2bl w:val="nil"/>
                  </w:tcBorders>
                  <w:noWrap w:val="0"/>
                  <w:vAlign w:val="center"/>
                </w:tcPr>
                <w:p w14:paraId="06BDD289">
                  <w:pPr>
                    <w:pStyle w:val="129"/>
                    <w:keepNext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themeColor="text1"/>
                      <w14:textFill>
                        <w14:solidFill>
                          <w14:schemeClr w14:val="tx1"/>
                        </w14:solidFill>
                      </w14:textFill>
                    </w:rPr>
                  </w:pPr>
                </w:p>
              </w:tc>
              <w:tc>
                <w:tcPr>
                  <w:tcW w:w="1124" w:type="pct"/>
                  <w:tcBorders>
                    <w:tl2br w:val="nil"/>
                    <w:tr2bl w:val="nil"/>
                  </w:tcBorders>
                  <w:noWrap w:val="0"/>
                  <w:vAlign w:val="center"/>
                </w:tcPr>
                <w:p w14:paraId="48CF2EC7">
                  <w:pPr>
                    <w:pStyle w:val="129"/>
                    <w:keepNext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重点地区</w:t>
                  </w:r>
                </w:p>
              </w:tc>
              <w:tc>
                <w:tcPr>
                  <w:tcW w:w="2806" w:type="pct"/>
                  <w:tcBorders>
                    <w:tl2br w:val="nil"/>
                    <w:tr2bl w:val="nil"/>
                  </w:tcBorders>
                  <w:noWrap w:val="0"/>
                  <w:vAlign w:val="center"/>
                </w:tcPr>
                <w:p w14:paraId="43C877BD">
                  <w:pPr>
                    <w:pStyle w:val="129"/>
                    <w:keepNext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t>低氮燃烧脱硝技术、低氮燃烧技术+SCR脱硝技术、低氮燃烧+（SNCR-SCR联合）脱硝技术、SNCR脱硝技术、SCR脱硝技术、SNCR-SCR联合脱硝技术</w:t>
                  </w:r>
                </w:p>
              </w:tc>
            </w:tr>
            <w:tr w14:paraId="071A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23" w:hRule="atLeast"/>
                <w:jc w:val="center"/>
              </w:trPr>
              <w:tc>
                <w:tcPr>
                  <w:tcW w:w="1068" w:type="pct"/>
                  <w:vMerge w:val="restart"/>
                  <w:tcBorders>
                    <w:tl2br w:val="nil"/>
                    <w:tr2bl w:val="nil"/>
                  </w:tcBorders>
                  <w:noWrap w:val="0"/>
                  <w:vAlign w:val="center"/>
                </w:tcPr>
                <w:p w14:paraId="38E382F7">
                  <w:pPr>
                    <w:pStyle w:val="129"/>
                    <w:keepNext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颗粒物</w:t>
                  </w:r>
                </w:p>
              </w:tc>
              <w:tc>
                <w:tcPr>
                  <w:tcW w:w="1124" w:type="pct"/>
                  <w:tcBorders>
                    <w:tl2br w:val="nil"/>
                    <w:tr2bl w:val="nil"/>
                  </w:tcBorders>
                  <w:noWrap w:val="0"/>
                  <w:vAlign w:val="center"/>
                </w:tcPr>
                <w:p w14:paraId="3571540C">
                  <w:pPr>
                    <w:pStyle w:val="129"/>
                    <w:keepNext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一般地区</w:t>
                  </w:r>
                </w:p>
              </w:tc>
              <w:tc>
                <w:tcPr>
                  <w:tcW w:w="2806" w:type="pct"/>
                  <w:vMerge w:val="restart"/>
                  <w:tcBorders>
                    <w:tl2br w:val="nil"/>
                    <w:tr2bl w:val="nil"/>
                  </w:tcBorders>
                  <w:noWrap w:val="0"/>
                  <w:vAlign w:val="center"/>
                </w:tcPr>
                <w:p w14:paraId="2CD0D062">
                  <w:pPr>
                    <w:pStyle w:val="129"/>
                    <w:keepNext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t>旋风除尘和袋式除尘组合技术</w:t>
                  </w:r>
                </w:p>
              </w:tc>
            </w:tr>
            <w:tr w14:paraId="06B9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23" w:hRule="atLeast"/>
                <w:jc w:val="center"/>
              </w:trPr>
              <w:tc>
                <w:tcPr>
                  <w:tcW w:w="1068" w:type="pct"/>
                  <w:vMerge w:val="continue"/>
                  <w:tcBorders>
                    <w:tl2br w:val="nil"/>
                    <w:tr2bl w:val="nil"/>
                  </w:tcBorders>
                  <w:noWrap w:val="0"/>
                  <w:vAlign w:val="center"/>
                </w:tcPr>
                <w:p w14:paraId="597AF020">
                  <w:pPr>
                    <w:pStyle w:val="129"/>
                    <w:keepNext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themeColor="text1"/>
                      <w14:textFill>
                        <w14:solidFill>
                          <w14:schemeClr w14:val="tx1"/>
                        </w14:solidFill>
                      </w14:textFill>
                    </w:rPr>
                  </w:pPr>
                </w:p>
              </w:tc>
              <w:tc>
                <w:tcPr>
                  <w:tcW w:w="1124" w:type="pct"/>
                  <w:tcBorders>
                    <w:tl2br w:val="nil"/>
                    <w:tr2bl w:val="nil"/>
                  </w:tcBorders>
                  <w:noWrap w:val="0"/>
                  <w:vAlign w:val="center"/>
                </w:tcPr>
                <w:p w14:paraId="0CBC61E6">
                  <w:pPr>
                    <w:pStyle w:val="129"/>
                    <w:keepNext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重点地区</w:t>
                  </w:r>
                </w:p>
              </w:tc>
              <w:tc>
                <w:tcPr>
                  <w:tcW w:w="2806" w:type="pct"/>
                  <w:vMerge w:val="continue"/>
                  <w:tcBorders>
                    <w:tl2br w:val="nil"/>
                    <w:tr2bl w:val="nil"/>
                  </w:tcBorders>
                  <w:noWrap w:val="0"/>
                  <w:vAlign w:val="center"/>
                </w:tcPr>
                <w:p w14:paraId="23DD51CE">
                  <w:pPr>
                    <w:pStyle w:val="129"/>
                    <w:keepNext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p>
              </w:tc>
            </w:tr>
          </w:tbl>
          <w:p w14:paraId="107247A4">
            <w:pPr>
              <w:pStyle w:val="51"/>
              <w:keepNext w:val="0"/>
              <w:pageBreakBefore w:val="0"/>
              <w:overflowPunct/>
              <w:topLinePunct w:val="0"/>
              <w:bidi w:val="0"/>
              <w:adjustRightInd/>
              <w:snapToGrid/>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对照上表，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本项目位于峨山县双江街道办事处峨山县文邦包装制品有限公司内</w:t>
            </w:r>
            <w:r>
              <w:rPr>
                <w:rFonts w:hint="eastAsia"/>
                <w:color w:val="000000" w:themeColor="text1"/>
                <w:sz w:val="24"/>
                <w:lang w:val="en-US" w:eastAsia="zh-CN"/>
                <w14:textFill>
                  <w14:solidFill>
                    <w14:schemeClr w14:val="tx1"/>
                  </w14:solidFill>
                </w14:textFill>
              </w:rPr>
              <w:t>，属于</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云南红塔产业园区研和片区双小地块</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r>
              <w:rPr>
                <w:rFonts w:hint="eastAsia" w:cs="Times New Roman"/>
                <w:b w:val="0"/>
                <w:bCs w:val="0"/>
                <w:color w:val="000000" w:themeColor="text1"/>
                <w:sz w:val="24"/>
                <w:highlight w:val="none"/>
                <w:lang w:val="en-US" w:eastAsia="zh-CN"/>
                <w14:textFill>
                  <w14:solidFill>
                    <w14:schemeClr w14:val="tx1"/>
                  </w14:solidFill>
                </w14:textFill>
              </w:rPr>
              <w:t>属于一般地区，</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项目所在地为工业用地，属于一般地区。</w:t>
            </w:r>
            <w:r>
              <w:rPr>
                <w:rFonts w:hint="default" w:ascii="Times New Roman" w:hAnsi="Times New Roman" w:eastAsia="宋体" w:cs="Times New Roman"/>
                <w:color w:val="000000" w:themeColor="text1"/>
                <w:sz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lang w:val="en-US" w:eastAsia="zh-CN"/>
                <w14:textFill>
                  <w14:solidFill>
                    <w14:schemeClr w14:val="tx1"/>
                  </w14:solidFill>
                </w14:textFill>
              </w:rPr>
              <w:t>设置有1个3t/h的</w:t>
            </w:r>
            <w:r>
              <w:rPr>
                <w:rFonts w:hint="default" w:ascii="Times New Roman" w:hAnsi="Times New Roman" w:eastAsia="宋体" w:cs="Times New Roman"/>
                <w:color w:val="000000" w:themeColor="text1"/>
                <w:sz w:val="24"/>
                <w:lang w:val="en-US" w:eastAsia="zh-CN"/>
                <w14:textFill>
                  <w14:solidFill>
                    <w14:schemeClr w14:val="tx1"/>
                  </w14:solidFill>
                </w14:textFill>
              </w:rPr>
              <w:t>生物质锅炉，锅炉设置</w:t>
            </w:r>
            <w:r>
              <w:rPr>
                <w:rFonts w:hint="eastAsia" w:ascii="Times New Roman" w:hAnsi="Times New Roman" w:eastAsia="宋体"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套</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低氮燃烧器+旋风除尘器+布袋除尘器</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，处理后的废气</w:t>
            </w:r>
            <w:r>
              <w:rPr>
                <w:rFonts w:hint="eastAsia" w:ascii="Times New Roman" w:hAnsi="Times New Roman" w:eastAsia="宋体" w:cs="Times New Roman"/>
                <w:color w:val="000000" w:themeColor="text1"/>
                <w:sz w:val="24"/>
                <w:lang w:val="en-US" w:eastAsia="zh-CN"/>
                <w14:textFill>
                  <w14:solidFill>
                    <w14:schemeClr w14:val="tx1"/>
                  </w14:solidFill>
                </w14:textFill>
              </w:rPr>
              <w:t>由</w:t>
            </w:r>
            <w:r>
              <w:rPr>
                <w:rFonts w:hint="default" w:ascii="Times New Roman" w:hAnsi="Times New Roman" w:eastAsia="宋体" w:cs="Times New Roman"/>
                <w:color w:val="000000" w:themeColor="text1"/>
                <w:sz w:val="24"/>
                <w:lang w:val="en-US" w:eastAsia="zh-CN"/>
                <w14:textFill>
                  <w14:solidFill>
                    <w14:schemeClr w14:val="tx1"/>
                  </w14:solidFill>
                </w14:textFill>
              </w:rPr>
              <w:t>1根</w:t>
            </w:r>
            <w:r>
              <w:rPr>
                <w:rFonts w:hint="eastAsia" w:cs="Times New Roman"/>
                <w:color w:val="000000" w:themeColor="text1"/>
                <w:sz w:val="24"/>
                <w:lang w:val="en-US" w:eastAsia="zh-CN"/>
                <w14:textFill>
                  <w14:solidFill>
                    <w14:schemeClr w14:val="tx1"/>
                  </w14:solidFill>
                </w14:textFill>
              </w:rPr>
              <w:t>30m</w:t>
            </w:r>
            <w:r>
              <w:rPr>
                <w:rFonts w:hint="default" w:ascii="Times New Roman" w:hAnsi="Times New Roman" w:eastAsia="宋体" w:cs="Times New Roman"/>
                <w:color w:val="000000" w:themeColor="text1"/>
                <w:sz w:val="24"/>
                <w:lang w:val="en-US" w:eastAsia="zh-CN"/>
                <w14:textFill>
                  <w14:solidFill>
                    <w14:schemeClr w14:val="tx1"/>
                  </w14:solidFill>
                </w14:textFill>
              </w:rPr>
              <w:t>高排气筒DA001排放</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本项目采用治理技术</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满足</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《排污许可证申请与核发技术规范 锅炉》（HJ953—2018）中</w:t>
            </w:r>
            <w:r>
              <w:rPr>
                <w:rFonts w:hint="eastAsia"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表7锅炉烟气污染防治可行技术</w:t>
            </w:r>
            <w:r>
              <w:rPr>
                <w:rFonts w:hint="eastAsia"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的相关要求</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，因此废气治理采取的设施为可行技术。</w:t>
            </w:r>
          </w:p>
          <w:p w14:paraId="0DC3FB7D">
            <w:pPr>
              <w:spacing w:line="360" w:lineRule="auto"/>
              <w:ind w:firstLine="480" w:firstLineChars="200"/>
              <w:rPr>
                <w:rFonts w:hint="eastAsia" w:cs="Times New Roman"/>
                <w:b/>
                <w:bCs/>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本项目拟设置</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台</w:t>
            </w:r>
            <w:r>
              <w:rPr>
                <w:rFonts w:hint="eastAsia"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t/h生物质</w:t>
            </w:r>
            <w:r>
              <w:rPr>
                <w:rFonts w:hint="default" w:ascii="Times New Roman" w:hAnsi="Times New Roman" w:cs="Times New Roman"/>
                <w:color w:val="000000" w:themeColor="text1"/>
                <w:sz w:val="24"/>
                <w:shd w:val="clear" w:color="auto" w:fill="FFFFFF"/>
                <w14:textFill>
                  <w14:solidFill>
                    <w14:schemeClr w14:val="tx1"/>
                  </w14:solidFill>
                </w14:textFill>
              </w:rPr>
              <w:t>锅炉，</w:t>
            </w:r>
            <w:r>
              <w:rPr>
                <w:rFonts w:hint="default" w:ascii="Times New Roman" w:hAnsi="Times New Roman" w:cs="Times New Roman"/>
                <w:color w:val="000000" w:themeColor="text1"/>
                <w:sz w:val="24"/>
                <w14:textFill>
                  <w14:solidFill>
                    <w14:schemeClr w14:val="tx1"/>
                  </w14:solidFill>
                </w14:textFill>
              </w:rPr>
              <w:t>根据</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锅炉大气污染物排放标准</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GB13271-2014</w:t>
            </w:r>
            <w:r>
              <w:rPr>
                <w:rFonts w:hint="default" w:ascii="Times New Roman" w:hAnsi="Times New Roman" w:cs="Times New Roman"/>
                <w:color w:val="000000" w:themeColor="text1"/>
                <w:sz w:val="24"/>
                <w:lang w:eastAsia="zh-CN"/>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中表</w:t>
            </w:r>
            <w:r>
              <w:rPr>
                <w:rFonts w:hint="eastAsia"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要求，</w:t>
            </w:r>
            <w:r>
              <w:rPr>
                <w:rFonts w:hint="eastAsia" w:cs="Times New Roman"/>
                <w:color w:val="000000" w:themeColor="text1"/>
                <w:sz w:val="24"/>
                <w:lang w:eastAsia="zh-CN"/>
                <w14:textFill>
                  <w14:solidFill>
                    <w14:schemeClr w14:val="tx1"/>
                  </w14:solidFill>
                </w14:textFill>
              </w:rPr>
              <w:t>对应</w:t>
            </w:r>
            <w:r>
              <w:rPr>
                <w:rFonts w:hint="default" w:ascii="Times New Roman" w:hAnsi="Times New Roman" w:cs="Times New Roman"/>
                <w:color w:val="000000" w:themeColor="text1"/>
                <w:sz w:val="24"/>
                <w14:textFill>
                  <w14:solidFill>
                    <w14:schemeClr w14:val="tx1"/>
                  </w14:solidFill>
                </w14:textFill>
              </w:rPr>
              <w:t>烟囱高度最低允许高度为</w:t>
            </w:r>
            <w:r>
              <w:rPr>
                <w:rFonts w:hint="eastAsia" w:ascii="Times New Roman" w:hAnsi="Times New Roman" w:cs="Times New Roman"/>
                <w:color w:val="000000" w:themeColor="text1"/>
                <w:sz w:val="24"/>
                <w:lang w:val="en-US" w:eastAsia="zh-CN"/>
                <w14:textFill>
                  <w14:solidFill>
                    <w14:schemeClr w14:val="tx1"/>
                  </w14:solidFill>
                </w14:textFill>
              </w:rPr>
              <w:t>30</w:t>
            </w:r>
            <w:r>
              <w:rPr>
                <w:rFonts w:hint="default" w:ascii="Times New Roman" w:hAnsi="Times New Roman" w:cs="Times New Roman"/>
                <w:color w:val="000000" w:themeColor="text1"/>
                <w:sz w:val="24"/>
                <w14:textFill>
                  <w14:solidFill>
                    <w14:schemeClr w14:val="tx1"/>
                  </w14:solidFill>
                </w14:textFill>
              </w:rPr>
              <w:t>m。</w:t>
            </w:r>
            <w:r>
              <w:rPr>
                <w:rFonts w:hint="eastAsia" w:cs="Times New Roman"/>
                <w:color w:val="000000" w:themeColor="text1"/>
                <w:sz w:val="24"/>
                <w:lang w:eastAsia="zh-CN"/>
                <w14:textFill>
                  <w14:solidFill>
                    <w14:schemeClr w14:val="tx1"/>
                  </w14:solidFill>
                </w14:textFill>
              </w:rPr>
              <w:t>本项目设置有</w:t>
            </w:r>
            <w:r>
              <w:rPr>
                <w:rFonts w:hint="eastAsia" w:cs="Times New Roman"/>
                <w:color w:val="000000" w:themeColor="text1"/>
                <w:sz w:val="24"/>
                <w:lang w:val="en-US" w:eastAsia="zh-CN"/>
                <w14:textFill>
                  <w14:solidFill>
                    <w14:schemeClr w14:val="tx1"/>
                  </w14:solidFill>
                </w14:textFill>
              </w:rPr>
              <w:t>1根30m高排气筒DA001，排气筒高度满足</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锅炉大气污染物排放标准</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GB13271-2014</w:t>
            </w:r>
            <w:r>
              <w:rPr>
                <w:rFonts w:hint="default" w:ascii="Times New Roman" w:hAnsi="Times New Roman" w:cs="Times New Roman"/>
                <w:color w:val="000000" w:themeColor="text1"/>
                <w:sz w:val="24"/>
                <w:lang w:eastAsia="zh-CN"/>
                <w14:textFill>
                  <w14:solidFill>
                    <w14:schemeClr w14:val="tx1"/>
                  </w14:solidFill>
                </w14:textFill>
              </w:rPr>
              <w:t>）中表</w:t>
            </w:r>
            <w:r>
              <w:rPr>
                <w:rFonts w:hint="default" w:ascii="Times New Roman" w:hAnsi="Times New Roman" w:cs="Times New Roman"/>
                <w:color w:val="000000" w:themeColor="text1"/>
                <w:sz w:val="24"/>
                <w:lang w:val="en-US" w:eastAsia="zh-CN"/>
                <w14:textFill>
                  <w14:solidFill>
                    <w14:schemeClr w14:val="tx1"/>
                  </w14:solidFill>
                </w14:textFill>
              </w:rPr>
              <w:t>4</w:t>
            </w:r>
            <w:r>
              <w:rPr>
                <w:rFonts w:hint="eastAsia" w:ascii="Times New Roman" w:hAnsi="Times New Roman" w:cs="Times New Roman"/>
                <w:color w:val="000000" w:themeColor="text1"/>
                <w:sz w:val="24"/>
                <w:lang w:val="en-US" w:eastAsia="zh-CN"/>
                <w14:textFill>
                  <w14:solidFill>
                    <w14:schemeClr w14:val="tx1"/>
                  </w14:solidFill>
                </w14:textFill>
              </w:rPr>
              <w:t>要求。</w:t>
            </w:r>
          </w:p>
          <w:p w14:paraId="3BA1CDEC">
            <w:pPr>
              <w:pStyle w:val="157"/>
              <w:keepNext w:val="0"/>
              <w:keepLines/>
              <w:pageBreakBefore w:val="0"/>
              <w:widowControl w:val="0"/>
              <w:numPr>
                <w:ilvl w:val="0"/>
                <w:numId w:val="0"/>
              </w:numPr>
              <w:kinsoku/>
              <w:wordWrap/>
              <w:overflowPunct/>
              <w:topLinePunct w:val="0"/>
              <w:bidi w:val="0"/>
              <w:adjustRightInd/>
              <w:snapToGrid/>
              <w:spacing w:line="360" w:lineRule="auto"/>
              <w:ind w:firstLine="482" w:firstLineChars="200"/>
              <w:contextualSpacing/>
              <w:rPr>
                <w:rFonts w:hint="eastAsia" w:ascii="Times New Roman" w:hAnsi="Times New Roman" w:eastAsia="宋体" w:cs="Times New Roman"/>
                <w:b/>
                <w:bCs/>
                <w:color w:val="000000" w:themeColor="text1"/>
                <w:sz w:val="24"/>
                <w:lang w:eastAsia="zh-CN"/>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2</w:t>
            </w:r>
            <w:r>
              <w:rPr>
                <w:rFonts w:hint="eastAsia" w:ascii="Times New Roman" w:hAnsi="Times New Roman" w:cs="Times New Roman"/>
                <w:b/>
                <w:bCs/>
                <w:color w:val="000000" w:themeColor="text1"/>
                <w:sz w:val="24"/>
                <w:lang w:eastAsia="zh-CN"/>
                <w14:textFill>
                  <w14:solidFill>
                    <w14:schemeClr w14:val="tx1"/>
                  </w14:solidFill>
                </w14:textFill>
              </w:rPr>
              <w:t>）有机废气治理措施可行技术</w:t>
            </w:r>
          </w:p>
          <w:p w14:paraId="323D24D7">
            <w:pPr>
              <w:pStyle w:val="157"/>
              <w:keepNext w:val="0"/>
              <w:keepLines/>
              <w:pageBreakBefore w:val="0"/>
              <w:widowControl w:val="0"/>
              <w:numPr>
                <w:ilvl w:val="0"/>
                <w:numId w:val="0"/>
              </w:numPr>
              <w:kinsoku/>
              <w:wordWrap/>
              <w:overflowPunct/>
              <w:topLinePunct w:val="0"/>
              <w:bidi w:val="0"/>
              <w:adjustRightInd/>
              <w:snapToGrid/>
              <w:spacing w:line="360" w:lineRule="auto"/>
              <w:ind w:firstLine="480" w:firstLineChars="200"/>
              <w:contextualSpacing/>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本次</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有机</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 xml:space="preserve">废气可行技术主要根据《排污许可证申请与核发技术规范 </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橡胶和塑料制品</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工业》（HJ 1</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122</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—20</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中</w:t>
            </w:r>
            <w:r>
              <w:rPr>
                <w:rFonts w:hint="eastAsia" w:cs="Times New Roman"/>
                <w:b w:val="0"/>
                <w:bCs w:val="0"/>
                <w:color w:val="000000" w:themeColor="text1"/>
                <w:sz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附录A中表A.2塑料制品工业排污单位废气污染防治可行技术参考表</w:t>
            </w:r>
            <w:r>
              <w:rPr>
                <w:rFonts w:hint="eastAsia" w:cs="Times New Roman"/>
                <w:b w:val="0"/>
                <w:bCs w:val="0"/>
                <w:color w:val="000000" w:themeColor="text1"/>
                <w:sz w:val="24"/>
                <w:lang w:val="en-US" w:eastAsia="zh-CN"/>
                <w14:textFill>
                  <w14:solidFill>
                    <w14:schemeClr w14:val="tx1"/>
                  </w14:solidFill>
                </w14:textFill>
              </w:rPr>
              <w:t>”</w:t>
            </w:r>
            <w:r>
              <w:rPr>
                <w:rFonts w:hint="default" w:ascii="Times New Roman" w:hAnsi="Times New Roman" w:cs="Times New Roman"/>
                <w:b w:val="0"/>
                <w:bCs w:val="0"/>
                <w:color w:val="000000" w:themeColor="text1"/>
                <w:sz w:val="24"/>
                <w14:textFill>
                  <w14:solidFill>
                    <w14:schemeClr w14:val="tx1"/>
                  </w14:solidFill>
                </w14:textFill>
              </w:rPr>
              <w:t>的相关要求</w:t>
            </w:r>
            <w:r>
              <w:rPr>
                <w:rFonts w:hint="default" w:ascii="Times New Roman" w:hAnsi="Times New Roman" w:cs="Times New Roman"/>
                <w:b w:val="0"/>
                <w:bCs w:val="0"/>
                <w:color w:val="000000" w:themeColor="text1"/>
                <w:sz w:val="24"/>
                <w:lang w:eastAsia="zh-CN"/>
                <w14:textFill>
                  <w14:solidFill>
                    <w14:schemeClr w14:val="tx1"/>
                  </w14:solidFill>
                </w14:textFill>
              </w:rPr>
              <w:t>进行判定本项目可行技术</w:t>
            </w:r>
            <w:r>
              <w:rPr>
                <w:rFonts w:hint="default" w:ascii="Times New Roman" w:hAnsi="Times New Roman" w:cs="Times New Roman"/>
                <w:b w:val="0"/>
                <w:bCs w:val="0"/>
                <w:color w:val="000000" w:themeColor="text1"/>
                <w:sz w:val="24"/>
                <w14:textFill>
                  <w14:solidFill>
                    <w14:schemeClr w14:val="tx1"/>
                  </w14:solidFill>
                </w14:textFill>
              </w:rPr>
              <w:t>，详见下表。</w:t>
            </w:r>
          </w:p>
          <w:p w14:paraId="586427A3">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表4-</w:t>
            </w:r>
            <w:r>
              <w:rPr>
                <w:rFonts w:hint="eastAsia" w:cs="Times New Roman"/>
                <w:b/>
                <w:color w:val="000000" w:themeColor="text1"/>
                <w:sz w:val="21"/>
                <w:szCs w:val="21"/>
                <w:lang w:val="en-US" w:eastAsia="zh-CN"/>
                <w14:textFill>
                  <w14:solidFill>
                    <w14:schemeClr w14:val="tx1"/>
                  </w14:solidFill>
                </w14:textFill>
              </w:rPr>
              <w:t>13</w:t>
            </w:r>
            <w:r>
              <w:rPr>
                <w:rFonts w:hint="default" w:ascii="Times New Roman" w:hAnsi="Times New Roman" w:cs="Times New Roman"/>
                <w:b/>
                <w:color w:val="000000" w:themeColor="text1"/>
                <w:sz w:val="21"/>
                <w:szCs w:val="21"/>
                <w14:textFill>
                  <w14:solidFill>
                    <w14:schemeClr w14:val="tx1"/>
                  </w14:solidFill>
                </w14:textFill>
              </w:rPr>
              <w:t xml:space="preserve"> 塑料制品工业废气污染防治推荐可行技术</w:t>
            </w:r>
          </w:p>
          <w:tbl>
            <w:tblPr>
              <w:tblStyle w:val="33"/>
              <w:tblW w:w="8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2055"/>
              <w:gridCol w:w="1260"/>
              <w:gridCol w:w="3666"/>
            </w:tblGrid>
            <w:tr w14:paraId="6C035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80" w:type="pct"/>
                  <w:vAlign w:val="center"/>
                </w:tcPr>
                <w:p w14:paraId="08B3EE94">
                  <w:pPr>
                    <w:pStyle w:val="57"/>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Times New Roman" w:hAnsi="Times New Roman" w:eastAsia="宋体" w:cs="Times New Roman"/>
                      <w:b/>
                      <w:color w:val="000000" w:themeColor="text1"/>
                      <w:sz w:val="21"/>
                      <w:szCs w:val="21"/>
                      <w:lang w:eastAsia="zh-CN"/>
                      <w14:textFill>
                        <w14:solidFill>
                          <w14:schemeClr w14:val="tx1"/>
                        </w14:solidFill>
                      </w14:textFill>
                    </w:rPr>
                  </w:pPr>
                  <w:r>
                    <w:rPr>
                      <w:rFonts w:hint="eastAsia" w:ascii="Times New Roman" w:hAnsi="Times New Roman" w:cs="Times New Roman"/>
                      <w:b/>
                      <w:color w:val="000000" w:themeColor="text1"/>
                      <w:sz w:val="21"/>
                      <w:szCs w:val="21"/>
                      <w:lang w:eastAsia="zh-CN"/>
                      <w14:textFill>
                        <w14:solidFill>
                          <w14:schemeClr w14:val="tx1"/>
                        </w14:solidFill>
                      </w14:textFill>
                    </w:rPr>
                    <w:t>产排污环节</w:t>
                  </w:r>
                </w:p>
              </w:tc>
              <w:tc>
                <w:tcPr>
                  <w:tcW w:w="1242" w:type="pct"/>
                  <w:vAlign w:val="center"/>
                </w:tcPr>
                <w:p w14:paraId="68095997">
                  <w:pPr>
                    <w:pStyle w:val="57"/>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污染物种类</w:t>
                  </w:r>
                </w:p>
              </w:tc>
              <w:tc>
                <w:tcPr>
                  <w:tcW w:w="761" w:type="pct"/>
                  <w:vAlign w:val="center"/>
                </w:tcPr>
                <w:p w14:paraId="43C67F54">
                  <w:pPr>
                    <w:pStyle w:val="57"/>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排放形式</w:t>
                  </w:r>
                </w:p>
              </w:tc>
              <w:tc>
                <w:tcPr>
                  <w:tcW w:w="2215" w:type="pct"/>
                  <w:vAlign w:val="center"/>
                </w:tcPr>
                <w:p w14:paraId="47664D58">
                  <w:pPr>
                    <w:pStyle w:val="57"/>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推荐可行技术</w:t>
                  </w:r>
                </w:p>
              </w:tc>
            </w:tr>
            <w:tr w14:paraId="76ECF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780" w:type="pct"/>
                  <w:vMerge w:val="restart"/>
                  <w:vAlign w:val="center"/>
                </w:tcPr>
                <w:p w14:paraId="14C69297">
                  <w:pPr>
                    <w:pStyle w:val="57"/>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lang w:eastAsia="zh-CN"/>
                      <w14:textFill>
                        <w14:solidFill>
                          <w14:schemeClr w14:val="tx1"/>
                        </w14:solidFill>
                      </w14:textFill>
                    </w:rPr>
                    <w:t>泡沫塑料制造</w:t>
                  </w:r>
                </w:p>
              </w:tc>
              <w:tc>
                <w:tcPr>
                  <w:tcW w:w="1242" w:type="pct"/>
                  <w:vAlign w:val="center"/>
                </w:tcPr>
                <w:p w14:paraId="6F216CAF">
                  <w:pPr>
                    <w:pStyle w:val="57"/>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非甲烷总烃</w:t>
                  </w:r>
                </w:p>
              </w:tc>
              <w:tc>
                <w:tcPr>
                  <w:tcW w:w="761" w:type="pct"/>
                  <w:vAlign w:val="center"/>
                </w:tcPr>
                <w:p w14:paraId="57120C60">
                  <w:pPr>
                    <w:pStyle w:val="57"/>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有组织排放</w:t>
                  </w:r>
                </w:p>
              </w:tc>
              <w:tc>
                <w:tcPr>
                  <w:tcW w:w="2215" w:type="pct"/>
                  <w:vAlign w:val="center"/>
                </w:tcPr>
                <w:p w14:paraId="75CC6245">
                  <w:pPr>
                    <w:pStyle w:val="57"/>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喷淋、</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吸附、</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吸附浓缩+热力燃烧/催化燃烧</w:t>
                  </w:r>
                </w:p>
              </w:tc>
            </w:tr>
            <w:tr w14:paraId="329C5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0" w:type="pct"/>
                  <w:vMerge w:val="continue"/>
                  <w:vAlign w:val="center"/>
                </w:tcPr>
                <w:p w14:paraId="50A92C94">
                  <w:pPr>
                    <w:pStyle w:val="57"/>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Times New Roman" w:cs="Times New Roman"/>
                      <w:color w:val="000000" w:themeColor="text1"/>
                      <w:sz w:val="21"/>
                      <w:szCs w:val="21"/>
                      <w:lang w:eastAsia="zh-CN"/>
                      <w14:textFill>
                        <w14:solidFill>
                          <w14:schemeClr w14:val="tx1"/>
                        </w14:solidFill>
                      </w14:textFill>
                    </w:rPr>
                  </w:pPr>
                </w:p>
              </w:tc>
              <w:tc>
                <w:tcPr>
                  <w:tcW w:w="1242" w:type="pct"/>
                  <w:vAlign w:val="center"/>
                </w:tcPr>
                <w:p w14:paraId="11F1BB93">
                  <w:pPr>
                    <w:pStyle w:val="57"/>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cs="Times New Roman"/>
                      <w:bCs/>
                      <w:color w:val="000000" w:themeColor="text1"/>
                      <w:sz w:val="21"/>
                      <w:szCs w:val="21"/>
                      <w:lang w:eastAsia="zh-CN"/>
                      <w14:textFill>
                        <w14:solidFill>
                          <w14:schemeClr w14:val="tx1"/>
                        </w14:solidFill>
                      </w14:textFill>
                    </w:rPr>
                    <w:t>臭气浓度、恶臭特征物质</w:t>
                  </w:r>
                </w:p>
              </w:tc>
              <w:tc>
                <w:tcPr>
                  <w:tcW w:w="761" w:type="pct"/>
                  <w:vAlign w:val="center"/>
                </w:tcPr>
                <w:p w14:paraId="7481E8B3">
                  <w:pPr>
                    <w:pStyle w:val="57"/>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有组织排放</w:t>
                  </w:r>
                </w:p>
              </w:tc>
              <w:tc>
                <w:tcPr>
                  <w:tcW w:w="2215" w:type="pct"/>
                  <w:vAlign w:val="center"/>
                </w:tcPr>
                <w:p w14:paraId="21BC5E56">
                  <w:pPr>
                    <w:pStyle w:val="57"/>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喷淋、吸附、低温等离子体、</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UV </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光氧化</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光催化、生物法两种及以上组合技术</w:t>
                  </w:r>
                </w:p>
              </w:tc>
            </w:tr>
          </w:tbl>
          <w:p w14:paraId="414BAD27">
            <w:pPr>
              <w:pStyle w:val="51"/>
              <w:keepNext w:val="0"/>
              <w:pageBreakBefore w:val="0"/>
              <w:overflowPunct/>
              <w:topLinePunct w:val="0"/>
              <w:bidi w:val="0"/>
              <w:adjustRightInd/>
              <w:snapToGrid/>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本项目采用</w:t>
            </w:r>
            <w:r>
              <w:rPr>
                <w:rFonts w:hint="eastAsia" w:cs="Times New Roman"/>
                <w:b w:val="0"/>
                <w:bCs w:val="0"/>
                <w:color w:val="000000" w:themeColor="text1"/>
                <w:sz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两级活性炭活性炭吸附</w:t>
            </w:r>
            <w:r>
              <w:rPr>
                <w:rFonts w:hint="eastAsia" w:cs="Times New Roman"/>
                <w:b w:val="0"/>
                <w:bCs w:val="0"/>
                <w:color w:val="000000" w:themeColor="text1"/>
                <w:sz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装置治理有机废气，</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处理后的废气</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由</w:t>
            </w:r>
            <w:r>
              <w:rPr>
                <w:rFonts w:hint="eastAsia" w:cs="Times New Roman"/>
                <w:b w:val="0"/>
                <w:bCs w:val="0"/>
                <w:color w:val="000000" w:themeColor="text1"/>
                <w:sz w:val="24"/>
                <w:lang w:val="en-US" w:eastAsia="zh-CN"/>
                <w14:textFill>
                  <w14:solidFill>
                    <w14:schemeClr w14:val="tx1"/>
                  </w14:solidFill>
                </w14:textFill>
              </w:rPr>
              <w:t>1根15m高排气筒DA002</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排放</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本项目采用治理技术</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满足</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 xml:space="preserve">《排污许可证申请与核发技术规范  </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橡胶和塑料制品</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工业》（HJ 1</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122</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—20</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中</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的相关要求</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，因此废气治理采取的设施为可行技术。</w:t>
            </w:r>
          </w:p>
          <w:p w14:paraId="72A6427F">
            <w:pPr>
              <w:keepNext w:val="0"/>
              <w:keepLines w:val="0"/>
              <w:pageBreakBefore w:val="0"/>
              <w:widowControl w:val="0"/>
              <w:kinsoku/>
              <w:wordWrap w:val="0"/>
              <w:overflowPunct/>
              <w:topLinePunct/>
              <w:autoSpaceDE/>
              <w:autoSpaceDN/>
              <w:bidi w:val="0"/>
              <w:spacing w:line="360" w:lineRule="auto"/>
              <w:ind w:firstLine="482" w:firstLineChars="200"/>
              <w:jc w:val="left"/>
              <w:rPr>
                <w:rFonts w:hint="default"/>
                <w:b/>
                <w:color w:val="000000" w:themeColor="text1"/>
                <w:sz w:val="24"/>
                <w:lang w:val="en-US" w:eastAsia="zh-CN"/>
                <w14:textFill>
                  <w14:solidFill>
                    <w14:schemeClr w14:val="tx1"/>
                  </w14:solidFill>
                </w14:textFill>
              </w:rPr>
            </w:pPr>
            <w:r>
              <w:rPr>
                <w:rFonts w:hint="eastAsia"/>
                <w:b/>
                <w:color w:val="000000" w:themeColor="text1"/>
                <w:sz w:val="24"/>
                <w:lang w:val="en-US" w:eastAsia="zh-CN"/>
                <w14:textFill>
                  <w14:solidFill>
                    <w14:schemeClr w14:val="tx1"/>
                  </w14:solidFill>
                </w14:textFill>
              </w:rPr>
              <w:t>3）锅炉废气排放口DA001依托可行性分析</w:t>
            </w:r>
          </w:p>
          <w:p w14:paraId="078FA04D">
            <w:pPr>
              <w:keepNext w:val="0"/>
              <w:keepLines w:val="0"/>
              <w:pageBreakBefore w:val="0"/>
              <w:widowControl w:val="0"/>
              <w:kinsoku/>
              <w:wordWrap w:val="0"/>
              <w:overflowPunct/>
              <w:topLinePunct/>
              <w:autoSpaceDE/>
              <w:autoSpaceDN/>
              <w:bidi w:val="0"/>
              <w:spacing w:line="360" w:lineRule="auto"/>
              <w:ind w:firstLine="480" w:firstLineChars="200"/>
              <w:jc w:val="left"/>
              <w:rPr>
                <w:rFonts w:hint="eastAsia"/>
                <w:b w:val="0"/>
                <w:bCs/>
                <w:color w:val="000000" w:themeColor="text1"/>
                <w:sz w:val="24"/>
                <w:lang w:val="en-US" w:eastAsia="zh-CN"/>
                <w14:textFill>
                  <w14:solidFill>
                    <w14:schemeClr w14:val="tx1"/>
                  </w14:solidFill>
                </w14:textFill>
              </w:rPr>
            </w:pPr>
            <w:r>
              <w:rPr>
                <w:rFonts w:hint="eastAsia"/>
                <w:b w:val="0"/>
                <w:bCs/>
                <w:color w:val="000000" w:themeColor="text1"/>
                <w:sz w:val="24"/>
                <w:lang w:eastAsia="zh-CN"/>
                <w14:textFill>
                  <w14:solidFill>
                    <w14:schemeClr w14:val="tx1"/>
                  </w14:solidFill>
                </w14:textFill>
              </w:rPr>
              <w:t>现有</w:t>
            </w:r>
            <w:r>
              <w:rPr>
                <w:rFonts w:hint="eastAsia"/>
                <w:b w:val="0"/>
                <w:bCs/>
                <w:color w:val="000000" w:themeColor="text1"/>
                <w:sz w:val="24"/>
                <w:lang w:val="en-US" w:eastAsia="zh-CN"/>
                <w14:textFill>
                  <w14:solidFill>
                    <w14:schemeClr w14:val="tx1"/>
                  </w14:solidFill>
                </w14:textFill>
              </w:rPr>
              <w:t>30m高</w:t>
            </w:r>
            <w:r>
              <w:rPr>
                <w:rFonts w:hint="eastAsia"/>
                <w:b w:val="0"/>
                <w:bCs/>
                <w:color w:val="000000" w:themeColor="text1"/>
                <w:sz w:val="24"/>
                <w:lang w:eastAsia="zh-CN"/>
                <w14:textFill>
                  <w14:solidFill>
                    <w14:schemeClr w14:val="tx1"/>
                  </w14:solidFill>
                </w14:textFill>
              </w:rPr>
              <w:t>排放口</w:t>
            </w:r>
            <w:r>
              <w:rPr>
                <w:rFonts w:hint="eastAsia"/>
                <w:b w:val="0"/>
                <w:bCs/>
                <w:color w:val="000000" w:themeColor="text1"/>
                <w:sz w:val="24"/>
                <w:lang w:val="en-US" w:eastAsia="zh-CN"/>
                <w14:textFill>
                  <w14:solidFill>
                    <w14:schemeClr w14:val="tx1"/>
                  </w14:solidFill>
                </w14:textFill>
              </w:rPr>
              <w:t>DA001为原燃煤锅炉废气排放口，本项目将原有燃煤锅炉拆除，排放口保留，作为新建生物质锅炉排放口使用。污染物排放种类相似，均为颗粒物、二氧化硫、氮氧化物。</w:t>
            </w:r>
          </w:p>
          <w:p w14:paraId="695C2EEE">
            <w:pPr>
              <w:keepNext w:val="0"/>
              <w:keepLines w:val="0"/>
              <w:pageBreakBefore w:val="0"/>
              <w:widowControl w:val="0"/>
              <w:kinsoku/>
              <w:wordWrap w:val="0"/>
              <w:overflowPunct/>
              <w:topLinePunct/>
              <w:autoSpaceDE/>
              <w:autoSpaceDN/>
              <w:bidi w:val="0"/>
              <w:spacing w:line="360" w:lineRule="auto"/>
              <w:ind w:firstLine="480" w:firstLineChars="200"/>
              <w:jc w:val="left"/>
              <w:rPr>
                <w:rFonts w:hint="eastAsia"/>
                <w:b w:val="0"/>
                <w:bCs/>
                <w:color w:val="000000" w:themeColor="text1"/>
                <w:sz w:val="24"/>
                <w:lang w:val="en-US" w:eastAsia="zh-CN"/>
                <w14:textFill>
                  <w14:solidFill>
                    <w14:schemeClr w14:val="tx1"/>
                  </w14:solidFill>
                </w14:textFill>
              </w:rPr>
            </w:pPr>
            <w:r>
              <w:rPr>
                <w:rFonts w:hint="eastAsia"/>
                <w:b w:val="0"/>
                <w:bCs/>
                <w:color w:val="000000" w:themeColor="text1"/>
                <w:sz w:val="24"/>
                <w:lang w:val="en-US" w:eastAsia="zh-CN"/>
                <w14:textFill>
                  <w14:solidFill>
                    <w14:schemeClr w14:val="tx1"/>
                  </w14:solidFill>
                </w14:textFill>
              </w:rPr>
              <w:t>现有排放口DA001直径为0.35m，本项目排放风量为3183.092</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/h</w:t>
            </w:r>
            <w:r>
              <w:rPr>
                <w:rFonts w:hint="eastAsia"/>
                <w:b w:val="0"/>
                <w:bCs/>
                <w:color w:val="000000" w:themeColor="text1"/>
                <w:sz w:val="24"/>
                <w:lang w:val="en-US" w:eastAsia="zh-CN"/>
                <w14:textFill>
                  <w14:solidFill>
                    <w14:schemeClr w14:val="tx1"/>
                  </w14:solidFill>
                </w14:textFill>
              </w:rPr>
              <w:t>，即排放口流速约13.79m/s，</w:t>
            </w:r>
            <w:r>
              <w:rPr>
                <w:rFonts w:hint="eastAsia" w:eastAsia="宋体"/>
                <w:b w:val="0"/>
                <w:bCs/>
                <w:color w:val="000000" w:themeColor="text1"/>
                <w:sz w:val="24"/>
                <w:lang w:val="en-US" w:eastAsia="zh-CN"/>
                <w14:textFill>
                  <w14:solidFill>
                    <w14:schemeClr w14:val="tx1"/>
                  </w14:solidFill>
                </w14:textFill>
              </w:rPr>
              <w:t>排气筒风速满足《大气污染治理工程技术导则》（</w:t>
            </w:r>
            <w:r>
              <w:rPr>
                <w:rFonts w:hint="default" w:eastAsia="宋体"/>
                <w:b w:val="0"/>
                <w:bCs/>
                <w:color w:val="000000" w:themeColor="text1"/>
                <w:sz w:val="24"/>
                <w:lang w:val="en-US" w:eastAsia="zh-CN"/>
                <w14:textFill>
                  <w14:solidFill>
                    <w14:schemeClr w14:val="tx1"/>
                  </w14:solidFill>
                </w14:textFill>
              </w:rPr>
              <w:t>HJ 2000-2010</w:t>
            </w:r>
            <w:r>
              <w:rPr>
                <w:rFonts w:hint="eastAsia" w:eastAsia="宋体"/>
                <w:b w:val="0"/>
                <w:bCs/>
                <w:color w:val="000000" w:themeColor="text1"/>
                <w:sz w:val="24"/>
                <w:lang w:val="en-US" w:eastAsia="zh-CN"/>
                <w14:textFill>
                  <w14:solidFill>
                    <w14:schemeClr w14:val="tx1"/>
                  </w14:solidFill>
                </w14:textFill>
              </w:rPr>
              <w:t>）中“5.3.5排气筒的出口直径应根据出口流速确定，流速宜取15ms/s总有”相关要求。</w:t>
            </w:r>
          </w:p>
          <w:p w14:paraId="6E39DD11">
            <w:pPr>
              <w:keepNext w:val="0"/>
              <w:keepLines w:val="0"/>
              <w:pageBreakBefore w:val="0"/>
              <w:widowControl w:val="0"/>
              <w:kinsoku/>
              <w:wordWrap w:val="0"/>
              <w:overflowPunct/>
              <w:topLinePunct/>
              <w:autoSpaceDE/>
              <w:autoSpaceDN/>
              <w:bidi w:val="0"/>
              <w:spacing w:line="360" w:lineRule="auto"/>
              <w:ind w:firstLine="482" w:firstLineChars="200"/>
              <w:jc w:val="left"/>
              <w:rPr>
                <w:b/>
                <w:color w:val="000000" w:themeColor="text1"/>
                <w:sz w:val="24"/>
                <w14:textFill>
                  <w14:solidFill>
                    <w14:schemeClr w14:val="tx1"/>
                  </w14:solidFill>
                </w14:textFill>
              </w:rPr>
            </w:pPr>
            <w:r>
              <w:rPr>
                <w:rFonts w:hint="eastAsia"/>
                <w:b/>
                <w:color w:val="000000" w:themeColor="text1"/>
                <w:sz w:val="24"/>
                <w:lang w:eastAsia="zh-CN"/>
                <w14:textFill>
                  <w14:solidFill>
                    <w14:schemeClr w14:val="tx1"/>
                  </w14:solidFill>
                </w14:textFill>
              </w:rPr>
              <w:t>（</w:t>
            </w:r>
            <w:r>
              <w:rPr>
                <w:rFonts w:hint="eastAsia"/>
                <w:b/>
                <w:color w:val="000000" w:themeColor="text1"/>
                <w:sz w:val="24"/>
                <w:lang w:val="en-US" w:eastAsia="zh-CN"/>
                <w14:textFill>
                  <w14:solidFill>
                    <w14:schemeClr w14:val="tx1"/>
                  </w14:solidFill>
                </w14:textFill>
              </w:rPr>
              <w:t>4</w:t>
            </w:r>
            <w:r>
              <w:rPr>
                <w:rFonts w:hint="eastAsia"/>
                <w:b/>
                <w:color w:val="000000" w:themeColor="text1"/>
                <w:sz w:val="24"/>
                <w:lang w:eastAsia="zh-CN"/>
                <w14:textFill>
                  <w14:solidFill>
                    <w14:schemeClr w14:val="tx1"/>
                  </w14:solidFill>
                </w14:textFill>
              </w:rPr>
              <w:t>）</w:t>
            </w:r>
            <w:r>
              <w:rPr>
                <w:b/>
                <w:color w:val="000000" w:themeColor="text1"/>
                <w:sz w:val="24"/>
                <w14:textFill>
                  <w14:solidFill>
                    <w14:schemeClr w14:val="tx1"/>
                  </w14:solidFill>
                </w14:textFill>
              </w:rPr>
              <w:t>无组织排放废气防治措施</w:t>
            </w:r>
          </w:p>
          <w:p w14:paraId="3C97FE0B">
            <w:pPr>
              <w:keepNext w:val="0"/>
              <w:keepLines w:val="0"/>
              <w:pageBreakBefore w:val="0"/>
              <w:widowControl w:val="0"/>
              <w:kinsoku/>
              <w:wordWrap w:val="0"/>
              <w:overflowPunct/>
              <w:topLinePunct/>
              <w:autoSpaceDE/>
              <w:autoSpaceDN/>
              <w:bidi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为了进一步减少废气对生产车间环境空气的影响和保障工人健康，建议建设单位采取下列措施：</w:t>
            </w:r>
          </w:p>
          <w:p w14:paraId="5C10AD2E">
            <w:pPr>
              <w:keepNext w:val="0"/>
              <w:keepLines w:val="0"/>
              <w:pageBreakBefore w:val="0"/>
              <w:widowControl w:val="0"/>
              <w:kinsoku/>
              <w:wordWrap w:val="0"/>
              <w:overflowPunct/>
              <w:topLinePunct/>
              <w:autoSpaceDE/>
              <w:autoSpaceDN/>
              <w:bidi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①加强生产车间内通风，并设置较强的排风系统；</w:t>
            </w:r>
          </w:p>
          <w:p w14:paraId="2DA47638">
            <w:pPr>
              <w:keepNext w:val="0"/>
              <w:keepLines w:val="0"/>
              <w:pageBreakBefore w:val="0"/>
              <w:widowControl w:val="0"/>
              <w:kinsoku/>
              <w:wordWrap w:val="0"/>
              <w:overflowPunct/>
              <w:topLinePunct/>
              <w:autoSpaceDE/>
              <w:autoSpaceDN/>
              <w:bidi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②提高集气罩废气收集效率，加强</w:t>
            </w:r>
            <w:r>
              <w:rPr>
                <w:rFonts w:hint="eastAsia"/>
                <w:color w:val="000000" w:themeColor="text1"/>
                <w:sz w:val="24"/>
                <w14:textFill>
                  <w14:solidFill>
                    <w14:schemeClr w14:val="tx1"/>
                  </w14:solidFill>
                </w14:textFill>
              </w:rPr>
              <w:t>集气罩</w:t>
            </w:r>
            <w:r>
              <w:rPr>
                <w:color w:val="000000" w:themeColor="text1"/>
                <w:sz w:val="24"/>
                <w14:textFill>
                  <w14:solidFill>
                    <w14:schemeClr w14:val="tx1"/>
                  </w14:solidFill>
                </w14:textFill>
              </w:rPr>
              <w:t>的风量控制，确保生产过程产生的废气能够有效收集；</w:t>
            </w:r>
          </w:p>
          <w:p w14:paraId="7BB8B76B">
            <w:pPr>
              <w:keepNext w:val="0"/>
              <w:keepLines w:val="0"/>
              <w:pageBreakBefore w:val="0"/>
              <w:widowControl w:val="0"/>
              <w:kinsoku/>
              <w:wordWrap w:val="0"/>
              <w:overflowPunct/>
              <w:topLinePunct/>
              <w:autoSpaceDE/>
              <w:autoSpaceDN/>
              <w:bidi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③加强设备维护，防止不良工况下的废气产生；</w:t>
            </w:r>
          </w:p>
          <w:p w14:paraId="4C45189D">
            <w:pPr>
              <w:keepNext w:val="0"/>
              <w:keepLines w:val="0"/>
              <w:pageBreakBefore w:val="0"/>
              <w:widowControl w:val="0"/>
              <w:kinsoku/>
              <w:wordWrap w:val="0"/>
              <w:overflowPunct/>
              <w:topLinePunct/>
              <w:autoSpaceDE/>
              <w:autoSpaceDN/>
              <w:bidi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④建议生产车间操作人员操作时佩戴口罩；</w:t>
            </w:r>
          </w:p>
          <w:p w14:paraId="20F6A994">
            <w:pPr>
              <w:keepNext w:val="0"/>
              <w:keepLines w:val="0"/>
              <w:pageBreakBefore w:val="0"/>
              <w:widowControl w:val="0"/>
              <w:kinsoku/>
              <w:wordWrap w:val="0"/>
              <w:overflowPunct/>
              <w:topLinePunct/>
              <w:autoSpaceDE/>
              <w:autoSpaceDN/>
              <w:bidi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⑤加强操作工的培训和管理，所有操作严格按照既定的规程进行，以减少人为造成的对环境的污染。</w:t>
            </w:r>
          </w:p>
          <w:p w14:paraId="1B3C6CA9">
            <w:pPr>
              <w:keepNext w:val="0"/>
              <w:keepLines w:val="0"/>
              <w:pageBreakBefore w:val="0"/>
              <w:widowControl w:val="0"/>
              <w:tabs>
                <w:tab w:val="left" w:pos="4830"/>
              </w:tabs>
              <w:kinsoku/>
              <w:wordWrap w:val="0"/>
              <w:overflowPunct/>
              <w:topLinePunct/>
              <w:autoSpaceDE/>
              <w:autoSpaceDN/>
              <w:bidi w:val="0"/>
              <w:adjustRightInd/>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w:t>
            </w:r>
            <w:r>
              <w:rPr>
                <w:rFonts w:hint="eastAsia" w:cs="Times New Roman"/>
                <w:b/>
                <w:bCs/>
                <w:color w:val="000000" w:themeColor="text1"/>
                <w:sz w:val="24"/>
                <w:lang w:val="en-US" w:eastAsia="zh-CN"/>
                <w14:textFill>
                  <w14:solidFill>
                    <w14:schemeClr w14:val="tx1"/>
                  </w14:solidFill>
                </w14:textFill>
              </w:rPr>
              <w:t>5</w:t>
            </w:r>
            <w:r>
              <w:rPr>
                <w:rFonts w:hint="default" w:ascii="Times New Roman" w:hAnsi="Times New Roman" w:cs="Times New Roman"/>
                <w:b/>
                <w:bCs/>
                <w:color w:val="000000" w:themeColor="text1"/>
                <w:sz w:val="24"/>
                <w14:textFill>
                  <w14:solidFill>
                    <w14:schemeClr w14:val="tx1"/>
                  </w14:solidFill>
                </w14:textFill>
              </w:rPr>
              <w:t>）自行监测一览表</w:t>
            </w:r>
          </w:p>
          <w:p w14:paraId="2DB00296">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根据《排污单位自行监测技术指南</w:t>
            </w:r>
            <w:r>
              <w:rPr>
                <w:rFonts w:hint="eastAsia"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14:textFill>
                  <w14:solidFill>
                    <w14:schemeClr w14:val="tx1"/>
                  </w14:solidFill>
                </w14:textFill>
              </w:rPr>
              <w:t>橡胶和塑料制品》（HJ1207—2021）中</w:t>
            </w:r>
            <w:r>
              <w:rPr>
                <w:rFonts w:hint="eastAsia" w:cs="Times New Roman"/>
                <w:color w:val="000000" w:themeColor="text1"/>
                <w:sz w:val="24"/>
                <w:lang w:val="en-US" w:eastAsia="zh-CN"/>
                <w14:textFill>
                  <w14:solidFill>
                    <w14:schemeClr w14:val="tx1"/>
                  </w14:solidFill>
                </w14:textFill>
              </w:rPr>
              <w:t>表4</w:t>
            </w:r>
            <w:r>
              <w:rPr>
                <w:rFonts w:hint="default" w:ascii="Times New Roman" w:hAnsi="Times New Roman" w:eastAsia="宋体" w:cs="Times New Roman"/>
                <w:color w:val="000000" w:themeColor="text1"/>
                <w:sz w:val="24"/>
                <w14:textFill>
                  <w14:solidFill>
                    <w14:schemeClr w14:val="tx1"/>
                  </w14:solidFill>
                </w14:textFill>
              </w:rPr>
              <w:t>的相关要求</w:t>
            </w:r>
            <w:r>
              <w:rPr>
                <w:rFonts w:hint="eastAsia" w:cs="Times New Roman"/>
                <w:color w:val="000000" w:themeColor="text1"/>
                <w:sz w:val="24"/>
                <w:lang w:val="en-US" w:eastAsia="zh-CN"/>
                <w14:textFill>
                  <w14:solidFill>
                    <w14:schemeClr w14:val="tx1"/>
                  </w14:solidFill>
                </w14:textFill>
              </w:rPr>
              <w:t>和</w:t>
            </w:r>
            <w:r>
              <w:rPr>
                <w:color w:val="000000" w:themeColor="text1"/>
                <w:sz w:val="24"/>
                <w:lang w:bidi="ar"/>
                <w14:textFill>
                  <w14:solidFill>
                    <w14:schemeClr w14:val="tx1"/>
                  </w14:solidFill>
                </w14:textFill>
              </w:rPr>
              <w:t>《排污单位自行监测技术指南 火力发电及锅炉》（HJ 820-2017）</w:t>
            </w:r>
            <w:r>
              <w:rPr>
                <w:rFonts w:hint="eastAsia"/>
                <w:color w:val="000000" w:themeColor="text1"/>
                <w:sz w:val="24"/>
                <w:lang w:val="en-US" w:eastAsia="zh-CN" w:bidi="ar"/>
                <w14:textFill>
                  <w14:solidFill>
                    <w14:schemeClr w14:val="tx1"/>
                  </w14:solidFill>
                </w14:textFill>
              </w:rPr>
              <w:t>中的相关要求</w:t>
            </w:r>
            <w:r>
              <w:rPr>
                <w:rFonts w:hint="default" w:ascii="Times New Roman" w:hAnsi="Times New Roman" w:eastAsia="宋体" w:cs="Times New Roman"/>
                <w:color w:val="000000" w:themeColor="text1"/>
                <w:sz w:val="24"/>
                <w14:textFill>
                  <w14:solidFill>
                    <w14:schemeClr w14:val="tx1"/>
                  </w14:solidFill>
                </w14:textFill>
              </w:rPr>
              <w:t>，本项目废气自行监测</w:t>
            </w:r>
            <w:r>
              <w:rPr>
                <w:rFonts w:hint="eastAsia" w:cs="Times New Roman"/>
                <w:color w:val="000000" w:themeColor="text1"/>
                <w:sz w:val="24"/>
                <w:lang w:val="en-US" w:eastAsia="zh-CN"/>
                <w14:textFill>
                  <w14:solidFill>
                    <w14:schemeClr w14:val="tx1"/>
                  </w14:solidFill>
                </w14:textFill>
              </w:rPr>
              <w:t>的</w:t>
            </w:r>
            <w:r>
              <w:rPr>
                <w:rFonts w:hint="default" w:ascii="Times New Roman" w:hAnsi="Times New Roman" w:eastAsia="宋体" w:cs="Times New Roman"/>
                <w:color w:val="000000" w:themeColor="text1"/>
                <w:sz w:val="24"/>
                <w14:textFill>
                  <w14:solidFill>
                    <w14:schemeClr w14:val="tx1"/>
                  </w14:solidFill>
                </w14:textFill>
              </w:rPr>
              <w:t>相关内容详见下表。</w:t>
            </w:r>
          </w:p>
          <w:p w14:paraId="03B0647B">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表4-</w:t>
            </w:r>
            <w:r>
              <w:rPr>
                <w:rFonts w:hint="eastAsia" w:cs="Times New Roman"/>
                <w:b/>
                <w:color w:val="000000" w:themeColor="text1"/>
                <w:sz w:val="21"/>
                <w:szCs w:val="21"/>
                <w:lang w:val="en-US" w:eastAsia="zh-CN"/>
                <w14:textFill>
                  <w14:solidFill>
                    <w14:schemeClr w14:val="tx1"/>
                  </w14:solidFill>
                </w14:textFill>
              </w:rPr>
              <w:t>14</w:t>
            </w:r>
            <w:r>
              <w:rPr>
                <w:rFonts w:hint="default" w:ascii="Times New Roman" w:hAnsi="Times New Roman" w:cs="Times New Roman"/>
                <w:b/>
                <w:color w:val="000000" w:themeColor="text1"/>
                <w:sz w:val="21"/>
                <w:szCs w:val="21"/>
                <w14:textFill>
                  <w14:solidFill>
                    <w14:schemeClr w14:val="tx1"/>
                  </w14:solidFill>
                </w14:textFill>
              </w:rPr>
              <w:t xml:space="preserve">  项目废气自行监测一览表</w:t>
            </w:r>
          </w:p>
          <w:tbl>
            <w:tblPr>
              <w:tblStyle w:val="34"/>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856"/>
              <w:gridCol w:w="900"/>
              <w:gridCol w:w="926"/>
              <w:gridCol w:w="1579"/>
              <w:gridCol w:w="1995"/>
              <w:gridCol w:w="1335"/>
            </w:tblGrid>
            <w:tr w14:paraId="24FAF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6" w:type="pct"/>
                  <w:noWrap w:val="0"/>
                  <w:vAlign w:val="center"/>
                </w:tcPr>
                <w:p w14:paraId="2E264B10">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bCs/>
                      <w:i w:val="0"/>
                      <w:i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i w:val="0"/>
                      <w:iCs/>
                      <w:color w:val="000000" w:themeColor="text1"/>
                      <w:sz w:val="21"/>
                      <w:szCs w:val="21"/>
                      <w:vertAlign w:val="baseline"/>
                      <w:lang w:val="en-US" w:eastAsia="zh-CN"/>
                      <w14:textFill>
                        <w14:solidFill>
                          <w14:schemeClr w14:val="tx1"/>
                        </w14:solidFill>
                      </w14:textFill>
                    </w:rPr>
                    <w:t>类别</w:t>
                  </w:r>
                </w:p>
              </w:tc>
              <w:tc>
                <w:tcPr>
                  <w:tcW w:w="522" w:type="pct"/>
                  <w:noWrap w:val="0"/>
                  <w:vAlign w:val="center"/>
                </w:tcPr>
                <w:p w14:paraId="08046023">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bCs/>
                      <w:i w:val="0"/>
                      <w:i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i w:val="0"/>
                      <w:iCs/>
                      <w:color w:val="000000" w:themeColor="text1"/>
                      <w:sz w:val="21"/>
                      <w:szCs w:val="21"/>
                      <w:vertAlign w:val="baseline"/>
                      <w:lang w:val="en-US" w:eastAsia="zh-CN"/>
                      <w14:textFill>
                        <w14:solidFill>
                          <w14:schemeClr w14:val="tx1"/>
                        </w14:solidFill>
                      </w14:textFill>
                    </w:rPr>
                    <w:t>监测点位</w:t>
                  </w:r>
                </w:p>
              </w:tc>
              <w:tc>
                <w:tcPr>
                  <w:tcW w:w="549" w:type="pct"/>
                  <w:noWrap w:val="0"/>
                  <w:vAlign w:val="center"/>
                </w:tcPr>
                <w:p w14:paraId="7DCA1904">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bCs/>
                      <w:i w:val="0"/>
                      <w:i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i w:val="0"/>
                      <w:iCs/>
                      <w:color w:val="000000" w:themeColor="text1"/>
                      <w:sz w:val="21"/>
                      <w:szCs w:val="21"/>
                      <w:vertAlign w:val="baseline"/>
                      <w:lang w:val="en-US" w:eastAsia="zh-CN"/>
                      <w14:textFill>
                        <w14:solidFill>
                          <w14:schemeClr w14:val="tx1"/>
                        </w14:solidFill>
                      </w14:textFill>
                    </w:rPr>
                    <w:t>监测指标</w:t>
                  </w:r>
                </w:p>
              </w:tc>
              <w:tc>
                <w:tcPr>
                  <w:tcW w:w="565" w:type="pct"/>
                  <w:noWrap w:val="0"/>
                  <w:vAlign w:val="center"/>
                </w:tcPr>
                <w:p w14:paraId="2D203E59">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bCs/>
                      <w:i w:val="0"/>
                      <w:i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i w:val="0"/>
                      <w:iCs/>
                      <w:color w:val="000000" w:themeColor="text1"/>
                      <w:sz w:val="21"/>
                      <w:szCs w:val="21"/>
                      <w:vertAlign w:val="baseline"/>
                      <w:lang w:val="en-US" w:eastAsia="zh-CN"/>
                      <w14:textFill>
                        <w14:solidFill>
                          <w14:schemeClr w14:val="tx1"/>
                        </w14:solidFill>
                      </w14:textFill>
                    </w:rPr>
                    <w:t>监测频次</w:t>
                  </w:r>
                </w:p>
              </w:tc>
              <w:tc>
                <w:tcPr>
                  <w:tcW w:w="963" w:type="pct"/>
                  <w:noWrap w:val="0"/>
                  <w:vAlign w:val="center"/>
                </w:tcPr>
                <w:p w14:paraId="7B44EE63">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bCs/>
                      <w:i w:val="0"/>
                      <w:i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b/>
                      <w:bCs/>
                      <w:i w:val="0"/>
                      <w:iCs/>
                      <w:color w:val="000000" w:themeColor="text1"/>
                      <w:sz w:val="21"/>
                      <w:szCs w:val="21"/>
                      <w:vertAlign w:val="baseline"/>
                      <w:lang w:val="en-US" w:eastAsia="zh-CN"/>
                      <w14:textFill>
                        <w14:solidFill>
                          <w14:schemeClr w14:val="tx1"/>
                        </w14:solidFill>
                      </w14:textFill>
                    </w:rPr>
                    <w:t>监测指标参考标准</w:t>
                  </w:r>
                </w:p>
              </w:tc>
              <w:tc>
                <w:tcPr>
                  <w:tcW w:w="1217" w:type="pct"/>
                  <w:noWrap w:val="0"/>
                  <w:vAlign w:val="center"/>
                </w:tcPr>
                <w:p w14:paraId="42D860E6">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bCs/>
                      <w:i w:val="0"/>
                      <w:i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i w:val="0"/>
                      <w:iCs/>
                      <w:color w:val="000000" w:themeColor="text1"/>
                      <w:sz w:val="21"/>
                      <w:szCs w:val="21"/>
                      <w:vertAlign w:val="baseline"/>
                      <w:lang w:val="en-US" w:eastAsia="zh-CN"/>
                      <w14:textFill>
                        <w14:solidFill>
                          <w14:schemeClr w14:val="tx1"/>
                        </w14:solidFill>
                      </w14:textFill>
                    </w:rPr>
                    <w:t>执行标准</w:t>
                  </w:r>
                </w:p>
              </w:tc>
              <w:tc>
                <w:tcPr>
                  <w:tcW w:w="814" w:type="pct"/>
                  <w:noWrap w:val="0"/>
                  <w:vAlign w:val="center"/>
                </w:tcPr>
                <w:p w14:paraId="7E85BDF8">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bCs/>
                      <w:i w:val="0"/>
                      <w:i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b/>
                      <w:bCs/>
                      <w:i w:val="0"/>
                      <w:iCs/>
                      <w:color w:val="000000" w:themeColor="text1"/>
                      <w:sz w:val="21"/>
                      <w:szCs w:val="21"/>
                      <w:vertAlign w:val="baseline"/>
                      <w:lang w:val="en-US" w:eastAsia="zh-CN"/>
                      <w14:textFill>
                        <w14:solidFill>
                          <w14:schemeClr w14:val="tx1"/>
                        </w14:solidFill>
                      </w14:textFill>
                    </w:rPr>
                    <w:t>标准</w:t>
                  </w:r>
                  <w:r>
                    <w:rPr>
                      <w:rFonts w:hint="default" w:ascii="Times New Roman" w:hAnsi="Times New Roman" w:cs="Times New Roman" w:eastAsiaTheme="minorEastAsia"/>
                      <w:b/>
                      <w:bCs/>
                      <w:i w:val="0"/>
                      <w:iCs/>
                      <w:color w:val="000000" w:themeColor="text1"/>
                      <w:sz w:val="21"/>
                      <w:szCs w:val="21"/>
                      <w:vertAlign w:val="baseline"/>
                      <w:lang w:val="en-US" w:eastAsia="zh-CN"/>
                      <w14:textFill>
                        <w14:solidFill>
                          <w14:schemeClr w14:val="tx1"/>
                        </w14:solidFill>
                      </w14:textFill>
                    </w:rPr>
                    <w:t>限值</w:t>
                  </w:r>
                </w:p>
              </w:tc>
            </w:tr>
            <w:tr w14:paraId="27711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366" w:type="pct"/>
                  <w:vMerge w:val="restart"/>
                  <w:noWrap w:val="0"/>
                  <w:vAlign w:val="center"/>
                </w:tcPr>
                <w:p w14:paraId="36C4BFA4">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废气</w:t>
                  </w:r>
                </w:p>
              </w:tc>
              <w:tc>
                <w:tcPr>
                  <w:tcW w:w="522" w:type="pct"/>
                  <w:vMerge w:val="restart"/>
                  <w:noWrap w:val="0"/>
                  <w:vAlign w:val="center"/>
                </w:tcPr>
                <w:p w14:paraId="5796C010">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锅炉废气排口</w:t>
                  </w: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DA00</w:t>
                  </w:r>
                  <w:r>
                    <w:rPr>
                      <w:rFonts w:hint="eastAsia"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1</w:t>
                  </w: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（排气筒高度为</w:t>
                  </w:r>
                  <w:r>
                    <w:rPr>
                      <w:rFonts w:hint="eastAsia" w:cs="Times New Roman" w:eastAsiaTheme="minorEastAsia"/>
                      <w:b w:val="0"/>
                      <w:bCs w:val="0"/>
                      <w:i w:val="0"/>
                      <w:iCs/>
                      <w:color w:val="000000" w:themeColor="text1"/>
                      <w:sz w:val="21"/>
                      <w:szCs w:val="21"/>
                      <w:vertAlign w:val="baseline"/>
                      <w:lang w:val="en-US" w:eastAsia="zh-CN"/>
                      <w14:textFill>
                        <w14:solidFill>
                          <w14:schemeClr w14:val="tx1"/>
                        </w14:solidFill>
                      </w14:textFill>
                    </w:rPr>
                    <w:t>30m</w:t>
                  </w: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w:t>
                  </w:r>
                </w:p>
              </w:tc>
              <w:tc>
                <w:tcPr>
                  <w:tcW w:w="549" w:type="pct"/>
                  <w:noWrap w:val="0"/>
                  <w:vAlign w:val="center"/>
                </w:tcPr>
                <w:p w14:paraId="54CF8357">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lang w:val="en-US" w:eastAsia="zh-CN"/>
                      <w14:textFill>
                        <w14:solidFill>
                          <w14:schemeClr w14:val="tx1"/>
                        </w14:solidFill>
                      </w14:textFill>
                    </w:rPr>
                    <w:t>颗粒物</w:t>
                  </w:r>
                </w:p>
              </w:tc>
              <w:tc>
                <w:tcPr>
                  <w:tcW w:w="565" w:type="pct"/>
                  <w:vMerge w:val="restart"/>
                  <w:noWrap w:val="0"/>
                  <w:vAlign w:val="center"/>
                </w:tcPr>
                <w:p w14:paraId="0A534EE0">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1月/次</w:t>
                  </w:r>
                </w:p>
              </w:tc>
              <w:tc>
                <w:tcPr>
                  <w:tcW w:w="963" w:type="pct"/>
                  <w:vMerge w:val="restart"/>
                  <w:noWrap w:val="0"/>
                  <w:vAlign w:val="center"/>
                </w:tcPr>
                <w:p w14:paraId="19F01135">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14:textFill>
                        <w14:solidFill>
                          <w14:schemeClr w14:val="tx1"/>
                        </w14:solidFill>
                      </w14:textFill>
                    </w:rPr>
                    <w:t>《排污单位自行监测技术指南 火力发电及锅炉》（HJ 820-2017）</w:t>
                  </w:r>
                  <w:r>
                    <w:rPr>
                      <w:rFonts w:hint="eastAsia" w:ascii="Times New Roman" w:hAnsi="Times New Roman" w:cs="Times New Roman" w:eastAsiaTheme="minorEastAsia"/>
                      <w:b w:val="0"/>
                      <w:bCs w:val="0"/>
                      <w:i w:val="0"/>
                      <w:iCs/>
                      <w:color w:val="000000" w:themeColor="text1"/>
                      <w:sz w:val="21"/>
                      <w:szCs w:val="21"/>
                      <w:lang w:eastAsia="zh-CN"/>
                      <w14:textFill>
                        <w14:solidFill>
                          <w14:schemeClr w14:val="tx1"/>
                        </w14:solidFill>
                      </w14:textFill>
                    </w:rPr>
                    <w:t>表</w:t>
                  </w:r>
                  <w:r>
                    <w:rPr>
                      <w:rFonts w:hint="eastAsia" w:ascii="Times New Roman" w:hAnsi="Times New Roman" w:cs="Times New Roman" w:eastAsiaTheme="minorEastAsia"/>
                      <w:b w:val="0"/>
                      <w:bCs w:val="0"/>
                      <w:i w:val="0"/>
                      <w:iCs/>
                      <w:color w:val="000000" w:themeColor="text1"/>
                      <w:sz w:val="21"/>
                      <w:szCs w:val="21"/>
                      <w:lang w:val="en-US" w:eastAsia="zh-CN"/>
                      <w14:textFill>
                        <w14:solidFill>
                          <w14:schemeClr w14:val="tx1"/>
                        </w14:solidFill>
                      </w14:textFill>
                    </w:rPr>
                    <w:t>1</w:t>
                  </w:r>
                </w:p>
              </w:tc>
              <w:tc>
                <w:tcPr>
                  <w:tcW w:w="1217" w:type="pct"/>
                  <w:vMerge w:val="restart"/>
                  <w:noWrap w:val="0"/>
                  <w:vAlign w:val="center"/>
                </w:tcPr>
                <w:p w14:paraId="5C58B2D1">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14:textFill>
                        <w14:solidFill>
                          <w14:schemeClr w14:val="tx1"/>
                        </w14:solidFill>
                      </w14:textFill>
                    </w:rPr>
                    <w:t>执行《锅炉大气污染物排放标准》（GB13271-2014）表2</w:t>
                  </w:r>
                  <w:r>
                    <w:rPr>
                      <w:rFonts w:hint="eastAsia" w:ascii="Times New Roman" w:hAnsi="Times New Roman" w:cs="Times New Roman" w:eastAsiaTheme="minorEastAsia"/>
                      <w:b w:val="0"/>
                      <w:bCs w:val="0"/>
                      <w:i w:val="0"/>
                      <w:iCs/>
                      <w:color w:val="000000" w:themeColor="text1"/>
                      <w:sz w:val="21"/>
                      <w:szCs w:val="21"/>
                      <w:lang w:eastAsia="zh-CN"/>
                      <w14:textFill>
                        <w14:solidFill>
                          <w14:schemeClr w14:val="tx1"/>
                        </w14:solidFill>
                      </w14:textFill>
                    </w:rPr>
                    <w:t>燃气</w:t>
                  </w:r>
                  <w:r>
                    <w:rPr>
                      <w:rFonts w:hint="default" w:ascii="Times New Roman" w:hAnsi="Times New Roman" w:cs="Times New Roman" w:eastAsiaTheme="minorEastAsia"/>
                      <w:b w:val="0"/>
                      <w:bCs w:val="0"/>
                      <w:i w:val="0"/>
                      <w:iCs/>
                      <w:color w:val="000000" w:themeColor="text1"/>
                      <w:sz w:val="21"/>
                      <w:szCs w:val="21"/>
                      <w14:textFill>
                        <w14:solidFill>
                          <w14:schemeClr w14:val="tx1"/>
                        </w14:solidFill>
                      </w14:textFill>
                    </w:rPr>
                    <w:t>锅炉大气污染物排放浓度限值</w:t>
                  </w:r>
                </w:p>
              </w:tc>
              <w:tc>
                <w:tcPr>
                  <w:tcW w:w="814" w:type="pct"/>
                  <w:noWrap w:val="0"/>
                  <w:vAlign w:val="center"/>
                </w:tcPr>
                <w:p w14:paraId="368354BE">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eastAsia" w:cs="Times New Roman" w:eastAsiaTheme="minorEastAsia"/>
                      <w:b w:val="0"/>
                      <w:bCs w:val="0"/>
                      <w:i w:val="0"/>
                      <w:iCs/>
                      <w:color w:val="000000" w:themeColor="text1"/>
                      <w:sz w:val="21"/>
                      <w:szCs w:val="21"/>
                      <w:vertAlign w:val="baseline"/>
                      <w:lang w:val="en-US" w:eastAsia="zh-CN"/>
                      <w14:textFill>
                        <w14:solidFill>
                          <w14:schemeClr w14:val="tx1"/>
                        </w14:solidFill>
                      </w14:textFill>
                    </w:rPr>
                    <w:t>2</w:t>
                  </w: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0mg/m</w:t>
                  </w:r>
                  <w:r>
                    <w:rPr>
                      <w:rFonts w:hint="default" w:ascii="Times New Roman" w:hAnsi="Times New Roman" w:cs="Times New Roman" w:eastAsiaTheme="minorEastAsia"/>
                      <w:b w:val="0"/>
                      <w:bCs w:val="0"/>
                      <w:i w:val="0"/>
                      <w:iCs/>
                      <w:color w:val="000000" w:themeColor="text1"/>
                      <w:sz w:val="21"/>
                      <w:szCs w:val="21"/>
                      <w:vertAlign w:val="superscript"/>
                      <w:lang w:val="en-US" w:eastAsia="zh-CN"/>
                      <w14:textFill>
                        <w14:solidFill>
                          <w14:schemeClr w14:val="tx1"/>
                        </w14:solidFill>
                      </w14:textFill>
                    </w:rPr>
                    <w:t>3</w:t>
                  </w:r>
                </w:p>
              </w:tc>
            </w:tr>
            <w:tr w14:paraId="4F2F4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6" w:type="pct"/>
                  <w:vMerge w:val="continue"/>
                  <w:noWrap w:val="0"/>
                  <w:vAlign w:val="center"/>
                </w:tcPr>
                <w:p w14:paraId="60018FF5">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522" w:type="pct"/>
                  <w:vMerge w:val="continue"/>
                  <w:noWrap w:val="0"/>
                  <w:vAlign w:val="center"/>
                </w:tcPr>
                <w:p w14:paraId="0C0ABDC9">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549" w:type="pct"/>
                  <w:noWrap w:val="0"/>
                  <w:vAlign w:val="center"/>
                </w:tcPr>
                <w:p w14:paraId="616C573B">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lang w:val="en-US" w:eastAsia="zh-CN"/>
                      <w14:textFill>
                        <w14:solidFill>
                          <w14:schemeClr w14:val="tx1"/>
                        </w14:solidFill>
                      </w14:textFill>
                    </w:rPr>
                    <w:t>二氧化硫</w:t>
                  </w:r>
                </w:p>
              </w:tc>
              <w:tc>
                <w:tcPr>
                  <w:tcW w:w="565" w:type="pct"/>
                  <w:vMerge w:val="continue"/>
                  <w:noWrap w:val="0"/>
                  <w:vAlign w:val="center"/>
                </w:tcPr>
                <w:p w14:paraId="12CCC6AD">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963" w:type="pct"/>
                  <w:vMerge w:val="continue"/>
                  <w:noWrap w:val="0"/>
                  <w:vAlign w:val="center"/>
                </w:tcPr>
                <w:p w14:paraId="6E2E2BD5">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1217" w:type="pct"/>
                  <w:vMerge w:val="continue"/>
                  <w:noWrap w:val="0"/>
                  <w:vAlign w:val="center"/>
                </w:tcPr>
                <w:p w14:paraId="512ADF23">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14:textFill>
                        <w14:solidFill>
                          <w14:schemeClr w14:val="tx1"/>
                        </w14:solidFill>
                      </w14:textFill>
                    </w:rPr>
                  </w:pPr>
                </w:p>
              </w:tc>
              <w:tc>
                <w:tcPr>
                  <w:tcW w:w="814" w:type="pct"/>
                  <w:noWrap w:val="0"/>
                  <w:vAlign w:val="center"/>
                </w:tcPr>
                <w:p w14:paraId="4A1739FB">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eastAsia" w:cs="Times New Roman" w:eastAsiaTheme="minorEastAsia"/>
                      <w:b w:val="0"/>
                      <w:bCs w:val="0"/>
                      <w:i w:val="0"/>
                      <w:iCs/>
                      <w:color w:val="000000" w:themeColor="text1"/>
                      <w:sz w:val="21"/>
                      <w:szCs w:val="21"/>
                      <w:vertAlign w:val="baseline"/>
                      <w:lang w:val="en-US" w:eastAsia="zh-CN"/>
                      <w14:textFill>
                        <w14:solidFill>
                          <w14:schemeClr w14:val="tx1"/>
                        </w14:solidFill>
                      </w14:textFill>
                    </w:rPr>
                    <w:t>5</w:t>
                  </w: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0mg/m</w:t>
                  </w:r>
                  <w:r>
                    <w:rPr>
                      <w:rFonts w:hint="default" w:ascii="Times New Roman" w:hAnsi="Times New Roman" w:cs="Times New Roman" w:eastAsiaTheme="minorEastAsia"/>
                      <w:b w:val="0"/>
                      <w:bCs w:val="0"/>
                      <w:i w:val="0"/>
                      <w:iCs/>
                      <w:color w:val="000000" w:themeColor="text1"/>
                      <w:sz w:val="21"/>
                      <w:szCs w:val="21"/>
                      <w:vertAlign w:val="superscript"/>
                      <w:lang w:val="en-US" w:eastAsia="zh-CN"/>
                      <w14:textFill>
                        <w14:solidFill>
                          <w14:schemeClr w14:val="tx1"/>
                        </w14:solidFill>
                      </w14:textFill>
                    </w:rPr>
                    <w:t>3</w:t>
                  </w:r>
                </w:p>
              </w:tc>
            </w:tr>
            <w:tr w14:paraId="4E495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6" w:type="pct"/>
                  <w:vMerge w:val="continue"/>
                  <w:noWrap w:val="0"/>
                  <w:vAlign w:val="center"/>
                </w:tcPr>
                <w:p w14:paraId="79F69E9C">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522" w:type="pct"/>
                  <w:vMerge w:val="continue"/>
                  <w:noWrap w:val="0"/>
                  <w:vAlign w:val="center"/>
                </w:tcPr>
                <w:p w14:paraId="086B5906">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549" w:type="pct"/>
                  <w:noWrap w:val="0"/>
                  <w:vAlign w:val="center"/>
                </w:tcPr>
                <w:p w14:paraId="12E5FE4A">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lang w:val="en-US" w:eastAsia="zh-CN"/>
                      <w14:textFill>
                        <w14:solidFill>
                          <w14:schemeClr w14:val="tx1"/>
                        </w14:solidFill>
                      </w14:textFill>
                    </w:rPr>
                    <w:t>氮氧化物</w:t>
                  </w:r>
                </w:p>
              </w:tc>
              <w:tc>
                <w:tcPr>
                  <w:tcW w:w="565" w:type="pct"/>
                  <w:vMerge w:val="continue"/>
                  <w:noWrap w:val="0"/>
                  <w:vAlign w:val="center"/>
                </w:tcPr>
                <w:p w14:paraId="16FBF231">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963" w:type="pct"/>
                  <w:vMerge w:val="continue"/>
                  <w:noWrap w:val="0"/>
                  <w:vAlign w:val="center"/>
                </w:tcPr>
                <w:p w14:paraId="3836D04D">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1217" w:type="pct"/>
                  <w:vMerge w:val="continue"/>
                  <w:noWrap w:val="0"/>
                  <w:vAlign w:val="center"/>
                </w:tcPr>
                <w:p w14:paraId="0FAF5C0C">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14:textFill>
                        <w14:solidFill>
                          <w14:schemeClr w14:val="tx1"/>
                        </w14:solidFill>
                      </w14:textFill>
                    </w:rPr>
                  </w:pPr>
                </w:p>
              </w:tc>
              <w:tc>
                <w:tcPr>
                  <w:tcW w:w="814" w:type="pct"/>
                  <w:noWrap w:val="0"/>
                  <w:vAlign w:val="center"/>
                </w:tcPr>
                <w:p w14:paraId="0C3BE1AA">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eastAsia" w:cs="Times New Roman" w:eastAsiaTheme="minorEastAsia"/>
                      <w:b w:val="0"/>
                      <w:bCs w:val="0"/>
                      <w:i w:val="0"/>
                      <w:iCs/>
                      <w:color w:val="000000" w:themeColor="text1"/>
                      <w:sz w:val="21"/>
                      <w:szCs w:val="21"/>
                      <w:vertAlign w:val="baseline"/>
                      <w:lang w:val="en-US" w:eastAsia="zh-CN"/>
                      <w14:textFill>
                        <w14:solidFill>
                          <w14:schemeClr w14:val="tx1"/>
                        </w14:solidFill>
                      </w14:textFill>
                    </w:rPr>
                    <w:t>2</w:t>
                  </w: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0</w:t>
                  </w:r>
                  <w:r>
                    <w:rPr>
                      <w:rFonts w:hint="eastAsia" w:cs="Times New Roman" w:eastAsiaTheme="minorEastAsia"/>
                      <w:b w:val="0"/>
                      <w:bCs w:val="0"/>
                      <w:i w:val="0"/>
                      <w:iCs/>
                      <w:color w:val="000000" w:themeColor="text1"/>
                      <w:sz w:val="21"/>
                      <w:szCs w:val="21"/>
                      <w:vertAlign w:val="baseline"/>
                      <w:lang w:val="en-US" w:eastAsia="zh-CN"/>
                      <w14:textFill>
                        <w14:solidFill>
                          <w14:schemeClr w14:val="tx1"/>
                        </w14:solidFill>
                      </w14:textFill>
                    </w:rPr>
                    <w:t>0</w:t>
                  </w: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mg/m</w:t>
                  </w:r>
                  <w:r>
                    <w:rPr>
                      <w:rFonts w:hint="default" w:ascii="Times New Roman" w:hAnsi="Times New Roman" w:cs="Times New Roman" w:eastAsiaTheme="minorEastAsia"/>
                      <w:b w:val="0"/>
                      <w:bCs w:val="0"/>
                      <w:i w:val="0"/>
                      <w:iCs/>
                      <w:color w:val="000000" w:themeColor="text1"/>
                      <w:sz w:val="21"/>
                      <w:szCs w:val="21"/>
                      <w:vertAlign w:val="superscript"/>
                      <w:lang w:val="en-US" w:eastAsia="zh-CN"/>
                      <w14:textFill>
                        <w14:solidFill>
                          <w14:schemeClr w14:val="tx1"/>
                        </w14:solidFill>
                      </w14:textFill>
                    </w:rPr>
                    <w:t>3</w:t>
                  </w:r>
                </w:p>
              </w:tc>
            </w:tr>
            <w:tr w14:paraId="7B01A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6" w:type="pct"/>
                  <w:vMerge w:val="continue"/>
                  <w:noWrap w:val="0"/>
                  <w:vAlign w:val="center"/>
                </w:tcPr>
                <w:p w14:paraId="401FBC81">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522" w:type="pct"/>
                  <w:vMerge w:val="continue"/>
                  <w:noWrap w:val="0"/>
                  <w:vAlign w:val="center"/>
                </w:tcPr>
                <w:p w14:paraId="5608ED7B">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549" w:type="pct"/>
                  <w:noWrap w:val="0"/>
                  <w:vAlign w:val="center"/>
                </w:tcPr>
                <w:p w14:paraId="278D398C">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lang w:val="en-US" w:eastAsia="zh-CN"/>
                      <w14:textFill>
                        <w14:solidFill>
                          <w14:schemeClr w14:val="tx1"/>
                        </w14:solidFill>
                      </w14:textFill>
                    </w:rPr>
                    <w:t>烟气黑度</w:t>
                  </w:r>
                </w:p>
              </w:tc>
              <w:tc>
                <w:tcPr>
                  <w:tcW w:w="565" w:type="pct"/>
                  <w:vMerge w:val="continue"/>
                  <w:noWrap w:val="0"/>
                  <w:vAlign w:val="center"/>
                </w:tcPr>
                <w:p w14:paraId="17EA71F4">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963" w:type="pct"/>
                  <w:vMerge w:val="continue"/>
                  <w:noWrap w:val="0"/>
                  <w:vAlign w:val="center"/>
                </w:tcPr>
                <w:p w14:paraId="323F6284">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1217" w:type="pct"/>
                  <w:vMerge w:val="continue"/>
                  <w:noWrap w:val="0"/>
                  <w:vAlign w:val="center"/>
                </w:tcPr>
                <w:p w14:paraId="48B69EC3">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14:textFill>
                        <w14:solidFill>
                          <w14:schemeClr w14:val="tx1"/>
                        </w14:solidFill>
                      </w14:textFill>
                    </w:rPr>
                  </w:pPr>
                </w:p>
              </w:tc>
              <w:tc>
                <w:tcPr>
                  <w:tcW w:w="814" w:type="pct"/>
                  <w:noWrap w:val="0"/>
                  <w:vAlign w:val="center"/>
                </w:tcPr>
                <w:p w14:paraId="19112F62">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≤1级</w:t>
                  </w:r>
                </w:p>
              </w:tc>
            </w:tr>
            <w:tr w14:paraId="5C25D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6" w:type="pct"/>
                  <w:vMerge w:val="continue"/>
                  <w:noWrap w:val="0"/>
                  <w:vAlign w:val="center"/>
                </w:tcPr>
                <w:p w14:paraId="6804996C">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522" w:type="pct"/>
                  <w:vMerge w:val="restart"/>
                  <w:noWrap w:val="0"/>
                  <w:vAlign w:val="center"/>
                </w:tcPr>
                <w:p w14:paraId="0C8EF055">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有机废气排口</w:t>
                  </w: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DA00</w:t>
                  </w:r>
                  <w:r>
                    <w:rPr>
                      <w:rFonts w:hint="eastAsia"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2</w:t>
                  </w: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（排气筒高度为15m）</w:t>
                  </w:r>
                </w:p>
              </w:tc>
              <w:tc>
                <w:tcPr>
                  <w:tcW w:w="549" w:type="pct"/>
                  <w:noWrap w:val="0"/>
                  <w:vAlign w:val="center"/>
                </w:tcPr>
                <w:p w14:paraId="4B13DFCB">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非甲烷总烃</w:t>
                  </w:r>
                </w:p>
              </w:tc>
              <w:tc>
                <w:tcPr>
                  <w:tcW w:w="565" w:type="pct"/>
                  <w:noWrap w:val="0"/>
                  <w:vAlign w:val="center"/>
                </w:tcPr>
                <w:p w14:paraId="2148E0DD">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1次/半年</w:t>
                  </w:r>
                </w:p>
              </w:tc>
              <w:tc>
                <w:tcPr>
                  <w:tcW w:w="963" w:type="pct"/>
                  <w:vMerge w:val="restart"/>
                  <w:noWrap w:val="0"/>
                  <w:vAlign w:val="center"/>
                </w:tcPr>
                <w:p w14:paraId="3B59C15B">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14:textFill>
                        <w14:solidFill>
                          <w14:schemeClr w14:val="tx1"/>
                        </w14:solidFill>
                      </w14:textFill>
                    </w:rPr>
                    <w:t>《排污单位自行监测技术指南</w:t>
                  </w:r>
                  <w:r>
                    <w:rPr>
                      <w:rFonts w:hint="eastAsia" w:ascii="Times New Roman" w:hAnsi="Times New Roman" w:cs="Times New Roman" w:eastAsiaTheme="minorEastAsia"/>
                      <w:b w:val="0"/>
                      <w:bCs w:val="0"/>
                      <w:i w:val="0"/>
                      <w:i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eastAsiaTheme="minorEastAsia"/>
                      <w:b w:val="0"/>
                      <w:bCs w:val="0"/>
                      <w:i w:val="0"/>
                      <w:iCs/>
                      <w:color w:val="000000" w:themeColor="text1"/>
                      <w:sz w:val="21"/>
                      <w:szCs w:val="21"/>
                      <w14:textFill>
                        <w14:solidFill>
                          <w14:schemeClr w14:val="tx1"/>
                        </w14:solidFill>
                      </w14:textFill>
                    </w:rPr>
                    <w:t>橡胶和塑料制品》（HJ1207—2021）中</w:t>
                  </w:r>
                  <w:r>
                    <w:rPr>
                      <w:rFonts w:hint="eastAsia" w:ascii="Times New Roman" w:hAnsi="Times New Roman" w:cs="Times New Roman" w:eastAsiaTheme="minorEastAsia"/>
                      <w:b w:val="0"/>
                      <w:bCs w:val="0"/>
                      <w:i w:val="0"/>
                      <w:iCs/>
                      <w:color w:val="000000" w:themeColor="text1"/>
                      <w:sz w:val="21"/>
                      <w:szCs w:val="21"/>
                      <w:lang w:val="en-US" w:eastAsia="zh-CN"/>
                      <w14:textFill>
                        <w14:solidFill>
                          <w14:schemeClr w14:val="tx1"/>
                        </w14:solidFill>
                      </w14:textFill>
                    </w:rPr>
                    <w:t>表4</w:t>
                  </w:r>
                </w:p>
              </w:tc>
              <w:tc>
                <w:tcPr>
                  <w:tcW w:w="1217" w:type="pct"/>
                  <w:vMerge w:val="restart"/>
                  <w:noWrap w:val="0"/>
                  <w:vAlign w:val="center"/>
                </w:tcPr>
                <w:p w14:paraId="7FC31789">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lang w:val="en-US" w:eastAsia="zh-CN"/>
                      <w14:textFill>
                        <w14:solidFill>
                          <w14:schemeClr w14:val="tx1"/>
                        </w14:solidFill>
                      </w14:textFill>
                    </w:rPr>
                    <w:t>执行《合成树脂工业污染物排放标准》（GB31572-2015</w:t>
                  </w:r>
                  <w:r>
                    <w:rPr>
                      <w:rFonts w:hint="eastAsia" w:ascii="Times New Roman" w:hAnsi="Times New Roman" w:cs="Times New Roman" w:eastAsiaTheme="minorEastAsia"/>
                      <w:b w:val="0"/>
                      <w:bCs w:val="0"/>
                      <w:i w:val="0"/>
                      <w:iCs/>
                      <w:color w:val="000000" w:themeColor="text1"/>
                      <w:sz w:val="21"/>
                      <w:szCs w:val="21"/>
                      <w:lang w:val="en-US" w:eastAsia="zh-CN"/>
                      <w14:textFill>
                        <w14:solidFill>
                          <w14:schemeClr w14:val="tx1"/>
                        </w14:solidFill>
                      </w14:textFill>
                    </w:rPr>
                    <w:t>及</w:t>
                  </w:r>
                  <w:r>
                    <w:rPr>
                      <w:rFonts w:hint="default" w:ascii="Times New Roman" w:hAnsi="Times New Roman" w:cs="Times New Roman" w:eastAsiaTheme="minorEastAsia"/>
                      <w:b w:val="0"/>
                      <w:bCs w:val="0"/>
                      <w:i w:val="0"/>
                      <w:iCs/>
                      <w:color w:val="000000" w:themeColor="text1"/>
                      <w:sz w:val="21"/>
                      <w:szCs w:val="21"/>
                      <w:lang w:val="en-US" w:eastAsia="zh-CN"/>
                      <w14:textFill>
                        <w14:solidFill>
                          <w14:schemeClr w14:val="tx1"/>
                        </w14:solidFill>
                      </w14:textFill>
                    </w:rPr>
                    <w:t>2024年修改单）表4标准</w:t>
                  </w:r>
                </w:p>
              </w:tc>
              <w:tc>
                <w:tcPr>
                  <w:tcW w:w="814" w:type="pct"/>
                  <w:noWrap w:val="0"/>
                  <w:vAlign w:val="center"/>
                </w:tcPr>
                <w:p w14:paraId="1F3A126F">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100mg/m</w:t>
                  </w:r>
                  <w:r>
                    <w:rPr>
                      <w:rFonts w:hint="default" w:ascii="Times New Roman" w:hAnsi="Times New Roman" w:cs="Times New Roman" w:eastAsiaTheme="minorEastAsia"/>
                      <w:b w:val="0"/>
                      <w:bCs w:val="0"/>
                      <w:i w:val="0"/>
                      <w:iCs/>
                      <w:color w:val="000000" w:themeColor="text1"/>
                      <w:sz w:val="21"/>
                      <w:szCs w:val="21"/>
                      <w:vertAlign w:val="superscript"/>
                      <w:lang w:val="en-US" w:eastAsia="zh-CN"/>
                      <w14:textFill>
                        <w14:solidFill>
                          <w14:schemeClr w14:val="tx1"/>
                        </w14:solidFill>
                      </w14:textFill>
                    </w:rPr>
                    <w:t>3</w:t>
                  </w:r>
                </w:p>
              </w:tc>
            </w:tr>
            <w:tr w14:paraId="6DD16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6" w:type="pct"/>
                  <w:vMerge w:val="continue"/>
                  <w:noWrap w:val="0"/>
                  <w:vAlign w:val="center"/>
                </w:tcPr>
                <w:p w14:paraId="2F5DE3D6">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522" w:type="pct"/>
                  <w:vMerge w:val="continue"/>
                  <w:noWrap w:val="0"/>
                  <w:vAlign w:val="center"/>
                </w:tcPr>
                <w:p w14:paraId="0A3674A6">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549" w:type="pct"/>
                  <w:noWrap w:val="0"/>
                  <w:vAlign w:val="center"/>
                </w:tcPr>
                <w:p w14:paraId="4BDDBCF3">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lang w:val="en-US" w:eastAsia="zh-CN"/>
                      <w14:textFill>
                        <w14:solidFill>
                          <w14:schemeClr w14:val="tx1"/>
                        </w14:solidFill>
                      </w14:textFill>
                    </w:rPr>
                    <w:t>甲苯</w:t>
                  </w:r>
                </w:p>
              </w:tc>
              <w:tc>
                <w:tcPr>
                  <w:tcW w:w="565" w:type="pct"/>
                  <w:vMerge w:val="restart"/>
                  <w:noWrap w:val="0"/>
                  <w:vAlign w:val="center"/>
                </w:tcPr>
                <w:p w14:paraId="49FD1FBA">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1次/年</w:t>
                  </w:r>
                </w:p>
              </w:tc>
              <w:tc>
                <w:tcPr>
                  <w:tcW w:w="963" w:type="pct"/>
                  <w:vMerge w:val="continue"/>
                  <w:noWrap w:val="0"/>
                  <w:vAlign w:val="center"/>
                </w:tcPr>
                <w:p w14:paraId="5EC74486">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1217" w:type="pct"/>
                  <w:vMerge w:val="continue"/>
                  <w:noWrap w:val="0"/>
                  <w:vAlign w:val="center"/>
                </w:tcPr>
                <w:p w14:paraId="46E80225">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14:textFill>
                        <w14:solidFill>
                          <w14:schemeClr w14:val="tx1"/>
                        </w14:solidFill>
                      </w14:textFill>
                    </w:rPr>
                  </w:pPr>
                </w:p>
              </w:tc>
              <w:tc>
                <w:tcPr>
                  <w:tcW w:w="814" w:type="pct"/>
                  <w:noWrap w:val="0"/>
                  <w:vAlign w:val="center"/>
                </w:tcPr>
                <w:p w14:paraId="4DD3136B">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15</w:t>
                  </w: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mg/m</w:t>
                  </w:r>
                  <w:r>
                    <w:rPr>
                      <w:rFonts w:hint="default" w:ascii="Times New Roman" w:hAnsi="Times New Roman" w:cs="Times New Roman" w:eastAsiaTheme="minorEastAsia"/>
                      <w:b w:val="0"/>
                      <w:bCs w:val="0"/>
                      <w:i w:val="0"/>
                      <w:iCs/>
                      <w:color w:val="000000" w:themeColor="text1"/>
                      <w:sz w:val="21"/>
                      <w:szCs w:val="21"/>
                      <w:vertAlign w:val="superscript"/>
                      <w:lang w:val="en-US" w:eastAsia="zh-CN"/>
                      <w14:textFill>
                        <w14:solidFill>
                          <w14:schemeClr w14:val="tx1"/>
                        </w14:solidFill>
                      </w14:textFill>
                    </w:rPr>
                    <w:t>3</w:t>
                  </w:r>
                </w:p>
              </w:tc>
            </w:tr>
            <w:tr w14:paraId="1E10A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6" w:type="pct"/>
                  <w:vMerge w:val="continue"/>
                  <w:noWrap w:val="0"/>
                  <w:vAlign w:val="center"/>
                </w:tcPr>
                <w:p w14:paraId="3352F2E7">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522" w:type="pct"/>
                  <w:vMerge w:val="continue"/>
                  <w:noWrap w:val="0"/>
                  <w:vAlign w:val="center"/>
                </w:tcPr>
                <w:p w14:paraId="04FCEE72">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549" w:type="pct"/>
                  <w:noWrap w:val="0"/>
                  <w:vAlign w:val="center"/>
                </w:tcPr>
                <w:p w14:paraId="0021227E">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lang w:val="en-US" w:eastAsia="zh-CN"/>
                      <w14:textFill>
                        <w14:solidFill>
                          <w14:schemeClr w14:val="tx1"/>
                        </w14:solidFill>
                      </w14:textFill>
                    </w:rPr>
                    <w:t>乙苯</w:t>
                  </w:r>
                </w:p>
              </w:tc>
              <w:tc>
                <w:tcPr>
                  <w:tcW w:w="565" w:type="pct"/>
                  <w:vMerge w:val="continue"/>
                  <w:noWrap w:val="0"/>
                  <w:vAlign w:val="center"/>
                </w:tcPr>
                <w:p w14:paraId="618BA259">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963" w:type="pct"/>
                  <w:vMerge w:val="continue"/>
                  <w:noWrap w:val="0"/>
                  <w:vAlign w:val="center"/>
                </w:tcPr>
                <w:p w14:paraId="418FEB35">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1217" w:type="pct"/>
                  <w:vMerge w:val="continue"/>
                  <w:noWrap w:val="0"/>
                  <w:vAlign w:val="center"/>
                </w:tcPr>
                <w:p w14:paraId="7F0EA135">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14:textFill>
                        <w14:solidFill>
                          <w14:schemeClr w14:val="tx1"/>
                        </w14:solidFill>
                      </w14:textFill>
                    </w:rPr>
                  </w:pPr>
                </w:p>
              </w:tc>
              <w:tc>
                <w:tcPr>
                  <w:tcW w:w="814" w:type="pct"/>
                  <w:noWrap w:val="0"/>
                  <w:vAlign w:val="center"/>
                </w:tcPr>
                <w:p w14:paraId="782ED292">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100</w:t>
                  </w: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mg/m</w:t>
                  </w:r>
                  <w:r>
                    <w:rPr>
                      <w:rFonts w:hint="default" w:ascii="Times New Roman" w:hAnsi="Times New Roman" w:cs="Times New Roman" w:eastAsiaTheme="minorEastAsia"/>
                      <w:b w:val="0"/>
                      <w:bCs w:val="0"/>
                      <w:i w:val="0"/>
                      <w:iCs/>
                      <w:color w:val="000000" w:themeColor="text1"/>
                      <w:sz w:val="21"/>
                      <w:szCs w:val="21"/>
                      <w:vertAlign w:val="superscript"/>
                      <w:lang w:val="en-US" w:eastAsia="zh-CN"/>
                      <w14:textFill>
                        <w14:solidFill>
                          <w14:schemeClr w14:val="tx1"/>
                        </w14:solidFill>
                      </w14:textFill>
                    </w:rPr>
                    <w:t>3</w:t>
                  </w:r>
                </w:p>
              </w:tc>
            </w:tr>
            <w:tr w14:paraId="4841B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6" w:type="pct"/>
                  <w:vMerge w:val="continue"/>
                  <w:noWrap w:val="0"/>
                  <w:vAlign w:val="center"/>
                </w:tcPr>
                <w:p w14:paraId="76A2D29C">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522" w:type="pct"/>
                  <w:vMerge w:val="continue"/>
                  <w:noWrap w:val="0"/>
                  <w:vAlign w:val="center"/>
                </w:tcPr>
                <w:p w14:paraId="3C3AAFBE">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549" w:type="pct"/>
                  <w:noWrap w:val="0"/>
                  <w:vAlign w:val="center"/>
                </w:tcPr>
                <w:p w14:paraId="53A3095C">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14:textFill>
                        <w14:solidFill>
                          <w14:schemeClr w14:val="tx1"/>
                        </w14:solidFill>
                      </w14:textFill>
                    </w:rPr>
                    <w:t>苯乙烯</w:t>
                  </w:r>
                </w:p>
              </w:tc>
              <w:tc>
                <w:tcPr>
                  <w:tcW w:w="565" w:type="pct"/>
                  <w:vMerge w:val="continue"/>
                  <w:noWrap w:val="0"/>
                  <w:vAlign w:val="center"/>
                </w:tcPr>
                <w:p w14:paraId="13DAE27B">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963" w:type="pct"/>
                  <w:vMerge w:val="continue"/>
                  <w:noWrap w:val="0"/>
                  <w:vAlign w:val="center"/>
                </w:tcPr>
                <w:p w14:paraId="6C2C2448">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1217" w:type="pct"/>
                  <w:vMerge w:val="continue"/>
                  <w:noWrap w:val="0"/>
                  <w:vAlign w:val="center"/>
                </w:tcPr>
                <w:p w14:paraId="29BC47C9">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14:textFill>
                        <w14:solidFill>
                          <w14:schemeClr w14:val="tx1"/>
                        </w14:solidFill>
                      </w14:textFill>
                    </w:rPr>
                  </w:pPr>
                </w:p>
              </w:tc>
              <w:tc>
                <w:tcPr>
                  <w:tcW w:w="814" w:type="pct"/>
                  <w:noWrap w:val="0"/>
                  <w:vAlign w:val="center"/>
                </w:tcPr>
                <w:p w14:paraId="21DB8E3A">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50</w:t>
                  </w: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mg/m</w:t>
                  </w:r>
                  <w:r>
                    <w:rPr>
                      <w:rFonts w:hint="default" w:ascii="Times New Roman" w:hAnsi="Times New Roman" w:cs="Times New Roman" w:eastAsiaTheme="minorEastAsia"/>
                      <w:b w:val="0"/>
                      <w:bCs w:val="0"/>
                      <w:i w:val="0"/>
                      <w:iCs/>
                      <w:color w:val="000000" w:themeColor="text1"/>
                      <w:sz w:val="21"/>
                      <w:szCs w:val="21"/>
                      <w:vertAlign w:val="superscript"/>
                      <w:lang w:val="en-US" w:eastAsia="zh-CN"/>
                      <w14:textFill>
                        <w14:solidFill>
                          <w14:schemeClr w14:val="tx1"/>
                        </w14:solidFill>
                      </w14:textFill>
                    </w:rPr>
                    <w:t>3</w:t>
                  </w:r>
                </w:p>
              </w:tc>
            </w:tr>
            <w:tr w14:paraId="4CA86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6" w:type="pct"/>
                  <w:vMerge w:val="continue"/>
                  <w:noWrap w:val="0"/>
                  <w:vAlign w:val="center"/>
                </w:tcPr>
                <w:p w14:paraId="1946ED77">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522" w:type="pct"/>
                  <w:vMerge w:val="continue"/>
                  <w:noWrap w:val="0"/>
                  <w:vAlign w:val="center"/>
                </w:tcPr>
                <w:p w14:paraId="72BB6746">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549" w:type="pct"/>
                  <w:noWrap w:val="0"/>
                  <w:vAlign w:val="center"/>
                </w:tcPr>
                <w:p w14:paraId="1A1DAF70">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lang w:val="en-US" w:eastAsia="zh-CN"/>
                      <w14:textFill>
                        <w14:solidFill>
                          <w14:schemeClr w14:val="tx1"/>
                        </w14:solidFill>
                      </w14:textFill>
                    </w:rPr>
                    <w:t>臭气浓度</w:t>
                  </w:r>
                </w:p>
              </w:tc>
              <w:tc>
                <w:tcPr>
                  <w:tcW w:w="565" w:type="pct"/>
                  <w:vMerge w:val="continue"/>
                  <w:noWrap w:val="0"/>
                  <w:vAlign w:val="center"/>
                </w:tcPr>
                <w:p w14:paraId="24540F5B">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963" w:type="pct"/>
                  <w:vMerge w:val="continue"/>
                  <w:noWrap w:val="0"/>
                  <w:vAlign w:val="center"/>
                </w:tcPr>
                <w:p w14:paraId="2832D4C4">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1217" w:type="pct"/>
                  <w:noWrap w:val="0"/>
                  <w:vAlign w:val="center"/>
                </w:tcPr>
                <w:p w14:paraId="389C872F">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14:textFill>
                        <w14:solidFill>
                          <w14:schemeClr w14:val="tx1"/>
                        </w14:solidFill>
                      </w14:textFill>
                    </w:rPr>
                    <w:t>执行</w:t>
                  </w:r>
                  <w:r>
                    <w:rPr>
                      <w:rFonts w:hint="default" w:ascii="Times New Roman" w:hAnsi="Times New Roman" w:cs="Times New Roman" w:eastAsiaTheme="minorEastAsia"/>
                      <w:b w:val="0"/>
                      <w:bCs w:val="0"/>
                      <w:i w:val="0"/>
                      <w:iCs/>
                      <w:color w:val="000000" w:themeColor="text1"/>
                      <w:sz w:val="21"/>
                      <w:szCs w:val="21"/>
                      <w:lang w:val="zh-CN"/>
                      <w14:textFill>
                        <w14:solidFill>
                          <w14:schemeClr w14:val="tx1"/>
                        </w14:solidFill>
                      </w14:textFill>
                    </w:rPr>
                    <w:t>《恶臭污染物排放标准》（GB14554-93）</w:t>
                  </w:r>
                  <w:r>
                    <w:rPr>
                      <w:rFonts w:hint="default" w:ascii="Times New Roman" w:hAnsi="Times New Roman" w:cs="Times New Roman" w:eastAsiaTheme="minorEastAsia"/>
                      <w:b w:val="0"/>
                      <w:bCs w:val="0"/>
                      <w:i w:val="0"/>
                      <w:iCs/>
                      <w:color w:val="000000" w:themeColor="text1"/>
                      <w:sz w:val="21"/>
                      <w:szCs w:val="21"/>
                      <w:lang w:val="en-US" w:eastAsia="zh-CN"/>
                      <w14:textFill>
                        <w14:solidFill>
                          <w14:schemeClr w14:val="tx1"/>
                        </w14:solidFill>
                      </w14:textFill>
                    </w:rPr>
                    <w:t>表2标准</w:t>
                  </w:r>
                </w:p>
              </w:tc>
              <w:tc>
                <w:tcPr>
                  <w:tcW w:w="814" w:type="pct"/>
                  <w:noWrap w:val="0"/>
                  <w:vAlign w:val="center"/>
                </w:tcPr>
                <w:p w14:paraId="2B41F259">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2000（无量纲）</w:t>
                  </w:r>
                </w:p>
              </w:tc>
            </w:tr>
            <w:tr w14:paraId="72B0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6" w:type="pct"/>
                  <w:vMerge w:val="continue"/>
                  <w:noWrap w:val="0"/>
                  <w:vAlign w:val="center"/>
                </w:tcPr>
                <w:p w14:paraId="118AA891">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522" w:type="pct"/>
                  <w:vMerge w:val="restart"/>
                  <w:noWrap w:val="0"/>
                  <w:vAlign w:val="center"/>
                </w:tcPr>
                <w:p w14:paraId="23CE1BC3">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厂界无组织排放</w:t>
                  </w:r>
                </w:p>
              </w:tc>
              <w:tc>
                <w:tcPr>
                  <w:tcW w:w="549" w:type="pct"/>
                  <w:noWrap w:val="0"/>
                  <w:vAlign w:val="center"/>
                </w:tcPr>
                <w:p w14:paraId="0A10C9B5">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颗粒物</w:t>
                  </w:r>
                </w:p>
              </w:tc>
              <w:tc>
                <w:tcPr>
                  <w:tcW w:w="565" w:type="pct"/>
                  <w:noWrap w:val="0"/>
                  <w:vAlign w:val="center"/>
                </w:tcPr>
                <w:p w14:paraId="2CDC72D5">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1次/季度</w:t>
                  </w:r>
                </w:p>
              </w:tc>
              <w:tc>
                <w:tcPr>
                  <w:tcW w:w="963" w:type="pct"/>
                  <w:noWrap w:val="0"/>
                  <w:vAlign w:val="center"/>
                </w:tcPr>
                <w:p w14:paraId="2E4BC3A0">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14:textFill>
                        <w14:solidFill>
                          <w14:schemeClr w14:val="tx1"/>
                        </w14:solidFill>
                      </w14:textFill>
                    </w:rPr>
                    <w:t>《排污单位自行监测技术指南 火力发电及锅炉》（HJ 820-2017）</w:t>
                  </w:r>
                  <w:r>
                    <w:rPr>
                      <w:rFonts w:hint="eastAsia" w:ascii="Times New Roman" w:hAnsi="Times New Roman" w:cs="Times New Roman" w:eastAsiaTheme="minorEastAsia"/>
                      <w:b w:val="0"/>
                      <w:bCs w:val="0"/>
                      <w:i w:val="0"/>
                      <w:iCs/>
                      <w:color w:val="000000" w:themeColor="text1"/>
                      <w:sz w:val="21"/>
                      <w:szCs w:val="21"/>
                      <w:lang w:eastAsia="zh-CN"/>
                      <w14:textFill>
                        <w14:solidFill>
                          <w14:schemeClr w14:val="tx1"/>
                        </w14:solidFill>
                      </w14:textFill>
                    </w:rPr>
                    <w:t>表</w:t>
                  </w:r>
                  <w:r>
                    <w:rPr>
                      <w:rFonts w:hint="eastAsia" w:ascii="Times New Roman" w:hAnsi="Times New Roman" w:cs="Times New Roman" w:eastAsiaTheme="minorEastAsia"/>
                      <w:b w:val="0"/>
                      <w:bCs w:val="0"/>
                      <w:i w:val="0"/>
                      <w:iCs/>
                      <w:color w:val="000000" w:themeColor="text1"/>
                      <w:sz w:val="21"/>
                      <w:szCs w:val="21"/>
                      <w:lang w:val="en-US" w:eastAsia="zh-CN"/>
                      <w14:textFill>
                        <w14:solidFill>
                          <w14:schemeClr w14:val="tx1"/>
                        </w14:solidFill>
                      </w14:textFill>
                    </w:rPr>
                    <w:t>2</w:t>
                  </w:r>
                </w:p>
              </w:tc>
              <w:tc>
                <w:tcPr>
                  <w:tcW w:w="1217" w:type="pct"/>
                  <w:vMerge w:val="restart"/>
                  <w:noWrap w:val="0"/>
                  <w:vAlign w:val="center"/>
                </w:tcPr>
                <w:p w14:paraId="62A1DE4C">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执行《合成树脂工业污染物排放标准》（GB31572-2015</w:t>
                  </w:r>
                  <w:r>
                    <w:rPr>
                      <w:rFonts w:hint="eastAsia"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及</w:t>
                  </w: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2024年修改单）表9标准</w:t>
                  </w:r>
                </w:p>
              </w:tc>
              <w:tc>
                <w:tcPr>
                  <w:tcW w:w="814" w:type="pct"/>
                  <w:noWrap w:val="0"/>
                  <w:vAlign w:val="center"/>
                </w:tcPr>
                <w:p w14:paraId="2EB0F4E2">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1</w:t>
                  </w: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mg/m</w:t>
                  </w:r>
                  <w:r>
                    <w:rPr>
                      <w:rFonts w:hint="default" w:ascii="Times New Roman" w:hAnsi="Times New Roman" w:cs="Times New Roman" w:eastAsiaTheme="minorEastAsia"/>
                      <w:b w:val="0"/>
                      <w:bCs w:val="0"/>
                      <w:i w:val="0"/>
                      <w:iCs/>
                      <w:color w:val="000000" w:themeColor="text1"/>
                      <w:sz w:val="21"/>
                      <w:szCs w:val="21"/>
                      <w:vertAlign w:val="superscript"/>
                      <w:lang w:val="en-US" w:eastAsia="zh-CN"/>
                      <w14:textFill>
                        <w14:solidFill>
                          <w14:schemeClr w14:val="tx1"/>
                        </w14:solidFill>
                      </w14:textFill>
                    </w:rPr>
                    <w:t>3</w:t>
                  </w:r>
                </w:p>
              </w:tc>
            </w:tr>
            <w:tr w14:paraId="2565E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6" w:type="pct"/>
                  <w:vMerge w:val="continue"/>
                  <w:noWrap w:val="0"/>
                  <w:vAlign w:val="center"/>
                </w:tcPr>
                <w:p w14:paraId="249A8B46">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522" w:type="pct"/>
                  <w:vMerge w:val="continue"/>
                  <w:noWrap w:val="0"/>
                  <w:vAlign w:val="center"/>
                </w:tcPr>
                <w:p w14:paraId="3B7C4FA3">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549" w:type="pct"/>
                  <w:noWrap w:val="0"/>
                  <w:vAlign w:val="center"/>
                </w:tcPr>
                <w:p w14:paraId="1F007E87">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甲苯</w:t>
                  </w:r>
                </w:p>
              </w:tc>
              <w:tc>
                <w:tcPr>
                  <w:tcW w:w="565" w:type="pct"/>
                  <w:vMerge w:val="restart"/>
                  <w:noWrap w:val="0"/>
                  <w:vAlign w:val="center"/>
                </w:tcPr>
                <w:p w14:paraId="0ABB4679">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1次/年</w:t>
                  </w:r>
                </w:p>
              </w:tc>
              <w:tc>
                <w:tcPr>
                  <w:tcW w:w="963" w:type="pct"/>
                  <w:vMerge w:val="restart"/>
                  <w:noWrap w:val="0"/>
                  <w:vAlign w:val="center"/>
                </w:tcPr>
                <w:p w14:paraId="5125B3F7">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14:textFill>
                        <w14:solidFill>
                          <w14:schemeClr w14:val="tx1"/>
                        </w14:solidFill>
                      </w14:textFill>
                    </w:rPr>
                    <w:t>《排污单位自行监测技术指南</w:t>
                  </w:r>
                  <w:r>
                    <w:rPr>
                      <w:rFonts w:hint="eastAsia" w:ascii="Times New Roman" w:hAnsi="Times New Roman" w:cs="Times New Roman" w:eastAsiaTheme="minorEastAsia"/>
                      <w:b w:val="0"/>
                      <w:bCs w:val="0"/>
                      <w:i w:val="0"/>
                      <w:i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eastAsiaTheme="minorEastAsia"/>
                      <w:b w:val="0"/>
                      <w:bCs w:val="0"/>
                      <w:i w:val="0"/>
                      <w:iCs/>
                      <w:color w:val="000000" w:themeColor="text1"/>
                      <w:sz w:val="21"/>
                      <w:szCs w:val="21"/>
                      <w14:textFill>
                        <w14:solidFill>
                          <w14:schemeClr w14:val="tx1"/>
                        </w14:solidFill>
                      </w14:textFill>
                    </w:rPr>
                    <w:t>橡胶和塑料制品》（HJ1207—2021）中</w:t>
                  </w:r>
                  <w:r>
                    <w:rPr>
                      <w:rFonts w:hint="eastAsia" w:ascii="Times New Roman" w:hAnsi="Times New Roman" w:cs="Times New Roman" w:eastAsiaTheme="minorEastAsia"/>
                      <w:b w:val="0"/>
                      <w:bCs w:val="0"/>
                      <w:i w:val="0"/>
                      <w:iCs/>
                      <w:color w:val="000000" w:themeColor="text1"/>
                      <w:sz w:val="21"/>
                      <w:szCs w:val="21"/>
                      <w:lang w:val="en-US" w:eastAsia="zh-CN"/>
                      <w14:textFill>
                        <w14:solidFill>
                          <w14:schemeClr w14:val="tx1"/>
                        </w14:solidFill>
                      </w14:textFill>
                    </w:rPr>
                    <w:t>表6</w:t>
                  </w:r>
                </w:p>
              </w:tc>
              <w:tc>
                <w:tcPr>
                  <w:tcW w:w="1217" w:type="pct"/>
                  <w:vMerge w:val="continue"/>
                  <w:noWrap w:val="0"/>
                  <w:vAlign w:val="center"/>
                </w:tcPr>
                <w:p w14:paraId="74A46BAC">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814" w:type="pct"/>
                  <w:noWrap w:val="0"/>
                  <w:vAlign w:val="center"/>
                </w:tcPr>
                <w:p w14:paraId="430297FC">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0.8</w:t>
                  </w: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mg/m</w:t>
                  </w:r>
                  <w:r>
                    <w:rPr>
                      <w:rFonts w:hint="default" w:ascii="Times New Roman" w:hAnsi="Times New Roman" w:cs="Times New Roman" w:eastAsiaTheme="minorEastAsia"/>
                      <w:b w:val="0"/>
                      <w:bCs w:val="0"/>
                      <w:i w:val="0"/>
                      <w:iCs/>
                      <w:color w:val="000000" w:themeColor="text1"/>
                      <w:sz w:val="21"/>
                      <w:szCs w:val="21"/>
                      <w:vertAlign w:val="superscript"/>
                      <w:lang w:val="en-US" w:eastAsia="zh-CN"/>
                      <w14:textFill>
                        <w14:solidFill>
                          <w14:schemeClr w14:val="tx1"/>
                        </w14:solidFill>
                      </w14:textFill>
                    </w:rPr>
                    <w:t>3</w:t>
                  </w:r>
                </w:p>
              </w:tc>
            </w:tr>
            <w:tr w14:paraId="72C26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6" w:type="pct"/>
                  <w:vMerge w:val="continue"/>
                  <w:noWrap w:val="0"/>
                  <w:vAlign w:val="center"/>
                </w:tcPr>
                <w:p w14:paraId="76622EF0">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522" w:type="pct"/>
                  <w:vMerge w:val="continue"/>
                  <w:noWrap w:val="0"/>
                  <w:vAlign w:val="center"/>
                </w:tcPr>
                <w:p w14:paraId="33989261">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549" w:type="pct"/>
                  <w:noWrap w:val="0"/>
                  <w:vAlign w:val="center"/>
                </w:tcPr>
                <w:p w14:paraId="369FEB0E">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非甲烷总烃</w:t>
                  </w:r>
                </w:p>
              </w:tc>
              <w:tc>
                <w:tcPr>
                  <w:tcW w:w="565" w:type="pct"/>
                  <w:vMerge w:val="continue"/>
                  <w:noWrap w:val="0"/>
                  <w:vAlign w:val="center"/>
                </w:tcPr>
                <w:p w14:paraId="3C643257">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963" w:type="pct"/>
                  <w:vMerge w:val="continue"/>
                  <w:noWrap w:val="0"/>
                  <w:vAlign w:val="center"/>
                </w:tcPr>
                <w:p w14:paraId="3BBFA5FC">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1217" w:type="pct"/>
                  <w:vMerge w:val="continue"/>
                  <w:noWrap w:val="0"/>
                  <w:vAlign w:val="center"/>
                </w:tcPr>
                <w:p w14:paraId="0ABE3C56">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814" w:type="pct"/>
                  <w:noWrap w:val="0"/>
                  <w:vAlign w:val="center"/>
                </w:tcPr>
                <w:p w14:paraId="3162C6CD">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4mg/m</w:t>
                  </w:r>
                  <w:r>
                    <w:rPr>
                      <w:rFonts w:hint="default" w:ascii="Times New Roman" w:hAnsi="Times New Roman" w:cs="Times New Roman" w:eastAsiaTheme="minorEastAsia"/>
                      <w:b w:val="0"/>
                      <w:bCs w:val="0"/>
                      <w:i w:val="0"/>
                      <w:iCs/>
                      <w:color w:val="000000" w:themeColor="text1"/>
                      <w:sz w:val="21"/>
                      <w:szCs w:val="21"/>
                      <w:vertAlign w:val="superscript"/>
                      <w:lang w:val="en-US" w:eastAsia="zh-CN"/>
                      <w14:textFill>
                        <w14:solidFill>
                          <w14:schemeClr w14:val="tx1"/>
                        </w14:solidFill>
                      </w14:textFill>
                    </w:rPr>
                    <w:t>3</w:t>
                  </w:r>
                </w:p>
              </w:tc>
            </w:tr>
            <w:tr w14:paraId="754D2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6" w:type="pct"/>
                  <w:vMerge w:val="continue"/>
                  <w:noWrap w:val="0"/>
                  <w:vAlign w:val="center"/>
                </w:tcPr>
                <w:p w14:paraId="42789186">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522" w:type="pct"/>
                  <w:vMerge w:val="continue"/>
                  <w:noWrap w:val="0"/>
                  <w:vAlign w:val="center"/>
                </w:tcPr>
                <w:p w14:paraId="279BAEAE">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549" w:type="pct"/>
                  <w:noWrap w:val="0"/>
                  <w:vAlign w:val="center"/>
                </w:tcPr>
                <w:p w14:paraId="129E6205">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臭气浓度</w:t>
                  </w:r>
                </w:p>
              </w:tc>
              <w:tc>
                <w:tcPr>
                  <w:tcW w:w="565" w:type="pct"/>
                  <w:vMerge w:val="continue"/>
                  <w:noWrap w:val="0"/>
                  <w:vAlign w:val="center"/>
                </w:tcPr>
                <w:p w14:paraId="5D8DC478">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963" w:type="pct"/>
                  <w:vMerge w:val="continue"/>
                  <w:noWrap w:val="0"/>
                  <w:vAlign w:val="center"/>
                </w:tcPr>
                <w:p w14:paraId="161BB956">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1217" w:type="pct"/>
                  <w:vMerge w:val="restart"/>
                  <w:noWrap w:val="0"/>
                  <w:vAlign w:val="center"/>
                </w:tcPr>
                <w:p w14:paraId="0D130ED7">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14:textFill>
                        <w14:solidFill>
                          <w14:schemeClr w14:val="tx1"/>
                        </w14:solidFill>
                      </w14:textFill>
                    </w:rPr>
                    <w:t>执行《恶臭污染物排放标准》（GB14554-93）表1中二级标准限值</w:t>
                  </w:r>
                </w:p>
              </w:tc>
              <w:tc>
                <w:tcPr>
                  <w:tcW w:w="814" w:type="pct"/>
                  <w:noWrap w:val="0"/>
                  <w:vAlign w:val="center"/>
                </w:tcPr>
                <w:p w14:paraId="2A118F6F">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20mg/m</w:t>
                  </w:r>
                  <w:r>
                    <w:rPr>
                      <w:rFonts w:hint="default" w:ascii="Times New Roman" w:hAnsi="Times New Roman" w:cs="Times New Roman" w:eastAsiaTheme="minorEastAsia"/>
                      <w:b w:val="0"/>
                      <w:bCs w:val="0"/>
                      <w:i w:val="0"/>
                      <w:iCs/>
                      <w:color w:val="000000" w:themeColor="text1"/>
                      <w:sz w:val="21"/>
                      <w:szCs w:val="21"/>
                      <w:vertAlign w:val="superscript"/>
                      <w:lang w:val="en-US" w:eastAsia="zh-CN"/>
                      <w14:textFill>
                        <w14:solidFill>
                          <w14:schemeClr w14:val="tx1"/>
                        </w14:solidFill>
                      </w14:textFill>
                    </w:rPr>
                    <w:t>3</w:t>
                  </w:r>
                </w:p>
              </w:tc>
            </w:tr>
            <w:tr w14:paraId="71BE3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6" w:type="pct"/>
                  <w:vMerge w:val="continue"/>
                  <w:noWrap w:val="0"/>
                  <w:vAlign w:val="center"/>
                </w:tcPr>
                <w:p w14:paraId="1AFDC4F6">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522" w:type="pct"/>
                  <w:vMerge w:val="continue"/>
                  <w:noWrap w:val="0"/>
                  <w:vAlign w:val="center"/>
                </w:tcPr>
                <w:p w14:paraId="37881A0E">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549" w:type="pct"/>
                  <w:noWrap w:val="0"/>
                  <w:vAlign w:val="center"/>
                </w:tcPr>
                <w:p w14:paraId="1D687DF3">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苯乙烯</w:t>
                  </w:r>
                </w:p>
              </w:tc>
              <w:tc>
                <w:tcPr>
                  <w:tcW w:w="565" w:type="pct"/>
                  <w:vMerge w:val="continue"/>
                  <w:noWrap w:val="0"/>
                  <w:vAlign w:val="center"/>
                </w:tcPr>
                <w:p w14:paraId="5BD565AE">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963" w:type="pct"/>
                  <w:vMerge w:val="continue"/>
                  <w:noWrap w:val="0"/>
                  <w:vAlign w:val="center"/>
                </w:tcPr>
                <w:p w14:paraId="06B7E522">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1217" w:type="pct"/>
                  <w:vMerge w:val="continue"/>
                  <w:noWrap w:val="0"/>
                  <w:vAlign w:val="center"/>
                </w:tcPr>
                <w:p w14:paraId="7D8A84AD">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814" w:type="pct"/>
                  <w:noWrap w:val="0"/>
                  <w:vAlign w:val="center"/>
                </w:tcPr>
                <w:p w14:paraId="69412BDD">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5mg/m</w:t>
                  </w:r>
                  <w:r>
                    <w:rPr>
                      <w:rFonts w:hint="default" w:ascii="Times New Roman" w:hAnsi="Times New Roman" w:cs="Times New Roman" w:eastAsiaTheme="minorEastAsia"/>
                      <w:b w:val="0"/>
                      <w:bCs w:val="0"/>
                      <w:i w:val="0"/>
                      <w:iCs/>
                      <w:color w:val="000000" w:themeColor="text1"/>
                      <w:sz w:val="21"/>
                      <w:szCs w:val="21"/>
                      <w:vertAlign w:val="superscript"/>
                      <w:lang w:val="en-US" w:eastAsia="zh-CN"/>
                      <w14:textFill>
                        <w14:solidFill>
                          <w14:schemeClr w14:val="tx1"/>
                        </w14:solidFill>
                      </w14:textFill>
                    </w:rPr>
                    <w:t>3</w:t>
                  </w:r>
                </w:p>
              </w:tc>
            </w:tr>
            <w:tr w14:paraId="48344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6" w:type="pct"/>
                  <w:vMerge w:val="continue"/>
                  <w:noWrap w:val="0"/>
                  <w:vAlign w:val="center"/>
                </w:tcPr>
                <w:p w14:paraId="4CB54951">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522" w:type="pct"/>
                  <w:vMerge w:val="restart"/>
                  <w:noWrap w:val="0"/>
                  <w:vAlign w:val="center"/>
                </w:tcPr>
                <w:p w14:paraId="3C1242FD">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厂区无组织排放</w:t>
                  </w:r>
                </w:p>
              </w:tc>
              <w:tc>
                <w:tcPr>
                  <w:tcW w:w="549" w:type="pct"/>
                  <w:vMerge w:val="restart"/>
                  <w:noWrap w:val="0"/>
                  <w:vAlign w:val="center"/>
                </w:tcPr>
                <w:p w14:paraId="63B54D61">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非甲烷总烃</w:t>
                  </w:r>
                </w:p>
              </w:tc>
              <w:tc>
                <w:tcPr>
                  <w:tcW w:w="565" w:type="pct"/>
                  <w:vMerge w:val="restart"/>
                  <w:noWrap w:val="0"/>
                  <w:vAlign w:val="center"/>
                </w:tcPr>
                <w:p w14:paraId="3A13378A">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1次/年</w:t>
                  </w:r>
                </w:p>
              </w:tc>
              <w:tc>
                <w:tcPr>
                  <w:tcW w:w="963" w:type="pct"/>
                  <w:vMerge w:val="restart"/>
                  <w:noWrap w:val="0"/>
                  <w:vAlign w:val="center"/>
                </w:tcPr>
                <w:p w14:paraId="56DC3E22">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14:textFill>
                        <w14:solidFill>
                          <w14:schemeClr w14:val="tx1"/>
                        </w14:solidFill>
                      </w14:textFill>
                    </w:rPr>
                    <w:t>《挥发性有机物无组织排放控制标准》</w:t>
                  </w:r>
                  <w:r>
                    <w:rPr>
                      <w:rFonts w:hint="default" w:ascii="Times New Roman" w:hAnsi="Times New Roman" w:cs="Times New Roman" w:eastAsiaTheme="minorEastAsia"/>
                      <w:b w:val="0"/>
                      <w:bCs w:val="0"/>
                      <w:i w:val="0"/>
                      <w:iCs/>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b w:val="0"/>
                      <w:bCs w:val="0"/>
                      <w:i w:val="0"/>
                      <w:iCs/>
                      <w:color w:val="000000" w:themeColor="text1"/>
                      <w:sz w:val="21"/>
                      <w:szCs w:val="21"/>
                      <w14:textFill>
                        <w14:solidFill>
                          <w14:schemeClr w14:val="tx1"/>
                        </w14:solidFill>
                      </w14:textFill>
                    </w:rPr>
                    <w:t>GB37822-2019</w:t>
                  </w:r>
                  <w:r>
                    <w:rPr>
                      <w:rFonts w:hint="default" w:ascii="Times New Roman" w:hAnsi="Times New Roman" w:cs="Times New Roman" w:eastAsiaTheme="minorEastAsia"/>
                      <w:b w:val="0"/>
                      <w:bCs w:val="0"/>
                      <w:i w:val="0"/>
                      <w:iCs/>
                      <w:color w:val="000000" w:themeColor="text1"/>
                      <w:sz w:val="21"/>
                      <w:szCs w:val="21"/>
                      <w:lang w:eastAsia="zh-CN"/>
                      <w14:textFill>
                        <w14:solidFill>
                          <w14:schemeClr w14:val="tx1"/>
                        </w14:solidFill>
                      </w14:textFill>
                    </w:rPr>
                    <w:t>）</w:t>
                  </w:r>
                </w:p>
              </w:tc>
              <w:tc>
                <w:tcPr>
                  <w:tcW w:w="1217" w:type="pct"/>
                  <w:vMerge w:val="restart"/>
                  <w:noWrap w:val="0"/>
                  <w:vAlign w:val="center"/>
                </w:tcPr>
                <w:p w14:paraId="1AB83CF6">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lang w:val="en-US" w:eastAsia="zh-CN"/>
                      <w14:textFill>
                        <w14:solidFill>
                          <w14:schemeClr w14:val="tx1"/>
                        </w14:solidFill>
                      </w14:textFill>
                    </w:rPr>
                    <w:t>执行</w:t>
                  </w:r>
                  <w:r>
                    <w:rPr>
                      <w:rFonts w:hint="default" w:ascii="Times New Roman" w:hAnsi="Times New Roman" w:cs="Times New Roman" w:eastAsiaTheme="minorEastAsia"/>
                      <w:b w:val="0"/>
                      <w:bCs w:val="0"/>
                      <w:i w:val="0"/>
                      <w:iCs/>
                      <w:color w:val="000000" w:themeColor="text1"/>
                      <w:sz w:val="21"/>
                      <w:szCs w:val="21"/>
                      <w14:textFill>
                        <w14:solidFill>
                          <w14:schemeClr w14:val="tx1"/>
                        </w14:solidFill>
                      </w14:textFill>
                    </w:rPr>
                    <w:t>《挥发性有机物无组织排放控制标准》</w:t>
                  </w:r>
                  <w:r>
                    <w:rPr>
                      <w:rFonts w:hint="default" w:ascii="Times New Roman" w:hAnsi="Times New Roman" w:cs="Times New Roman" w:eastAsiaTheme="minorEastAsia"/>
                      <w:b w:val="0"/>
                      <w:bCs w:val="0"/>
                      <w:i w:val="0"/>
                      <w:iCs/>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b w:val="0"/>
                      <w:bCs w:val="0"/>
                      <w:i w:val="0"/>
                      <w:iCs/>
                      <w:color w:val="000000" w:themeColor="text1"/>
                      <w:sz w:val="21"/>
                      <w:szCs w:val="21"/>
                      <w14:textFill>
                        <w14:solidFill>
                          <w14:schemeClr w14:val="tx1"/>
                        </w14:solidFill>
                      </w14:textFill>
                    </w:rPr>
                    <w:t>GB37822-2019</w:t>
                  </w:r>
                  <w:r>
                    <w:rPr>
                      <w:rFonts w:hint="default" w:ascii="Times New Roman" w:hAnsi="Times New Roman" w:cs="Times New Roman" w:eastAsiaTheme="minorEastAsia"/>
                      <w:b w:val="0"/>
                      <w:bCs w:val="0"/>
                      <w:i w:val="0"/>
                      <w:iCs/>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排放标准</w:t>
                  </w:r>
                </w:p>
              </w:tc>
              <w:tc>
                <w:tcPr>
                  <w:tcW w:w="814" w:type="pct"/>
                  <w:noWrap w:val="0"/>
                  <w:vAlign w:val="center"/>
                </w:tcPr>
                <w:p w14:paraId="27B21DFD">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14:textFill>
                        <w14:solidFill>
                          <w14:schemeClr w14:val="tx1"/>
                        </w14:solidFill>
                      </w14:textFill>
                    </w:rPr>
                    <w:t>监控点外1h平均浓度10</w:t>
                  </w: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mg/m</w:t>
                  </w:r>
                  <w:r>
                    <w:rPr>
                      <w:rFonts w:hint="default" w:ascii="Times New Roman" w:hAnsi="Times New Roman" w:cs="Times New Roman" w:eastAsiaTheme="minorEastAsia"/>
                      <w:b w:val="0"/>
                      <w:bCs w:val="0"/>
                      <w:i w:val="0"/>
                      <w:iCs/>
                      <w:color w:val="000000" w:themeColor="text1"/>
                      <w:sz w:val="21"/>
                      <w:szCs w:val="21"/>
                      <w:vertAlign w:val="superscript"/>
                      <w:lang w:val="en-US" w:eastAsia="zh-CN"/>
                      <w14:textFill>
                        <w14:solidFill>
                          <w14:schemeClr w14:val="tx1"/>
                        </w14:solidFill>
                      </w14:textFill>
                    </w:rPr>
                    <w:t>3</w:t>
                  </w:r>
                </w:p>
              </w:tc>
            </w:tr>
            <w:tr w14:paraId="59D2A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6" w:type="pct"/>
                  <w:vMerge w:val="continue"/>
                  <w:noWrap w:val="0"/>
                  <w:vAlign w:val="center"/>
                </w:tcPr>
                <w:p w14:paraId="57B38F9B">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522" w:type="pct"/>
                  <w:vMerge w:val="continue"/>
                  <w:noWrap w:val="0"/>
                  <w:vAlign w:val="center"/>
                </w:tcPr>
                <w:p w14:paraId="10D94A37">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549" w:type="pct"/>
                  <w:vMerge w:val="continue"/>
                  <w:noWrap w:val="0"/>
                  <w:vAlign w:val="center"/>
                </w:tcPr>
                <w:p w14:paraId="5F607F36">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565" w:type="pct"/>
                  <w:vMerge w:val="continue"/>
                  <w:noWrap w:val="0"/>
                  <w:vAlign w:val="center"/>
                </w:tcPr>
                <w:p w14:paraId="04F1BABA">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963" w:type="pct"/>
                  <w:vMerge w:val="continue"/>
                  <w:noWrap w:val="0"/>
                  <w:vAlign w:val="center"/>
                </w:tcPr>
                <w:p w14:paraId="6558D9FC">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1217" w:type="pct"/>
                  <w:vMerge w:val="continue"/>
                  <w:noWrap w:val="0"/>
                  <w:vAlign w:val="center"/>
                </w:tcPr>
                <w:p w14:paraId="0E6F18B9">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p>
              </w:tc>
              <w:tc>
                <w:tcPr>
                  <w:tcW w:w="814" w:type="pct"/>
                  <w:noWrap w:val="0"/>
                  <w:vAlign w:val="center"/>
                </w:tcPr>
                <w:p w14:paraId="59B4B641">
                  <w:pPr>
                    <w:pStyle w:val="31"/>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color w:val="000000" w:themeColor="text1"/>
                      <w:sz w:val="21"/>
                      <w:szCs w:val="21"/>
                      <w14:textFill>
                        <w14:solidFill>
                          <w14:schemeClr w14:val="tx1"/>
                        </w14:solidFill>
                      </w14:textFill>
                    </w:rPr>
                    <w:t>监控点处任意一次浓度值</w:t>
                  </w:r>
                  <w:r>
                    <w:rPr>
                      <w:rFonts w:hint="default" w:ascii="Times New Roman" w:hAnsi="Times New Roman" w:cs="Times New Roman" w:eastAsiaTheme="minorEastAsia"/>
                      <w:b w:val="0"/>
                      <w:bCs w:val="0"/>
                      <w:i w:val="0"/>
                      <w:iCs/>
                      <w:color w:val="000000" w:themeColor="text1"/>
                      <w:sz w:val="21"/>
                      <w:szCs w:val="21"/>
                      <w:lang w:val="en-US" w:eastAsia="zh-CN"/>
                      <w14:textFill>
                        <w14:solidFill>
                          <w14:schemeClr w14:val="tx1"/>
                        </w14:solidFill>
                      </w14:textFill>
                    </w:rPr>
                    <w:t>30</w:t>
                  </w:r>
                  <w:r>
                    <w:rPr>
                      <w:rFonts w:hint="default" w:ascii="Times New Roman" w:hAnsi="Times New Roman" w:cs="Times New Roman" w:eastAsiaTheme="minorEastAsia"/>
                      <w:b w:val="0"/>
                      <w:bCs w:val="0"/>
                      <w:i w:val="0"/>
                      <w:iCs/>
                      <w:color w:val="000000" w:themeColor="text1"/>
                      <w:sz w:val="21"/>
                      <w:szCs w:val="21"/>
                      <w:vertAlign w:val="baseline"/>
                      <w:lang w:val="en-US" w:eastAsia="zh-CN"/>
                      <w14:textFill>
                        <w14:solidFill>
                          <w14:schemeClr w14:val="tx1"/>
                        </w14:solidFill>
                      </w14:textFill>
                    </w:rPr>
                    <w:t>mg/m</w:t>
                  </w:r>
                  <w:r>
                    <w:rPr>
                      <w:rFonts w:hint="default" w:ascii="Times New Roman" w:hAnsi="Times New Roman" w:cs="Times New Roman" w:eastAsiaTheme="minorEastAsia"/>
                      <w:b w:val="0"/>
                      <w:bCs w:val="0"/>
                      <w:i w:val="0"/>
                      <w:iCs/>
                      <w:color w:val="000000" w:themeColor="text1"/>
                      <w:sz w:val="21"/>
                      <w:szCs w:val="21"/>
                      <w:vertAlign w:val="superscript"/>
                      <w:lang w:val="en-US" w:eastAsia="zh-CN"/>
                      <w14:textFill>
                        <w14:solidFill>
                          <w14:schemeClr w14:val="tx1"/>
                        </w14:solidFill>
                      </w14:textFill>
                    </w:rPr>
                    <w:t>3</w:t>
                  </w:r>
                </w:p>
              </w:tc>
            </w:tr>
          </w:tbl>
          <w:p w14:paraId="161897A2">
            <w:pPr>
              <w:keepNext w:val="0"/>
              <w:keepLines w:val="0"/>
              <w:pageBreakBefore w:val="0"/>
              <w:widowControl w:val="0"/>
              <w:kinsoku/>
              <w:wordWrap w:val="0"/>
              <w:overflowPunct/>
              <w:topLinePunct/>
              <w:autoSpaceDE/>
              <w:autoSpaceDN/>
              <w:bidi w:val="0"/>
              <w:spacing w:line="360" w:lineRule="auto"/>
              <w:ind w:firstLine="482" w:firstLineChars="200"/>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（6）小结</w:t>
            </w:r>
          </w:p>
          <w:p w14:paraId="775A8ECE">
            <w:pPr>
              <w:keepNext w:val="0"/>
              <w:keepLines w:val="0"/>
              <w:pageBreakBefore w:val="0"/>
              <w:widowControl w:val="0"/>
              <w:kinsoku/>
              <w:wordWrap w:val="0"/>
              <w:overflowPunct/>
              <w:topLinePunct/>
              <w:autoSpaceDE/>
              <w:autoSpaceDN/>
              <w:bidi w:val="0"/>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项目运营期主要大气污染物均能达标排放，不会造成区域环境空气质量超标，对周围环境影响较小。因此，项目废气对大气环境的影响是可以接受的。</w:t>
            </w:r>
          </w:p>
          <w:p w14:paraId="404B9F81">
            <w:pPr>
              <w:keepNext w:val="0"/>
              <w:keepLines w:val="0"/>
              <w:pageBreakBefore w:val="0"/>
              <w:widowControl w:val="0"/>
              <w:kinsoku/>
              <w:wordWrap w:val="0"/>
              <w:overflowPunct/>
              <w:topLinePunct/>
              <w:autoSpaceDE/>
              <w:autoSpaceDN/>
              <w:bidi w:val="0"/>
              <w:adjustRightInd w:val="0"/>
              <w:snapToGrid w:val="0"/>
              <w:spacing w:line="360" w:lineRule="auto"/>
              <w:ind w:firstLine="482" w:firstLineChars="200"/>
              <w:rPr>
                <w:b/>
                <w:color w:val="000000" w:themeColor="text1"/>
                <w:sz w:val="24"/>
                <w:szCs w:val="20"/>
                <w:lang w:val="zh-CN" w:bidi="ar"/>
                <w14:textFill>
                  <w14:solidFill>
                    <w14:schemeClr w14:val="tx1"/>
                  </w14:solidFill>
                </w14:textFill>
              </w:rPr>
            </w:pPr>
            <w:r>
              <w:rPr>
                <w:rFonts w:hint="eastAsia"/>
                <w:b/>
                <w:color w:val="000000" w:themeColor="text1"/>
                <w:sz w:val="24"/>
                <w:szCs w:val="20"/>
                <w:lang w:val="en-US" w:eastAsia="zh-CN" w:bidi="ar"/>
                <w14:textFill>
                  <w14:solidFill>
                    <w14:schemeClr w14:val="tx1"/>
                  </w14:solidFill>
                </w14:textFill>
              </w:rPr>
              <w:t>2</w:t>
            </w:r>
            <w:r>
              <w:rPr>
                <w:b/>
                <w:color w:val="000000" w:themeColor="text1"/>
                <w:sz w:val="24"/>
                <w:szCs w:val="20"/>
                <w:lang w:val="zh-CN" w:bidi="ar"/>
                <w14:textFill>
                  <w14:solidFill>
                    <w14:schemeClr w14:val="tx1"/>
                  </w14:solidFill>
                </w14:textFill>
              </w:rPr>
              <w:t>、地表水环境影响分析</w:t>
            </w:r>
          </w:p>
          <w:p w14:paraId="16E2237E">
            <w:pPr>
              <w:keepNext w:val="0"/>
              <w:keepLines w:val="0"/>
              <w:pageBreakBefore w:val="0"/>
              <w:widowControl w:val="0"/>
              <w:tabs>
                <w:tab w:val="left" w:pos="4830"/>
              </w:tabs>
              <w:kinsoku/>
              <w:wordWrap w:val="0"/>
              <w:overflowPunct/>
              <w:topLinePunct/>
              <w:autoSpaceDE/>
              <w:autoSpaceDN/>
              <w:bidi w:val="0"/>
              <w:adjustRightInd/>
              <w:snapToGrid/>
              <w:spacing w:line="360" w:lineRule="auto"/>
              <w:ind w:firstLine="482" w:firstLineChars="200"/>
              <w:jc w:val="left"/>
              <w:rPr>
                <w:rFonts w:hint="default" w:ascii="Times New Roman" w:hAnsi="Times New Roman" w:eastAsia="宋体" w:cs="Times New Roman"/>
                <w:b/>
                <w:color w:val="000000" w:themeColor="text1"/>
                <w:sz w:val="24"/>
                <w:lang w:eastAsia="zh-CN"/>
                <w14:textFill>
                  <w14:solidFill>
                    <w14:schemeClr w14:val="tx1"/>
                  </w14:solidFill>
                </w14:textFill>
              </w:rPr>
            </w:pPr>
            <w:r>
              <w:rPr>
                <w:rFonts w:hint="default" w:ascii="Times New Roman" w:hAnsi="Times New Roman" w:eastAsia="宋体" w:cs="Times New Roman"/>
                <w:b/>
                <w:color w:val="000000" w:themeColor="text1"/>
                <w:sz w:val="24"/>
                <w:lang w:eastAsia="zh-CN"/>
                <w14:textFill>
                  <w14:solidFill>
                    <w14:schemeClr w14:val="tx1"/>
                  </w14:solidFill>
                </w14:textFill>
              </w:rPr>
              <w:t>（1）废水产排情况</w:t>
            </w:r>
          </w:p>
          <w:p w14:paraId="66235D03">
            <w:pPr>
              <w:keepNext w:val="0"/>
              <w:keepLines w:val="0"/>
              <w:pageBreakBefore w:val="0"/>
              <w:widowControl w:val="0"/>
              <w:kinsoku/>
              <w:wordWrap w:val="0"/>
              <w:overflowPunct/>
              <w:topLinePunct/>
              <w:autoSpaceDE/>
              <w:autoSpaceDN/>
              <w:bidi w:val="0"/>
              <w:adjustRightInd/>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项目采取雨污分流制。</w:t>
            </w:r>
          </w:p>
          <w:p w14:paraId="661FB4CE">
            <w:pPr>
              <w:keepNext w:val="0"/>
              <w:keepLines w:val="0"/>
              <w:pageBreakBefore w:val="0"/>
              <w:widowControl w:val="0"/>
              <w:kinsoku/>
              <w:wordWrap w:val="0"/>
              <w:overflowPunct/>
              <w:topLinePunct/>
              <w:autoSpaceDE/>
              <w:autoSpaceDN/>
              <w:bidi w:val="0"/>
              <w:adjustRightInd/>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雨水经厂区周边现有雨水沟收集后进入周边道路旁雨水沟</w:t>
            </w:r>
            <w:r>
              <w:rPr>
                <w:rFonts w:hint="eastAsia" w:ascii="Times New Roman" w:hAnsi="Times New Roman" w:eastAsia="宋体" w:cs="Times New Roman"/>
                <w:color w:val="000000" w:themeColor="text1"/>
                <w:sz w:val="24"/>
                <w:lang w:eastAsia="zh-CN"/>
                <w14:textFill>
                  <w14:solidFill>
                    <w14:schemeClr w14:val="tx1"/>
                  </w14:solidFill>
                </w14:textFill>
              </w:rPr>
              <w:t>。</w:t>
            </w:r>
          </w:p>
          <w:p w14:paraId="5A02572E">
            <w:pPr>
              <w:keepNext w:val="0"/>
              <w:keepLines w:val="0"/>
              <w:pageBreakBefore w:val="0"/>
              <w:widowControl w:val="0"/>
              <w:kinsoku/>
              <w:wordWrap w:val="0"/>
              <w:overflowPunct/>
              <w:topLinePunct/>
              <w:autoSpaceDE/>
              <w:autoSpaceDN/>
              <w:bidi w:val="0"/>
              <w:adjustRightInd/>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本项目软水制备废水及生物质锅炉排污水</w:t>
            </w:r>
            <w:r>
              <w:rPr>
                <w:rFonts w:hint="eastAsia" w:cs="Times New Roman"/>
                <w:color w:val="000000" w:themeColor="text1"/>
                <w:sz w:val="24"/>
                <w:szCs w:val="24"/>
                <w:lang w:val="en-US" w:eastAsia="zh-CN"/>
                <w14:textFill>
                  <w14:solidFill>
                    <w14:schemeClr w14:val="tx1"/>
                  </w14:solidFill>
                </w14:textFill>
              </w:rPr>
              <w:t>经收集处理后回用于厂区洒水降尘</w:t>
            </w:r>
            <w:r>
              <w:rPr>
                <w:rFonts w:hint="eastAsia" w:ascii="Times New Roman" w:hAnsi="Times New Roman" w:cs="Times New Roman"/>
                <w:color w:val="000000" w:themeColor="text1"/>
                <w:sz w:val="24"/>
                <w:szCs w:val="24"/>
                <w:lang w:val="en-US" w:eastAsia="zh-CN"/>
                <w14:textFill>
                  <w14:solidFill>
                    <w14:schemeClr w14:val="tx1"/>
                  </w14:solidFill>
                </w14:textFill>
              </w:rPr>
              <w:t>，不外排。发泡工段蒸汽冷凝水用于生物质锅炉损耗补充水，不外排。</w:t>
            </w:r>
            <w:r>
              <w:rPr>
                <w:rFonts w:hint="eastAsia" w:cs="Times New Roman"/>
                <w:color w:val="000000" w:themeColor="text1"/>
                <w:sz w:val="24"/>
                <w:szCs w:val="24"/>
                <w:lang w:val="en-US" w:eastAsia="zh-CN"/>
                <w14:textFill>
                  <w14:solidFill>
                    <w14:schemeClr w14:val="tx1"/>
                  </w14:solidFill>
                </w14:textFill>
              </w:rPr>
              <w:t>压模环节蒸汽加热成型后多余蒸汽排出，自然蒸发</w:t>
            </w:r>
            <w:r>
              <w:rPr>
                <w:rFonts w:hint="eastAsia" w:ascii="Times New Roman" w:hAnsi="Times New Roman" w:cs="Times New Roman"/>
                <w:color w:val="000000" w:themeColor="text1"/>
                <w:sz w:val="24"/>
                <w:szCs w:val="24"/>
                <w:lang w:val="en-US" w:eastAsia="zh-CN"/>
                <w14:textFill>
                  <w14:solidFill>
                    <w14:schemeClr w14:val="tx1"/>
                  </w14:solidFill>
                </w14:textFill>
              </w:rPr>
              <w:t>。</w:t>
            </w:r>
          </w:p>
          <w:p w14:paraId="579B29A5">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生活污水经隔油池、化粪池处理后进入一体化生活污水处理设施，</w:t>
            </w:r>
            <w:r>
              <w:rPr>
                <w:rFonts w:hint="eastAsia" w:ascii="Times New Roman" w:hAnsi="Times New Roman" w:cs="Times New Roman"/>
                <w:color w:val="000000" w:themeColor="text1"/>
                <w:sz w:val="24"/>
                <w:szCs w:val="24"/>
                <w:lang w:val="en-US" w:eastAsia="zh-CN"/>
                <w14:textFill>
                  <w14:solidFill>
                    <w14:schemeClr w14:val="tx1"/>
                  </w14:solidFill>
                </w14:textFill>
              </w:rPr>
              <w:t>经处理达标后，晴天回用于厂区绿化，不外排，雨天暂存于</w:t>
            </w:r>
            <w:r>
              <w:rPr>
                <w:rFonts w:hint="eastAsia" w:cs="Times New Roman"/>
                <w:color w:val="000000" w:themeColor="text1"/>
                <w:sz w:val="24"/>
                <w:szCs w:val="24"/>
                <w:lang w:val="en-US" w:eastAsia="zh-CN"/>
                <w14:textFill>
                  <w14:solidFill>
                    <w14:schemeClr w14:val="tx1"/>
                  </w14:solidFill>
                </w14:textFill>
              </w:rPr>
              <w:t>中水池</w:t>
            </w:r>
            <w:r>
              <w:rPr>
                <w:rFonts w:hint="eastAsia" w:ascii="Times New Roman" w:hAnsi="Times New Roman" w:cs="Times New Roman"/>
                <w:color w:val="000000" w:themeColor="text1"/>
                <w:sz w:val="24"/>
                <w:szCs w:val="24"/>
                <w:lang w:val="en-US" w:eastAsia="zh-CN"/>
                <w14:textFill>
                  <w14:solidFill>
                    <w14:schemeClr w14:val="tx1"/>
                  </w14:solidFill>
                </w14:textFill>
              </w:rPr>
              <w:t>，留待晴天使用，不外排。</w:t>
            </w:r>
          </w:p>
          <w:p w14:paraId="3654245F">
            <w:pPr>
              <w:keepNext w:val="0"/>
              <w:keepLines w:val="0"/>
              <w:pageBreakBefore w:val="0"/>
              <w:widowControl w:val="0"/>
              <w:kinsoku/>
              <w:wordWrap w:val="0"/>
              <w:overflowPunct/>
              <w:topLinePunct/>
              <w:autoSpaceDE/>
              <w:autoSpaceDN/>
              <w:bidi w:val="0"/>
              <w:adjustRightInd/>
              <w:spacing w:line="360" w:lineRule="auto"/>
              <w:ind w:firstLine="482" w:firstLineChars="20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1）生活污水</w:t>
            </w:r>
          </w:p>
          <w:p w14:paraId="266843AC">
            <w:pPr>
              <w:keepNext w:val="0"/>
              <w:keepLines w:val="0"/>
              <w:pageBreakBefore w:val="0"/>
              <w:widowControl w:val="0"/>
              <w:kinsoku/>
              <w:wordWrap w:val="0"/>
              <w:overflowPunct/>
              <w:topLinePunct/>
              <w:autoSpaceDE/>
              <w:autoSpaceDN/>
              <w:bidi w:val="0"/>
              <w:adjustRightInd/>
              <w:spacing w:line="360" w:lineRule="auto"/>
              <w:ind w:firstLine="480" w:firstLineChars="200"/>
              <w:rPr>
                <w:rFonts w:hint="eastAsia"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根据工程分析，公司厂区现有员工为12人，</w:t>
            </w:r>
            <w:r>
              <w:rPr>
                <w:rFonts w:hint="default" w:ascii="Times New Roman" w:hAnsi="Times New Roman" w:eastAsia="宋体" w:cs="Times New Roman"/>
                <w:color w:val="000000" w:themeColor="text1"/>
                <w:sz w:val="24"/>
                <w:lang w:val="en-US" w:eastAsia="zh-CN"/>
                <w14:textFill>
                  <w14:solidFill>
                    <w14:schemeClr w14:val="tx1"/>
                  </w14:solidFill>
                </w14:textFill>
              </w:rPr>
              <w:t>员工均为周边村庄人员，在厂区内</w:t>
            </w:r>
            <w:r>
              <w:rPr>
                <w:rFonts w:hint="eastAsia" w:ascii="Times New Roman" w:hAnsi="Times New Roman" w:eastAsia="宋体" w:cs="Times New Roman"/>
                <w:color w:val="000000" w:themeColor="text1"/>
                <w:sz w:val="24"/>
                <w:lang w:val="en-US" w:eastAsia="zh-CN"/>
                <w14:textFill>
                  <w14:solidFill>
                    <w14:schemeClr w14:val="tx1"/>
                  </w14:solidFill>
                </w14:textFill>
              </w:rPr>
              <w:t>用餐，不在厂区内住宿</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生活污水产生量为0.</w:t>
            </w:r>
            <w:r>
              <w:rPr>
                <w:rFonts w:hint="eastAsia" w:ascii="Times New Roman" w:hAnsi="Times New Roman" w:eastAsia="宋体" w:cs="Times New Roman"/>
                <w:color w:val="000000" w:themeColor="text1"/>
                <w:sz w:val="24"/>
                <w:lang w:val="en-US" w:eastAsia="zh-CN"/>
                <w14:textFill>
                  <w14:solidFill>
                    <w14:schemeClr w14:val="tx1"/>
                  </w14:solidFill>
                </w14:textFill>
              </w:rPr>
              <w:t>624</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/d，187.2m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w:t>
            </w:r>
            <w:r>
              <w:rPr>
                <w:rFonts w:hint="default"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现有员工生活污水经隔油池、化粪池处理后用于厂区内菜地浇洒</w:t>
            </w:r>
            <w:r>
              <w:rPr>
                <w:rFonts w:hint="eastAsia" w:cs="Times New Roman"/>
                <w:color w:val="000000" w:themeColor="text1"/>
                <w:sz w:val="24"/>
                <w:lang w:val="en-US" w:eastAsia="zh-CN"/>
                <w14:textFill>
                  <w14:solidFill>
                    <w14:schemeClr w14:val="tx1"/>
                  </w14:solidFill>
                </w14:textFill>
              </w:rPr>
              <w:t>。</w:t>
            </w:r>
          </w:p>
          <w:p w14:paraId="08313389">
            <w:pPr>
              <w:pageBreakBefore w:val="0"/>
              <w:kinsoku/>
              <w:overflowPunct/>
              <w:topLinePunct w:val="0"/>
              <w:bidi w:val="0"/>
              <w:spacing w:line="360" w:lineRule="auto"/>
              <w:ind w:left="0" w:leftChars="0" w:right="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w:t>
            </w:r>
            <w:r>
              <w:rPr>
                <w:rFonts w:hint="eastAsia" w:ascii="Times New Roman" w:hAnsi="Times New Roman" w:eastAsia="宋体" w:cs="Times New Roman"/>
                <w:color w:val="000000" w:themeColor="text1"/>
                <w:sz w:val="24"/>
                <w:lang w:eastAsia="zh-CN"/>
                <w14:textFill>
                  <w14:solidFill>
                    <w14:schemeClr w14:val="tx1"/>
                  </w14:solidFill>
                </w14:textFill>
              </w:rPr>
              <w:t>不新增工作人员，工作人员由</w:t>
            </w:r>
            <w:r>
              <w:rPr>
                <w:rFonts w:hint="default" w:ascii="Times New Roman" w:hAnsi="Times New Roman" w:eastAsia="宋体" w:cs="Times New Roman"/>
                <w:color w:val="000000" w:themeColor="text1"/>
                <w:sz w:val="24"/>
                <w:lang w:eastAsia="zh-CN"/>
                <w14:textFill>
                  <w14:solidFill>
                    <w14:schemeClr w14:val="tx1"/>
                  </w14:solidFill>
                </w14:textFill>
              </w:rPr>
              <w:t>公司</w:t>
            </w:r>
            <w:r>
              <w:rPr>
                <w:rFonts w:hint="eastAsia" w:ascii="Times New Roman" w:hAnsi="Times New Roman" w:eastAsia="宋体" w:cs="Times New Roman"/>
                <w:color w:val="000000" w:themeColor="text1"/>
                <w:sz w:val="24"/>
                <w:lang w:eastAsia="zh-CN"/>
                <w14:textFill>
                  <w14:solidFill>
                    <w14:schemeClr w14:val="tx1"/>
                  </w14:solidFill>
                </w14:textFill>
              </w:rPr>
              <w:t>现有员工调配</w:t>
            </w:r>
            <w:r>
              <w:rPr>
                <w:rFonts w:hint="eastAsia" w:ascii="Times New Roman" w:hAnsi="Times New Roman" w:eastAsia="宋体" w:cs="Times New Roman"/>
                <w:color w:val="000000" w:themeColor="text1"/>
                <w:sz w:val="24"/>
                <w:lang w:val="en-US" w:eastAsia="zh-CN"/>
                <w14:textFill>
                  <w14:solidFill>
                    <w14:schemeClr w14:val="tx1"/>
                  </w14:solidFill>
                </w14:textFill>
              </w:rPr>
              <w:t>。本项目不新增生活污水。</w:t>
            </w:r>
          </w:p>
          <w:p w14:paraId="3F74DA64">
            <w:pPr>
              <w:keepNext w:val="0"/>
              <w:keepLines w:val="0"/>
              <w:pageBreakBefore w:val="0"/>
              <w:widowControl w:val="0"/>
              <w:kinsoku/>
              <w:wordWrap w:val="0"/>
              <w:overflowPunct/>
              <w:topLinePunct/>
              <w:autoSpaceDE/>
              <w:autoSpaceDN/>
              <w:bidi w:val="0"/>
              <w:adjustRightInd/>
              <w:spacing w:line="360" w:lineRule="auto"/>
              <w:ind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本环评要求设置一体化生活污水处理设施，生活污水经</w:t>
            </w:r>
            <w:r>
              <w:rPr>
                <w:rFonts w:hint="eastAsia"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隔油池、</w:t>
            </w: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化粪池处理后进入</w:t>
            </w:r>
            <w:r>
              <w:rPr>
                <w:rFonts w:hint="eastAsia" w:cs="Times New Roman"/>
                <w:color w:val="000000" w:themeColor="text1"/>
                <w:sz w:val="24"/>
                <w:lang w:val="en-US" w:eastAsia="zh-CN"/>
                <w14:textFill>
                  <w14:solidFill>
                    <w14:schemeClr w14:val="tx1"/>
                  </w14:solidFill>
                </w14:textFill>
              </w:rPr>
              <w:t>1台处理能力为1m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/d</w:t>
            </w:r>
            <w:r>
              <w:rPr>
                <w:rFonts w:hint="eastAsia" w:ascii="Times New Roman" w:hAnsi="Times New Roman" w:eastAsia="宋体" w:cs="Times New Roman"/>
                <w:color w:val="000000" w:themeColor="text1"/>
                <w:sz w:val="24"/>
                <w:lang w:val="en-US" w:eastAsia="zh-CN"/>
                <w14:textFill>
                  <w14:solidFill>
                    <w14:schemeClr w14:val="tx1"/>
                  </w14:solidFill>
                </w14:textFill>
              </w:rPr>
              <w:t>一体化生活污水处理设施，</w:t>
            </w:r>
            <w:r>
              <w:rPr>
                <w:rFonts w:hint="eastAsia" w:ascii="Times New Roman" w:hAnsi="Times New Roman" w:cs="Times New Roman"/>
                <w:color w:val="000000" w:themeColor="text1"/>
                <w:sz w:val="24"/>
                <w:szCs w:val="24"/>
                <w:lang w:val="en-US" w:eastAsia="zh-CN"/>
                <w14:textFill>
                  <w14:solidFill>
                    <w14:schemeClr w14:val="tx1"/>
                  </w14:solidFill>
                </w14:textFill>
              </w:rPr>
              <w:t>经处理达标后，晴天回用于厂区绿化，不外排，雨天暂存于</w:t>
            </w:r>
            <w:r>
              <w:rPr>
                <w:rFonts w:hint="eastAsia" w:cs="Times New Roman"/>
                <w:color w:val="000000" w:themeColor="text1"/>
                <w:sz w:val="24"/>
                <w:szCs w:val="24"/>
                <w:lang w:val="en-US" w:eastAsia="zh-CN"/>
                <w14:textFill>
                  <w14:solidFill>
                    <w14:schemeClr w14:val="tx1"/>
                  </w14:solidFill>
                </w14:textFill>
              </w:rPr>
              <w:t>中水池</w:t>
            </w:r>
            <w:r>
              <w:rPr>
                <w:rFonts w:hint="eastAsia" w:ascii="Times New Roman" w:hAnsi="Times New Roman" w:cs="Times New Roman"/>
                <w:color w:val="000000" w:themeColor="text1"/>
                <w:sz w:val="24"/>
                <w:szCs w:val="24"/>
                <w:lang w:val="en-US" w:eastAsia="zh-CN"/>
                <w14:textFill>
                  <w14:solidFill>
                    <w14:schemeClr w14:val="tx1"/>
                  </w14:solidFill>
                </w14:textFill>
              </w:rPr>
              <w:t>，留待晴天使用，不外排。</w:t>
            </w:r>
          </w:p>
          <w:p w14:paraId="62D152E5">
            <w:pPr>
              <w:keepNext w:val="0"/>
              <w:pageBreakBefore w:val="0"/>
              <w:kinsoku/>
              <w:overflowPunct/>
              <w:topLinePunct w:val="0"/>
              <w:bidi w:val="0"/>
              <w:adjustRightInd/>
              <w:snapToGrid/>
              <w:spacing w:line="360" w:lineRule="auto"/>
              <w:ind w:left="0" w:leftChars="0" w:right="0" w:firstLine="482" w:firstLineChars="200"/>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2）生产废水</w:t>
            </w:r>
          </w:p>
          <w:p w14:paraId="3CC31440">
            <w:pPr>
              <w:keepNext w:val="0"/>
              <w:pageBreakBefore w:val="0"/>
              <w:kinsoku/>
              <w:overflowPunct/>
              <w:topLinePunct w:val="0"/>
              <w:bidi w:val="0"/>
              <w:adjustRightInd/>
              <w:snapToGrid/>
              <w:spacing w:line="360" w:lineRule="auto"/>
              <w:ind w:left="0" w:leftChars="0" w:right="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项目拟设置</w:t>
            </w:r>
            <w:r>
              <w:rPr>
                <w:rFonts w:hint="eastAsia" w:ascii="Times New Roman" w:hAnsi="Times New Roman" w:eastAsia="宋体" w:cs="Times New Roman"/>
                <w:color w:val="000000" w:themeColor="text1"/>
                <w:sz w:val="24"/>
                <w:lang w:val="en-US" w:eastAsia="zh-CN"/>
                <w14:textFill>
                  <w14:solidFill>
                    <w14:schemeClr w14:val="tx1"/>
                  </w14:solidFill>
                </w14:textFill>
              </w:rPr>
              <w:t>1台3</w:t>
            </w:r>
            <w:r>
              <w:rPr>
                <w:rFonts w:hint="default" w:ascii="Times New Roman" w:hAnsi="Times New Roman" w:eastAsia="宋体" w:cs="Times New Roman"/>
                <w:color w:val="000000" w:themeColor="text1"/>
                <w:sz w:val="24"/>
                <w:lang w:val="en-US" w:eastAsia="zh-CN"/>
                <w14:textFill>
                  <w14:solidFill>
                    <w14:schemeClr w14:val="tx1"/>
                  </w14:solidFill>
                </w14:textFill>
              </w:rPr>
              <w:t>t/h的</w:t>
            </w:r>
            <w:r>
              <w:rPr>
                <w:rFonts w:hint="eastAsia" w:cs="Times New Roman"/>
                <w:color w:val="000000" w:themeColor="text1"/>
                <w:sz w:val="24"/>
                <w:lang w:val="en-US" w:eastAsia="zh-CN"/>
                <w14:textFill>
                  <w14:solidFill>
                    <w14:schemeClr w14:val="tx1"/>
                  </w14:solidFill>
                </w14:textFill>
              </w:rPr>
              <w:t>生物质锅炉</w:t>
            </w:r>
            <w:r>
              <w:rPr>
                <w:rFonts w:hint="default" w:ascii="Times New Roman" w:hAnsi="Times New Roman" w:eastAsia="宋体" w:cs="Times New Roman"/>
                <w:color w:val="000000" w:themeColor="text1"/>
                <w:sz w:val="24"/>
                <w:lang w:val="en-US" w:eastAsia="zh-CN"/>
                <w14:textFill>
                  <w14:solidFill>
                    <w14:schemeClr w14:val="tx1"/>
                  </w14:solidFill>
                </w14:textFill>
              </w:rPr>
              <w:t>为泡沫</w:t>
            </w:r>
            <w:r>
              <w:rPr>
                <w:rFonts w:hint="eastAsia" w:cs="Times New Roman"/>
                <w:color w:val="000000" w:themeColor="text1"/>
                <w:sz w:val="24"/>
                <w:lang w:val="en-US" w:eastAsia="zh-CN"/>
                <w14:textFill>
                  <w14:solidFill>
                    <w14:schemeClr w14:val="tx1"/>
                  </w14:solidFill>
                </w14:textFill>
              </w:rPr>
              <w:t>颗粒</w:t>
            </w:r>
            <w:r>
              <w:rPr>
                <w:rFonts w:hint="default" w:ascii="Times New Roman" w:hAnsi="Times New Roman" w:eastAsia="宋体" w:cs="Times New Roman"/>
                <w:color w:val="000000" w:themeColor="text1"/>
                <w:sz w:val="24"/>
                <w:lang w:val="en-US" w:eastAsia="zh-CN"/>
                <w14:textFill>
                  <w14:solidFill>
                    <w14:schemeClr w14:val="tx1"/>
                  </w14:solidFill>
                </w14:textFill>
              </w:rPr>
              <w:t>生产过程提供所需的蒸汽，</w:t>
            </w:r>
            <w:r>
              <w:rPr>
                <w:rFonts w:hint="eastAsia" w:cs="Times New Roman"/>
                <w:color w:val="000000" w:themeColor="text1"/>
                <w:sz w:val="24"/>
                <w:lang w:val="en-US" w:eastAsia="zh-CN"/>
                <w14:textFill>
                  <w14:solidFill>
                    <w14:schemeClr w14:val="tx1"/>
                  </w14:solidFill>
                </w14:textFill>
              </w:rPr>
              <w:t>生物质锅炉</w:t>
            </w:r>
            <w:r>
              <w:rPr>
                <w:rFonts w:hint="default" w:ascii="Times New Roman" w:hAnsi="Times New Roman" w:eastAsia="宋体" w:cs="Times New Roman"/>
                <w:color w:val="000000" w:themeColor="text1"/>
                <w:sz w:val="24"/>
                <w:lang w:val="en-US" w:eastAsia="zh-CN"/>
                <w14:textFill>
                  <w14:solidFill>
                    <w14:schemeClr w14:val="tx1"/>
                  </w14:solidFill>
                </w14:textFill>
              </w:rPr>
              <w:t>用水需对自来水进行除泥沙、除铁锰、除钙镁、降低浊度和总硬度处理。项目共设置1套软水制备系统对自来水进行处理，采用离子交换树脂进行处理后对</w:t>
            </w:r>
            <w:r>
              <w:rPr>
                <w:rFonts w:hint="eastAsia" w:cs="Times New Roman"/>
                <w:color w:val="000000" w:themeColor="text1"/>
                <w:sz w:val="24"/>
                <w:lang w:val="en-US" w:eastAsia="zh-CN"/>
                <w14:textFill>
                  <w14:solidFill>
                    <w14:schemeClr w14:val="tx1"/>
                  </w14:solidFill>
                </w14:textFill>
              </w:rPr>
              <w:t>生物质锅炉</w:t>
            </w:r>
            <w:r>
              <w:rPr>
                <w:rFonts w:hint="default" w:ascii="Times New Roman" w:hAnsi="Times New Roman" w:eastAsia="宋体" w:cs="Times New Roman"/>
                <w:color w:val="000000" w:themeColor="text1"/>
                <w:sz w:val="24"/>
                <w:lang w:val="en-US" w:eastAsia="zh-CN"/>
                <w14:textFill>
                  <w14:solidFill>
                    <w14:schemeClr w14:val="tx1"/>
                  </w14:solidFill>
                </w14:textFill>
              </w:rPr>
              <w:t>进行供水。</w:t>
            </w:r>
          </w:p>
          <w:p w14:paraId="4B3DA3CF">
            <w:pPr>
              <w:pStyle w:val="51"/>
              <w:keepNext w:val="0"/>
              <w:pageBreakBefore w:val="0"/>
              <w:overflowPunct/>
              <w:topLinePunct w:val="0"/>
              <w:bidi w:val="0"/>
              <w:adjustRightInd/>
              <w:snapToGrid/>
              <w:ind w:firstLine="482"/>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b w:val="0"/>
                <w:bCs w:val="0"/>
                <w:color w:val="000000" w:themeColor="text1"/>
                <w:lang w:eastAsia="zh-CN"/>
                <w14:textFill>
                  <w14:solidFill>
                    <w14:schemeClr w14:val="tx1"/>
                  </w14:solidFill>
                </w14:textFill>
              </w:rPr>
              <w:t>本项目生产过程中产生的生产废水主要为</w:t>
            </w:r>
            <w:r>
              <w:rPr>
                <w:rFonts w:hint="default" w:ascii="Times New Roman" w:hAnsi="Times New Roman" w:cs="Times New Roman"/>
                <w:b w:val="0"/>
                <w:bCs w:val="0"/>
                <w:color w:val="000000" w:themeColor="text1"/>
                <w14:textFill>
                  <w14:solidFill>
                    <w14:schemeClr w14:val="tx1"/>
                  </w14:solidFill>
                </w14:textFill>
              </w:rPr>
              <w:t>软水制备废水、锅炉排污</w:t>
            </w:r>
            <w:r>
              <w:rPr>
                <w:rFonts w:hint="default" w:ascii="Times New Roman" w:hAnsi="Times New Roman" w:cs="Times New Roman"/>
                <w:b w:val="0"/>
                <w:bCs w:val="0"/>
                <w:color w:val="000000" w:themeColor="text1"/>
                <w:lang w:eastAsia="zh-CN"/>
                <w14:textFill>
                  <w14:solidFill>
                    <w14:schemeClr w14:val="tx1"/>
                  </w14:solidFill>
                </w14:textFill>
              </w:rPr>
              <w:t>水，</w:t>
            </w:r>
            <w:r>
              <w:rPr>
                <w:rFonts w:hint="default" w:ascii="Times New Roman" w:hAnsi="Times New Roman" w:cs="Times New Roman"/>
                <w:color w:val="000000" w:themeColor="text1"/>
                <w14:textFill>
                  <w14:solidFill>
                    <w14:schemeClr w14:val="tx1"/>
                  </w14:solidFill>
                </w14:textFill>
              </w:rPr>
              <w:t>根据</w:t>
            </w:r>
            <w:r>
              <w:rPr>
                <w:rFonts w:hint="default" w:ascii="Times New Roman" w:hAnsi="Times New Roman" w:eastAsia="宋体" w:cs="Times New Roman"/>
                <w:color w:val="000000" w:themeColor="text1"/>
                <w:sz w:val="24"/>
                <w:lang w:val="en-US" w:eastAsia="zh-CN"/>
                <w14:textFill>
                  <w14:solidFill>
                    <w14:schemeClr w14:val="tx1"/>
                  </w14:solidFill>
                </w14:textFill>
              </w:rPr>
              <w:t>《排放源统计调查产排污核算方法和系数手册》（公告2021年第24号）中</w:t>
            </w:r>
            <w:r>
              <w:rPr>
                <w:rFonts w:hint="default" w:ascii="Times New Roman" w:hAnsi="Times New Roman" w:cs="Times New Roman"/>
                <w:color w:val="000000" w:themeColor="text1"/>
                <w14:textFill>
                  <w14:solidFill>
                    <w14:schemeClr w14:val="tx1"/>
                  </w14:solidFill>
                </w14:textFill>
              </w:rPr>
              <w:t>《锅炉产排污量核算系数手册》</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4430工业锅炉（热力生产和供应行业）产排污系数表-工业废水量和</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化学需氧量</w:t>
            </w:r>
            <w:r>
              <w:rPr>
                <w:rFonts w:hint="eastAsia"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中生物质工业锅炉的产排污系数进行计算</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bCs/>
                <w:color w:val="000000" w:themeColor="text1"/>
                <w:spacing w:val="6"/>
                <w:sz w:val="24"/>
                <w14:textFill>
                  <w14:solidFill>
                    <w14:schemeClr w14:val="tx1"/>
                  </w14:solidFill>
                </w14:textFill>
              </w:rPr>
              <w:t>产排污系数见</w:t>
            </w:r>
            <w:r>
              <w:rPr>
                <w:rFonts w:hint="default" w:ascii="Times New Roman" w:hAnsi="Times New Roman" w:cs="Times New Roman"/>
                <w:bCs/>
                <w:color w:val="000000" w:themeColor="text1"/>
                <w:spacing w:val="6"/>
                <w:sz w:val="24"/>
                <w:lang w:eastAsia="zh-CN"/>
                <w14:textFill>
                  <w14:solidFill>
                    <w14:schemeClr w14:val="tx1"/>
                  </w14:solidFill>
                </w14:textFill>
              </w:rPr>
              <w:t>下表。</w:t>
            </w:r>
          </w:p>
          <w:p w14:paraId="678524BB">
            <w:pPr>
              <w:pStyle w:val="134"/>
              <w:keepNext w:val="0"/>
              <w:keepLines w:val="0"/>
              <w:pageBreakBefore w:val="0"/>
              <w:widowControl w:val="0"/>
              <w:kinsoku/>
              <w:wordWrap/>
              <w:overflowPunct/>
              <w:topLinePunct w:val="0"/>
              <w:autoSpaceDE/>
              <w:autoSpaceDN/>
              <w:bidi w:val="0"/>
              <w:adjustRightInd/>
              <w:snapToGrid/>
              <w:spacing w:before="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lang w:val="en-US" w:eastAsia="zh-CN"/>
                <w14:textFill>
                  <w14:solidFill>
                    <w14:schemeClr w14:val="tx1"/>
                  </w14:solidFill>
                </w14:textFill>
              </w:rPr>
              <w:t>4-1</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 xml:space="preserve">  工业锅炉（热力生产和供应行业）产排污系数表</w:t>
            </w:r>
            <w:r>
              <w:rPr>
                <w:rFonts w:hint="default" w:ascii="Times New Roman" w:hAnsi="Times New Roman" w:cs="Times New Roman"/>
                <w:color w:val="000000" w:themeColor="text1"/>
                <w:lang w:val="en-US" w:eastAsia="zh-CN"/>
                <w14:textFill>
                  <w14:solidFill>
                    <w14:schemeClr w14:val="tx1"/>
                  </w14:solidFill>
                </w14:textFill>
              </w:rPr>
              <w:t>-工业废水量</w:t>
            </w:r>
          </w:p>
          <w:tbl>
            <w:tblPr>
              <w:tblStyle w:val="33"/>
              <w:tblW w:w="4996" w:type="pct"/>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802"/>
              <w:gridCol w:w="719"/>
              <w:gridCol w:w="1155"/>
              <w:gridCol w:w="871"/>
              <w:gridCol w:w="1495"/>
              <w:gridCol w:w="1443"/>
              <w:gridCol w:w="1716"/>
            </w:tblGrid>
            <w:tr w14:paraId="0ABF3C3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c>
                <w:tcPr>
                  <w:tcW w:w="488" w:type="pct"/>
                  <w:tcBorders>
                    <w:tl2br w:val="nil"/>
                    <w:tr2bl w:val="nil"/>
                  </w:tcBorders>
                  <w:noWrap w:val="0"/>
                  <w:vAlign w:val="center"/>
                </w:tcPr>
                <w:p w14:paraId="18B365B0">
                  <w:pPr>
                    <w:pStyle w:val="14"/>
                    <w:keepNext w:val="0"/>
                    <w:keepLines w:val="0"/>
                    <w:pageBreakBefore w:val="0"/>
                    <w:tabs>
                      <w:tab w:val="left" w:pos="0"/>
                      <w:tab w:val="left" w:pos="1260"/>
                    </w:tabs>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bCs/>
                      <w:iCs/>
                      <w:color w:val="000000" w:themeColor="text1"/>
                      <w:sz w:val="21"/>
                      <w:szCs w:val="21"/>
                      <w14:textFill>
                        <w14:solidFill>
                          <w14:schemeClr w14:val="tx1"/>
                        </w14:solidFill>
                      </w14:textFill>
                    </w:rPr>
                  </w:pPr>
                  <w:r>
                    <w:rPr>
                      <w:rFonts w:hint="default" w:ascii="Times New Roman" w:hAnsi="Times New Roman" w:cs="Times New Roman"/>
                      <w:b/>
                      <w:bCs/>
                      <w:iCs/>
                      <w:color w:val="000000" w:themeColor="text1"/>
                      <w:sz w:val="21"/>
                      <w:szCs w:val="21"/>
                      <w14:textFill>
                        <w14:solidFill>
                          <w14:schemeClr w14:val="tx1"/>
                        </w14:solidFill>
                      </w14:textFill>
                    </w:rPr>
                    <w:t>产品名称</w:t>
                  </w:r>
                </w:p>
              </w:tc>
              <w:tc>
                <w:tcPr>
                  <w:tcW w:w="438" w:type="pct"/>
                  <w:tcBorders>
                    <w:tl2br w:val="nil"/>
                    <w:tr2bl w:val="nil"/>
                  </w:tcBorders>
                  <w:noWrap w:val="0"/>
                  <w:vAlign w:val="center"/>
                </w:tcPr>
                <w:p w14:paraId="1652B7ED">
                  <w:pPr>
                    <w:pStyle w:val="14"/>
                    <w:keepNext w:val="0"/>
                    <w:keepLines w:val="0"/>
                    <w:pageBreakBefore w:val="0"/>
                    <w:tabs>
                      <w:tab w:val="left" w:pos="0"/>
                      <w:tab w:val="left" w:pos="1260"/>
                    </w:tabs>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bCs/>
                      <w:iCs/>
                      <w:color w:val="000000" w:themeColor="text1"/>
                      <w:sz w:val="21"/>
                      <w:szCs w:val="21"/>
                      <w14:textFill>
                        <w14:solidFill>
                          <w14:schemeClr w14:val="tx1"/>
                        </w14:solidFill>
                      </w14:textFill>
                    </w:rPr>
                  </w:pPr>
                  <w:r>
                    <w:rPr>
                      <w:rFonts w:hint="default" w:ascii="Times New Roman" w:hAnsi="Times New Roman" w:cs="Times New Roman"/>
                      <w:b/>
                      <w:bCs/>
                      <w:iCs/>
                      <w:color w:val="000000" w:themeColor="text1"/>
                      <w:sz w:val="21"/>
                      <w:szCs w:val="21"/>
                      <w14:textFill>
                        <w14:solidFill>
                          <w14:schemeClr w14:val="tx1"/>
                        </w14:solidFill>
                      </w14:textFill>
                    </w:rPr>
                    <w:t>原料名称</w:t>
                  </w:r>
                </w:p>
              </w:tc>
              <w:tc>
                <w:tcPr>
                  <w:tcW w:w="703" w:type="pct"/>
                  <w:tcBorders>
                    <w:tl2br w:val="nil"/>
                    <w:tr2bl w:val="nil"/>
                  </w:tcBorders>
                  <w:noWrap w:val="0"/>
                  <w:vAlign w:val="center"/>
                </w:tcPr>
                <w:p w14:paraId="65C35D50">
                  <w:pPr>
                    <w:pStyle w:val="14"/>
                    <w:keepNext w:val="0"/>
                    <w:keepLines w:val="0"/>
                    <w:pageBreakBefore w:val="0"/>
                    <w:tabs>
                      <w:tab w:val="left" w:pos="0"/>
                      <w:tab w:val="left" w:pos="1260"/>
                    </w:tabs>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bCs/>
                      <w:iCs/>
                      <w:color w:val="000000" w:themeColor="text1"/>
                      <w:sz w:val="21"/>
                      <w:szCs w:val="21"/>
                      <w14:textFill>
                        <w14:solidFill>
                          <w14:schemeClr w14:val="tx1"/>
                        </w14:solidFill>
                      </w14:textFill>
                    </w:rPr>
                  </w:pPr>
                  <w:r>
                    <w:rPr>
                      <w:rFonts w:hint="default" w:ascii="Times New Roman" w:hAnsi="Times New Roman" w:cs="Times New Roman"/>
                      <w:b/>
                      <w:bCs/>
                      <w:iCs/>
                      <w:color w:val="000000" w:themeColor="text1"/>
                      <w:sz w:val="21"/>
                      <w:szCs w:val="21"/>
                      <w14:textFill>
                        <w14:solidFill>
                          <w14:schemeClr w14:val="tx1"/>
                        </w14:solidFill>
                      </w14:textFill>
                    </w:rPr>
                    <w:t>工艺名称</w:t>
                  </w:r>
                </w:p>
              </w:tc>
              <w:tc>
                <w:tcPr>
                  <w:tcW w:w="530" w:type="pct"/>
                  <w:tcBorders>
                    <w:tl2br w:val="nil"/>
                    <w:tr2bl w:val="nil"/>
                  </w:tcBorders>
                  <w:noWrap w:val="0"/>
                  <w:vAlign w:val="center"/>
                </w:tcPr>
                <w:p w14:paraId="2C96680D">
                  <w:pPr>
                    <w:pStyle w:val="14"/>
                    <w:keepNext w:val="0"/>
                    <w:keepLines w:val="0"/>
                    <w:pageBreakBefore w:val="0"/>
                    <w:tabs>
                      <w:tab w:val="left" w:pos="0"/>
                      <w:tab w:val="left" w:pos="1260"/>
                    </w:tabs>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bCs/>
                      <w:iCs/>
                      <w:color w:val="000000" w:themeColor="text1"/>
                      <w:sz w:val="21"/>
                      <w:szCs w:val="21"/>
                      <w14:textFill>
                        <w14:solidFill>
                          <w14:schemeClr w14:val="tx1"/>
                        </w14:solidFill>
                      </w14:textFill>
                    </w:rPr>
                  </w:pPr>
                  <w:r>
                    <w:rPr>
                      <w:rFonts w:hint="default" w:ascii="Times New Roman" w:hAnsi="Times New Roman" w:cs="Times New Roman"/>
                      <w:b/>
                      <w:bCs/>
                      <w:iCs/>
                      <w:color w:val="000000" w:themeColor="text1"/>
                      <w:sz w:val="21"/>
                      <w:szCs w:val="21"/>
                      <w14:textFill>
                        <w14:solidFill>
                          <w14:schemeClr w14:val="tx1"/>
                        </w14:solidFill>
                      </w14:textFill>
                    </w:rPr>
                    <w:t>规模等级</w:t>
                  </w:r>
                </w:p>
              </w:tc>
              <w:tc>
                <w:tcPr>
                  <w:tcW w:w="911" w:type="pct"/>
                  <w:tcBorders>
                    <w:tl2br w:val="nil"/>
                    <w:tr2bl w:val="nil"/>
                  </w:tcBorders>
                  <w:noWrap w:val="0"/>
                  <w:vAlign w:val="center"/>
                </w:tcPr>
                <w:p w14:paraId="51D26413">
                  <w:pPr>
                    <w:pStyle w:val="14"/>
                    <w:keepNext w:val="0"/>
                    <w:keepLines w:val="0"/>
                    <w:pageBreakBefore w:val="0"/>
                    <w:tabs>
                      <w:tab w:val="left" w:pos="0"/>
                      <w:tab w:val="left" w:pos="1260"/>
                    </w:tabs>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bCs/>
                      <w:iCs/>
                      <w:color w:val="000000" w:themeColor="text1"/>
                      <w:sz w:val="21"/>
                      <w:szCs w:val="21"/>
                      <w14:textFill>
                        <w14:solidFill>
                          <w14:schemeClr w14:val="tx1"/>
                        </w14:solidFill>
                      </w14:textFill>
                    </w:rPr>
                  </w:pPr>
                  <w:r>
                    <w:rPr>
                      <w:rFonts w:hint="default" w:ascii="Times New Roman" w:hAnsi="Times New Roman" w:cs="Times New Roman"/>
                      <w:b/>
                      <w:bCs/>
                      <w:iCs/>
                      <w:color w:val="000000" w:themeColor="text1"/>
                      <w:sz w:val="21"/>
                      <w:szCs w:val="21"/>
                      <w14:textFill>
                        <w14:solidFill>
                          <w14:schemeClr w14:val="tx1"/>
                        </w14:solidFill>
                      </w14:textFill>
                    </w:rPr>
                    <w:t>污染物指标</w:t>
                  </w:r>
                </w:p>
              </w:tc>
              <w:tc>
                <w:tcPr>
                  <w:tcW w:w="880" w:type="pct"/>
                  <w:tcBorders>
                    <w:tl2br w:val="nil"/>
                    <w:tr2bl w:val="nil"/>
                  </w:tcBorders>
                  <w:noWrap w:val="0"/>
                  <w:vAlign w:val="center"/>
                </w:tcPr>
                <w:p w14:paraId="7AA05D07">
                  <w:pPr>
                    <w:pStyle w:val="14"/>
                    <w:keepNext w:val="0"/>
                    <w:keepLines w:val="0"/>
                    <w:pageBreakBefore w:val="0"/>
                    <w:tabs>
                      <w:tab w:val="left" w:pos="0"/>
                      <w:tab w:val="left" w:pos="1260"/>
                    </w:tabs>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bCs/>
                      <w:iCs/>
                      <w:color w:val="000000" w:themeColor="text1"/>
                      <w:sz w:val="21"/>
                      <w:szCs w:val="21"/>
                      <w14:textFill>
                        <w14:solidFill>
                          <w14:schemeClr w14:val="tx1"/>
                        </w14:solidFill>
                      </w14:textFill>
                    </w:rPr>
                  </w:pPr>
                  <w:r>
                    <w:rPr>
                      <w:rFonts w:hint="default" w:ascii="Times New Roman" w:hAnsi="Times New Roman" w:cs="Times New Roman"/>
                      <w:b/>
                      <w:bCs/>
                      <w:iCs/>
                      <w:color w:val="000000" w:themeColor="text1"/>
                      <w:sz w:val="21"/>
                      <w:szCs w:val="21"/>
                      <w14:textFill>
                        <w14:solidFill>
                          <w14:schemeClr w14:val="tx1"/>
                        </w14:solidFill>
                      </w14:textFill>
                    </w:rPr>
                    <w:t>单位</w:t>
                  </w:r>
                </w:p>
              </w:tc>
              <w:tc>
                <w:tcPr>
                  <w:tcW w:w="1046" w:type="pct"/>
                  <w:tcBorders>
                    <w:tl2br w:val="nil"/>
                    <w:tr2bl w:val="nil"/>
                  </w:tcBorders>
                  <w:noWrap w:val="0"/>
                  <w:vAlign w:val="center"/>
                </w:tcPr>
                <w:p w14:paraId="0EF16B72">
                  <w:pPr>
                    <w:pStyle w:val="14"/>
                    <w:keepNext w:val="0"/>
                    <w:keepLines w:val="0"/>
                    <w:pageBreakBefore w:val="0"/>
                    <w:tabs>
                      <w:tab w:val="left" w:pos="0"/>
                      <w:tab w:val="left" w:pos="1260"/>
                    </w:tabs>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bCs/>
                      <w:iCs/>
                      <w:color w:val="000000" w:themeColor="text1"/>
                      <w:sz w:val="21"/>
                      <w:szCs w:val="21"/>
                      <w14:textFill>
                        <w14:solidFill>
                          <w14:schemeClr w14:val="tx1"/>
                        </w14:solidFill>
                      </w14:textFill>
                    </w:rPr>
                  </w:pPr>
                  <w:r>
                    <w:rPr>
                      <w:rFonts w:hint="default" w:ascii="Times New Roman" w:hAnsi="Times New Roman" w:cs="Times New Roman"/>
                      <w:b/>
                      <w:bCs/>
                      <w:iCs/>
                      <w:color w:val="000000" w:themeColor="text1"/>
                      <w:sz w:val="21"/>
                      <w:szCs w:val="21"/>
                      <w14:textFill>
                        <w14:solidFill>
                          <w14:schemeClr w14:val="tx1"/>
                        </w14:solidFill>
                      </w14:textFill>
                    </w:rPr>
                    <w:t>产污系数</w:t>
                  </w:r>
                </w:p>
              </w:tc>
            </w:tr>
            <w:tr w14:paraId="146598C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88" w:type="pct"/>
                  <w:tcBorders>
                    <w:tl2br w:val="nil"/>
                    <w:tr2bl w:val="nil"/>
                  </w:tcBorders>
                  <w:noWrap w:val="0"/>
                  <w:vAlign w:val="center"/>
                </w:tcPr>
                <w:p w14:paraId="30F14D12">
                  <w:pPr>
                    <w:pStyle w:val="14"/>
                    <w:keepNext w:val="0"/>
                    <w:keepLines w:val="0"/>
                    <w:pageBreakBefore w:val="0"/>
                    <w:tabs>
                      <w:tab w:val="left" w:pos="0"/>
                      <w:tab w:val="left" w:pos="1260"/>
                    </w:tabs>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iCs/>
                      <w:color w:val="000000" w:themeColor="text1"/>
                      <w:sz w:val="21"/>
                      <w:szCs w:val="21"/>
                      <w14:textFill>
                        <w14:solidFill>
                          <w14:schemeClr w14:val="tx1"/>
                        </w14:solidFill>
                      </w14:textFill>
                    </w:rPr>
                  </w:pPr>
                  <w:r>
                    <w:rPr>
                      <w:rFonts w:hint="default" w:ascii="Times New Roman" w:hAnsi="Times New Roman" w:cs="Times New Roman"/>
                      <w:iCs/>
                      <w:color w:val="000000" w:themeColor="text1"/>
                      <w:sz w:val="21"/>
                      <w:szCs w:val="21"/>
                      <w14:textFill>
                        <w14:solidFill>
                          <w14:schemeClr w14:val="tx1"/>
                        </w14:solidFill>
                      </w14:textFill>
                    </w:rPr>
                    <w:t>蒸汽/热水/其他</w:t>
                  </w:r>
                </w:p>
              </w:tc>
              <w:tc>
                <w:tcPr>
                  <w:tcW w:w="438" w:type="pct"/>
                  <w:tcBorders>
                    <w:tl2br w:val="nil"/>
                    <w:tr2bl w:val="nil"/>
                  </w:tcBorders>
                  <w:noWrap w:val="0"/>
                  <w:vAlign w:val="center"/>
                </w:tcPr>
                <w:p w14:paraId="5C4CCCE5">
                  <w:pPr>
                    <w:pStyle w:val="14"/>
                    <w:keepNext w:val="0"/>
                    <w:keepLines w:val="0"/>
                    <w:pageBreakBefore w:val="0"/>
                    <w:tabs>
                      <w:tab w:val="left" w:pos="0"/>
                      <w:tab w:val="left" w:pos="1260"/>
                    </w:tabs>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iCs/>
                      <w:color w:val="000000" w:themeColor="text1"/>
                      <w:sz w:val="21"/>
                      <w:szCs w:val="21"/>
                      <w14:textFill>
                        <w14:solidFill>
                          <w14:schemeClr w14:val="tx1"/>
                        </w14:solidFill>
                      </w14:textFill>
                    </w:rPr>
                  </w:pPr>
                  <w:r>
                    <w:rPr>
                      <w:rFonts w:hint="default" w:ascii="Times New Roman" w:hAnsi="Times New Roman" w:cs="Times New Roman"/>
                      <w:iCs/>
                      <w:color w:val="000000" w:themeColor="text1"/>
                      <w:sz w:val="21"/>
                      <w:szCs w:val="21"/>
                      <w14:textFill>
                        <w14:solidFill>
                          <w14:schemeClr w14:val="tx1"/>
                        </w14:solidFill>
                      </w14:textFill>
                    </w:rPr>
                    <w:t>生物质</w:t>
                  </w:r>
                </w:p>
              </w:tc>
              <w:tc>
                <w:tcPr>
                  <w:tcW w:w="703" w:type="pct"/>
                  <w:tcBorders>
                    <w:tl2br w:val="nil"/>
                    <w:tr2bl w:val="nil"/>
                  </w:tcBorders>
                  <w:noWrap w:val="0"/>
                  <w:vAlign w:val="center"/>
                </w:tcPr>
                <w:p w14:paraId="111E4E52">
                  <w:pPr>
                    <w:pStyle w:val="14"/>
                    <w:keepNext w:val="0"/>
                    <w:keepLines w:val="0"/>
                    <w:pageBreakBefore w:val="0"/>
                    <w:tabs>
                      <w:tab w:val="left" w:pos="0"/>
                      <w:tab w:val="left" w:pos="1260"/>
                    </w:tabs>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iCs/>
                      <w:color w:val="000000" w:themeColor="text1"/>
                      <w:sz w:val="21"/>
                      <w:szCs w:val="21"/>
                      <w14:textFill>
                        <w14:solidFill>
                          <w14:schemeClr w14:val="tx1"/>
                        </w14:solidFill>
                      </w14:textFill>
                    </w:rPr>
                  </w:pPr>
                  <w:r>
                    <w:rPr>
                      <w:rFonts w:hint="default" w:ascii="Times New Roman" w:hAnsi="Times New Roman" w:cs="Times New Roman"/>
                      <w:iCs/>
                      <w:color w:val="000000" w:themeColor="text1"/>
                      <w:sz w:val="21"/>
                      <w:szCs w:val="21"/>
                      <w14:textFill>
                        <w14:solidFill>
                          <w14:schemeClr w14:val="tx1"/>
                        </w14:solidFill>
                      </w14:textFill>
                    </w:rPr>
                    <w:t>全部类型锅炉（炉外水处理）</w:t>
                  </w:r>
                </w:p>
              </w:tc>
              <w:tc>
                <w:tcPr>
                  <w:tcW w:w="530" w:type="pct"/>
                  <w:tcBorders>
                    <w:tl2br w:val="nil"/>
                    <w:tr2bl w:val="nil"/>
                  </w:tcBorders>
                  <w:noWrap w:val="0"/>
                  <w:vAlign w:val="center"/>
                </w:tcPr>
                <w:p w14:paraId="1607CC33">
                  <w:pPr>
                    <w:pStyle w:val="14"/>
                    <w:keepNext w:val="0"/>
                    <w:keepLines w:val="0"/>
                    <w:pageBreakBefore w:val="0"/>
                    <w:tabs>
                      <w:tab w:val="left" w:pos="0"/>
                      <w:tab w:val="left" w:pos="1260"/>
                    </w:tabs>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iCs/>
                      <w:color w:val="000000" w:themeColor="text1"/>
                      <w:sz w:val="21"/>
                      <w:szCs w:val="21"/>
                      <w14:textFill>
                        <w14:solidFill>
                          <w14:schemeClr w14:val="tx1"/>
                        </w14:solidFill>
                      </w14:textFill>
                    </w:rPr>
                  </w:pPr>
                  <w:r>
                    <w:rPr>
                      <w:rFonts w:hint="default" w:ascii="Times New Roman" w:hAnsi="Times New Roman" w:cs="Times New Roman"/>
                      <w:iCs/>
                      <w:color w:val="000000" w:themeColor="text1"/>
                      <w:sz w:val="21"/>
                      <w:szCs w:val="21"/>
                      <w14:textFill>
                        <w14:solidFill>
                          <w14:schemeClr w14:val="tx1"/>
                        </w14:solidFill>
                      </w14:textFill>
                    </w:rPr>
                    <w:t>所有规模</w:t>
                  </w:r>
                </w:p>
              </w:tc>
              <w:tc>
                <w:tcPr>
                  <w:tcW w:w="911" w:type="pct"/>
                  <w:tcBorders>
                    <w:tl2br w:val="nil"/>
                    <w:tr2bl w:val="nil"/>
                  </w:tcBorders>
                  <w:noWrap w:val="0"/>
                  <w:vAlign w:val="center"/>
                </w:tcPr>
                <w:p w14:paraId="7A0E6CB0">
                  <w:pPr>
                    <w:pStyle w:val="14"/>
                    <w:keepNext w:val="0"/>
                    <w:keepLines w:val="0"/>
                    <w:pageBreakBefore w:val="0"/>
                    <w:tabs>
                      <w:tab w:val="left" w:pos="0"/>
                      <w:tab w:val="left" w:pos="1260"/>
                    </w:tabs>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iCs/>
                      <w:color w:val="000000" w:themeColor="text1"/>
                      <w:sz w:val="21"/>
                      <w:szCs w:val="21"/>
                      <w14:textFill>
                        <w14:solidFill>
                          <w14:schemeClr w14:val="tx1"/>
                        </w14:solidFill>
                      </w14:textFill>
                    </w:rPr>
                  </w:pPr>
                  <w:r>
                    <w:rPr>
                      <w:rFonts w:hint="default" w:ascii="Times New Roman" w:hAnsi="Times New Roman" w:cs="Times New Roman"/>
                      <w:iCs/>
                      <w:color w:val="000000" w:themeColor="text1"/>
                      <w:sz w:val="21"/>
                      <w:szCs w:val="21"/>
                      <w14:textFill>
                        <w14:solidFill>
                          <w14:schemeClr w14:val="tx1"/>
                        </w14:solidFill>
                      </w14:textFill>
                    </w:rPr>
                    <w:t>工业废水量</w:t>
                  </w:r>
                </w:p>
              </w:tc>
              <w:tc>
                <w:tcPr>
                  <w:tcW w:w="880" w:type="pct"/>
                  <w:tcBorders>
                    <w:tl2br w:val="nil"/>
                    <w:tr2bl w:val="nil"/>
                  </w:tcBorders>
                  <w:noWrap w:val="0"/>
                  <w:vAlign w:val="center"/>
                </w:tcPr>
                <w:p w14:paraId="6280FCD9">
                  <w:pPr>
                    <w:pStyle w:val="14"/>
                    <w:keepNext w:val="0"/>
                    <w:keepLines w:val="0"/>
                    <w:pageBreakBefore w:val="0"/>
                    <w:tabs>
                      <w:tab w:val="left" w:pos="0"/>
                      <w:tab w:val="left" w:pos="1260"/>
                    </w:tabs>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iCs/>
                      <w:color w:val="000000" w:themeColor="text1"/>
                      <w:sz w:val="21"/>
                      <w:szCs w:val="21"/>
                      <w14:textFill>
                        <w14:solidFill>
                          <w14:schemeClr w14:val="tx1"/>
                        </w14:solidFill>
                      </w14:textFill>
                    </w:rPr>
                  </w:pPr>
                  <w:r>
                    <w:rPr>
                      <w:rFonts w:hint="default" w:ascii="Times New Roman" w:hAnsi="Times New Roman" w:cs="Times New Roman"/>
                      <w:iCs/>
                      <w:color w:val="000000" w:themeColor="text1"/>
                      <w:sz w:val="21"/>
                      <w:szCs w:val="21"/>
                      <w14:textFill>
                        <w14:solidFill>
                          <w14:schemeClr w14:val="tx1"/>
                        </w14:solidFill>
                      </w14:textFill>
                    </w:rPr>
                    <w:t>吨/吨-原料</w:t>
                  </w:r>
                </w:p>
              </w:tc>
              <w:tc>
                <w:tcPr>
                  <w:tcW w:w="1046" w:type="pct"/>
                  <w:tcBorders>
                    <w:tl2br w:val="nil"/>
                    <w:tr2bl w:val="nil"/>
                  </w:tcBorders>
                  <w:noWrap w:val="0"/>
                  <w:vAlign w:val="center"/>
                </w:tcPr>
                <w:p w14:paraId="242D8081">
                  <w:pPr>
                    <w:pStyle w:val="14"/>
                    <w:keepNext w:val="0"/>
                    <w:keepLines w:val="0"/>
                    <w:pageBreakBefore w:val="0"/>
                    <w:tabs>
                      <w:tab w:val="left" w:pos="0"/>
                      <w:tab w:val="left" w:pos="1260"/>
                    </w:tabs>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iCs/>
                      <w:color w:val="000000" w:themeColor="text1"/>
                      <w:sz w:val="21"/>
                      <w:szCs w:val="21"/>
                      <w14:textFill>
                        <w14:solidFill>
                          <w14:schemeClr w14:val="tx1"/>
                        </w14:solidFill>
                      </w14:textFill>
                    </w:rPr>
                  </w:pPr>
                  <w:r>
                    <w:rPr>
                      <w:rFonts w:hint="default" w:ascii="Times New Roman" w:hAnsi="Times New Roman" w:cs="Times New Roman"/>
                      <w:iCs/>
                      <w:color w:val="000000" w:themeColor="text1"/>
                      <w:sz w:val="21"/>
                      <w:szCs w:val="21"/>
                      <w14:textFill>
                        <w14:solidFill>
                          <w14:schemeClr w14:val="tx1"/>
                        </w14:solidFill>
                      </w14:textFill>
                    </w:rPr>
                    <w:t>0.356</w:t>
                  </w:r>
                </w:p>
                <w:p w14:paraId="02BDA28F">
                  <w:pPr>
                    <w:pStyle w:val="129"/>
                    <w:keepNext w:val="0"/>
                    <w:keepLines w:val="0"/>
                    <w:pageBreakBefore w:val="0"/>
                    <w:kinsoku/>
                    <w:wordWrap/>
                    <w:overflowPunct/>
                    <w:topLinePunct w:val="0"/>
                    <w:autoSpaceDE/>
                    <w:autoSpaceDN/>
                    <w:bidi w:val="0"/>
                    <w:adjustRightInd/>
                    <w:snapToGrid/>
                    <w:spacing w:line="240" w:lineRule="auto"/>
                    <w:ind w:right="0"/>
                    <w:textAlignment w:val="auto"/>
                    <w:rPr>
                      <w:rFonts w:hint="default" w:ascii="Times New Roman" w:hAnsi="Times New Roman" w:cs="Times New Roman"/>
                      <w:i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（锅炉排污水0.259+软化处理废水（软水制备废水）0.097）</w:t>
                  </w:r>
                </w:p>
              </w:tc>
            </w:tr>
            <w:tr w14:paraId="5B7E7A4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5000" w:type="pct"/>
                  <w:gridSpan w:val="7"/>
                  <w:tcBorders>
                    <w:tl2br w:val="nil"/>
                    <w:tr2bl w:val="nil"/>
                  </w:tcBorders>
                  <w:noWrap w:val="0"/>
                  <w:vAlign w:val="center"/>
                </w:tcPr>
                <w:p w14:paraId="1001EA74">
                  <w:pPr>
                    <w:pStyle w:val="14"/>
                    <w:keepNext w:val="0"/>
                    <w:keepLines w:val="0"/>
                    <w:pageBreakBefore w:val="0"/>
                    <w:tabs>
                      <w:tab w:val="left" w:pos="0"/>
                      <w:tab w:val="left" w:pos="1260"/>
                    </w:tabs>
                    <w:kinsoku/>
                    <w:wordWrap/>
                    <w:overflowPunct/>
                    <w:topLinePunct w:val="0"/>
                    <w:autoSpaceDE/>
                    <w:autoSpaceDN/>
                    <w:bidi w:val="0"/>
                    <w:adjustRightInd/>
                    <w:snapToGrid/>
                    <w:spacing w:before="0" w:after="0" w:line="240" w:lineRule="auto"/>
                    <w:ind w:right="0"/>
                    <w:textAlignment w:val="auto"/>
                    <w:rPr>
                      <w:rFonts w:hint="default" w:ascii="Times New Roman" w:hAnsi="Times New Roman" w:cs="Times New Roman"/>
                      <w:i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注：①锅外水处理：又称为锅外化学水处理，是指对进入锅炉之前的给水预先进行的各种预处理及软化、除碱或除盐等处理（主要是包括沉淀软化和水的离子交换软化），使水质达到各种类型锅炉的要求，是锅炉水质处理的主要方式。在锅外水处理过程中，会产生软化处理废水（软水制备废水），同时锅炉运行过程中同样会产生锅炉排污水。因此对于锅外水处理的情况应同时考虑锅炉排污水和软化处理废水（软水制备废水）；表中锅外水处理系数包含锅炉排污水和软化处理废水（软水制备废水）两部分。</w:t>
                  </w:r>
                </w:p>
              </w:tc>
            </w:tr>
          </w:tbl>
          <w:p w14:paraId="1B1A9E23">
            <w:pPr>
              <w:pStyle w:val="51"/>
              <w:keepNext w:val="0"/>
              <w:pageBreakBefore w:val="0"/>
              <w:overflowPunct/>
              <w:topLinePunct w:val="0"/>
              <w:bidi w:val="0"/>
              <w:adjustRightInd/>
              <w:snapToGrid/>
              <w:ind w:firstLine="482"/>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本项目设置</w:t>
            </w:r>
            <w:r>
              <w:rPr>
                <w:rFonts w:hint="eastAsia" w:ascii="Times New Roman" w:hAnsi="Times New Roman" w:eastAsia="宋体"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lang w:val="en-US" w:eastAsia="zh-CN"/>
                <w14:textFill>
                  <w14:solidFill>
                    <w14:schemeClr w14:val="tx1"/>
                  </w14:solidFill>
                </w14:textFill>
              </w:rPr>
              <w:t>台</w:t>
            </w:r>
            <w:r>
              <w:rPr>
                <w:rFonts w:hint="eastAsia"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t/h生物质锅炉，锅炉年运行300天。</w:t>
            </w:r>
            <w:r>
              <w:rPr>
                <w:rFonts w:hint="default" w:ascii="Times New Roman" w:hAnsi="Times New Roman" w:eastAsia="宋体" w:cs="Times New Roman"/>
                <w:color w:val="000000" w:themeColor="text1"/>
                <w14:textFill>
                  <w14:solidFill>
                    <w14:schemeClr w14:val="tx1"/>
                  </w14:solidFill>
                </w14:textFill>
              </w:rPr>
              <w:t>根据生产要求，本项目锅炉补充用水均采用炉外制备的软水。</w:t>
            </w:r>
            <w:r>
              <w:rPr>
                <w:rFonts w:hint="default" w:ascii="Times New Roman" w:hAnsi="Times New Roman" w:eastAsia="宋体" w:cs="Times New Roman"/>
                <w:color w:val="000000" w:themeColor="text1"/>
                <w:sz w:val="24"/>
                <w:lang w:val="en-US" w:eastAsia="zh-CN"/>
                <w14:textFill>
                  <w14:solidFill>
                    <w14:schemeClr w14:val="tx1"/>
                  </w14:solidFill>
                </w14:textFill>
              </w:rPr>
              <w:t>根据</w:t>
            </w:r>
            <w:r>
              <w:rPr>
                <w:rFonts w:hint="eastAsia" w:ascii="Times New Roman" w:hAnsi="Times New Roman" w:eastAsia="宋体" w:cs="Times New Roman"/>
                <w:color w:val="000000" w:themeColor="text1"/>
                <w:sz w:val="24"/>
                <w:lang w:val="en-US" w:eastAsia="zh-CN"/>
                <w14:textFill>
                  <w14:solidFill>
                    <w14:schemeClr w14:val="tx1"/>
                  </w14:solidFill>
                </w14:textFill>
              </w:rPr>
              <w:t>工程分析可知，</w:t>
            </w:r>
            <w:r>
              <w:rPr>
                <w:rFonts w:hint="default" w:ascii="Times New Roman" w:hAnsi="Times New Roman" w:eastAsia="宋体" w:cs="Times New Roman"/>
                <w:color w:val="000000" w:themeColor="text1"/>
                <w14:textFill>
                  <w14:solidFill>
                    <w14:schemeClr w14:val="tx1"/>
                  </w14:solidFill>
                </w14:textFill>
              </w:rPr>
              <w:t>项目生物质锅炉生物质用量为</w:t>
            </w:r>
            <w:r>
              <w:rPr>
                <w:rFonts w:hint="eastAsia" w:cs="Times New Roman"/>
                <w:b w:val="0"/>
                <w:bCs w:val="0"/>
                <w:color w:val="000000" w:themeColor="text1"/>
                <w:sz w:val="24"/>
                <w:lang w:val="en-US" w:eastAsia="zh-CN"/>
                <w14:textFill>
                  <w14:solidFill>
                    <w14:schemeClr w14:val="tx1"/>
                  </w14:solidFill>
                </w14:textFill>
              </w:rPr>
              <w:t>871.435</w:t>
            </w:r>
            <w:r>
              <w:rPr>
                <w:rFonts w:hint="default" w:ascii="Times New Roman" w:hAnsi="Times New Roman" w:eastAsia="宋体" w:cs="Times New Roman"/>
                <w:color w:val="000000" w:themeColor="text1"/>
                <w14:textFill>
                  <w14:solidFill>
                    <w14:schemeClr w14:val="tx1"/>
                  </w14:solidFill>
                </w14:textFill>
              </w:rPr>
              <w:t>t/a</w:t>
            </w:r>
            <w:r>
              <w:rPr>
                <w:rFonts w:hint="eastAsia" w:ascii="Times New Roman" w:hAnsi="Times New Roman" w:eastAsia="宋体" w:cs="Times New Roman"/>
                <w:color w:val="000000" w:themeColor="text1"/>
                <w:lang w:eastAsia="zh-CN"/>
                <w14:textFill>
                  <w14:solidFill>
                    <w14:schemeClr w14:val="tx1"/>
                  </w14:solidFill>
                </w14:textFill>
              </w:rPr>
              <w:t>。</w:t>
            </w:r>
          </w:p>
          <w:p w14:paraId="603E6AF3">
            <w:pPr>
              <w:pStyle w:val="51"/>
              <w:keepNext w:val="0"/>
              <w:pageBreakBefore w:val="0"/>
              <w:overflowPunct/>
              <w:topLinePunct w:val="0"/>
              <w:bidi w:val="0"/>
              <w:adjustRightInd/>
              <w:snapToGrid/>
              <w:ind w:firstLine="480"/>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根据上表计算可知</w:t>
            </w:r>
            <w:r>
              <w:rPr>
                <w:rFonts w:hint="default" w:ascii="Times New Roman" w:hAnsi="Times New Roman" w:cs="Times New Roman"/>
                <w:color w:val="000000" w:themeColor="text1"/>
                <w:sz w:val="24"/>
                <w:szCs w:val="24"/>
                <w:lang w:eastAsia="zh-CN"/>
                <w14:textFill>
                  <w14:solidFill>
                    <w14:schemeClr w14:val="tx1"/>
                  </w14:solidFill>
                </w14:textFill>
              </w:rPr>
              <w:t>生产废水产生量为</w:t>
            </w:r>
            <w:r>
              <w:rPr>
                <w:rFonts w:hint="eastAsia" w:cs="Times New Roman"/>
                <w:color w:val="000000" w:themeColor="text1"/>
                <w:sz w:val="24"/>
                <w:szCs w:val="24"/>
                <w:lang w:val="en-US" w:eastAsia="zh-CN"/>
                <w14:textFill>
                  <w14:solidFill>
                    <w14:schemeClr w14:val="tx1"/>
                  </w14:solidFill>
                </w14:textFill>
              </w:rPr>
              <w:t>310.23</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a</w:t>
            </w:r>
            <w:r>
              <w:rPr>
                <w:rFonts w:hint="default" w:ascii="Times New Roman" w:hAnsi="Times New Roman"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1.034</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/d。</w:t>
            </w:r>
            <w:r>
              <w:rPr>
                <w:rFonts w:hint="default" w:ascii="Times New Roman" w:hAnsi="Times New Roman" w:cs="Times New Roman"/>
                <w:color w:val="000000" w:themeColor="text1"/>
                <w:sz w:val="24"/>
                <w:szCs w:val="24"/>
                <w14:textFill>
                  <w14:solidFill>
                    <w14:schemeClr w14:val="tx1"/>
                  </w14:solidFill>
                </w14:textFill>
              </w:rPr>
              <w:t>则锅炉排污水</w:t>
            </w:r>
            <w:r>
              <w:rPr>
                <w:rFonts w:hint="eastAsia" w:cs="Times New Roman"/>
                <w:color w:val="000000" w:themeColor="text1"/>
                <w:sz w:val="24"/>
                <w:szCs w:val="24"/>
                <w:lang w:val="en-US" w:eastAsia="zh-CN"/>
                <w14:textFill>
                  <w14:solidFill>
                    <w14:schemeClr w14:val="tx1"/>
                  </w14:solidFill>
                </w14:textFill>
              </w:rPr>
              <w:t>225.7</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a，</w:t>
            </w:r>
            <w:r>
              <w:rPr>
                <w:rFonts w:hint="eastAsia" w:cs="Times New Roman"/>
                <w:color w:val="000000" w:themeColor="text1"/>
                <w:sz w:val="24"/>
                <w:szCs w:val="24"/>
                <w:lang w:val="en-US" w:eastAsia="zh-CN"/>
                <w14:textFill>
                  <w14:solidFill>
                    <w14:schemeClr w14:val="tx1"/>
                  </w14:solidFill>
                </w14:textFill>
              </w:rPr>
              <w:t>0.752</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/d</w:t>
            </w:r>
            <w:r>
              <w:rPr>
                <w:rFonts w:hint="default" w:ascii="Times New Roman" w:hAnsi="Times New Roman" w:cs="Times New Roman"/>
                <w:color w:val="000000" w:themeColor="text1"/>
                <w:sz w:val="24"/>
                <w:szCs w:val="24"/>
                <w14:textFill>
                  <w14:solidFill>
                    <w14:schemeClr w14:val="tx1"/>
                  </w14:solidFill>
                </w14:textFill>
              </w:rPr>
              <w:t>，软水制备废水量为</w:t>
            </w:r>
            <w:r>
              <w:rPr>
                <w:rFonts w:hint="eastAsia" w:cs="Times New Roman"/>
                <w:color w:val="000000" w:themeColor="text1"/>
                <w:sz w:val="24"/>
                <w:szCs w:val="24"/>
                <w:lang w:val="en-US" w:eastAsia="zh-CN"/>
                <w14:textFill>
                  <w14:solidFill>
                    <w14:schemeClr w14:val="tx1"/>
                  </w14:solidFill>
                </w14:textFill>
              </w:rPr>
              <w:t>84.53</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a，0.</w:t>
            </w:r>
            <w:r>
              <w:rPr>
                <w:rFonts w:hint="eastAsia" w:cs="Times New Roman"/>
                <w:color w:val="000000" w:themeColor="text1"/>
                <w:sz w:val="24"/>
                <w:szCs w:val="24"/>
                <w:lang w:val="en-US" w:eastAsia="zh-CN"/>
                <w14:textFill>
                  <w14:solidFill>
                    <w14:schemeClr w14:val="tx1"/>
                  </w14:solidFill>
                </w14:textFill>
              </w:rPr>
              <w:t>282</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/d。</w:t>
            </w:r>
          </w:p>
          <w:p w14:paraId="49C937F6">
            <w:pPr>
              <w:pStyle w:val="51"/>
              <w:keepNext w:val="0"/>
              <w:pageBreakBefore w:val="0"/>
              <w:overflowPunct/>
              <w:topLinePunct w:val="0"/>
              <w:bidi w:val="0"/>
              <w:adjustRightInd/>
              <w:snapToGrid/>
              <w:ind w:firstLine="482"/>
              <w:rPr>
                <w:rFonts w:hint="eastAsia"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本环评要求设置1个约</w:t>
            </w:r>
            <w:r>
              <w:rPr>
                <w:rFonts w:hint="eastAsia" w:cs="Times New Roman"/>
                <w:b w:val="0"/>
                <w:bCs w:val="0"/>
                <w:color w:val="000000" w:themeColor="text1"/>
                <w:lang w:val="en-US" w:eastAsia="zh-CN"/>
                <w14:textFill>
                  <w14:solidFill>
                    <w14:schemeClr w14:val="tx1"/>
                  </w14:solidFill>
                </w14:textFill>
              </w:rPr>
              <w:t>6</w:t>
            </w:r>
            <w:r>
              <w:rPr>
                <w:rFonts w:hint="eastAsia" w:ascii="Times New Roman" w:hAnsi="Times New Roman" w:eastAsia="宋体" w:cs="Times New Roman"/>
                <w:b w:val="0"/>
                <w:bCs w:val="0"/>
                <w:color w:val="000000" w:themeColor="text1"/>
                <w:lang w:val="en-US" w:eastAsia="zh-CN"/>
                <w14:textFill>
                  <w14:solidFill>
                    <w14:schemeClr w14:val="tx1"/>
                  </w14:solidFill>
                </w14:textFill>
              </w:rPr>
              <w:t>m</w:t>
            </w:r>
            <w:r>
              <w:rPr>
                <w:rFonts w:hint="eastAsia" w:ascii="Times New Roman" w:hAnsi="Times New Roman" w:eastAsia="宋体" w:cs="Times New Roman"/>
                <w:b w:val="0"/>
                <w:bCs w:val="0"/>
                <w:color w:val="000000" w:themeColor="text1"/>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lang w:val="en-US" w:eastAsia="zh-CN"/>
                <w14:textFill>
                  <w14:solidFill>
                    <w14:schemeClr w14:val="tx1"/>
                  </w14:solidFill>
                </w14:textFill>
              </w:rPr>
              <w:t>废水收集池，</w:t>
            </w:r>
            <w:r>
              <w:rPr>
                <w:rFonts w:hint="eastAsia" w:cs="Times New Roman"/>
                <w:color w:val="000000" w:themeColor="text1"/>
                <w:sz w:val="24"/>
                <w:lang w:val="en-US" w:eastAsia="zh-CN"/>
                <w14:textFill>
                  <w14:solidFill>
                    <w14:schemeClr w14:val="tx1"/>
                  </w14:solidFill>
                </w14:textFill>
              </w:rPr>
              <w:t>本项目生产废水经收集后通过投加PAC进行处理</w:t>
            </w:r>
            <w:r>
              <w:rPr>
                <w:rFonts w:hint="eastAsia" w:ascii="Times New Roman" w:hAnsi="Times New Roman" w:eastAsia="宋体" w:cs="Times New Roman"/>
                <w:b w:val="0"/>
                <w:bCs w:val="0"/>
                <w:color w:val="000000" w:themeColor="text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lang w:val="en-US" w:eastAsia="zh-CN"/>
                <w14:textFill>
                  <w14:solidFill>
                    <w14:schemeClr w14:val="tx1"/>
                  </w14:solidFill>
                </w14:textFill>
              </w:rPr>
              <w:t>晴天回用于厂区洒水降尘，雨天暂存于废水收集池，</w:t>
            </w:r>
            <w:r>
              <w:rPr>
                <w:rFonts w:hint="eastAsia" w:ascii="Times New Roman" w:hAnsi="Times New Roman" w:eastAsia="宋体" w:cs="Times New Roman"/>
                <w:b w:val="0"/>
                <w:bCs w:val="0"/>
                <w:color w:val="000000" w:themeColor="text1"/>
                <w:lang w:val="en-US" w:eastAsia="zh-CN"/>
                <w14:textFill>
                  <w14:solidFill>
                    <w14:schemeClr w14:val="tx1"/>
                  </w14:solidFill>
                </w14:textFill>
              </w:rPr>
              <w:t>留待晴天使用，不外排。</w:t>
            </w:r>
          </w:p>
          <w:p w14:paraId="132D383D">
            <w:pPr>
              <w:keepNext w:val="0"/>
              <w:pageBreakBefore w:val="0"/>
              <w:widowControl w:val="0"/>
              <w:kinsoku/>
              <w:wordWrap w:val="0"/>
              <w:overflowPunct/>
              <w:topLinePunct/>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蒸汽在输送过程中会因冷凝、接口泄漏产生一定的损耗量，管道损失按蒸发量的</w:t>
            </w:r>
            <w:r>
              <w:rPr>
                <w:rFonts w:hint="eastAsia" w:ascii="Times New Roman" w:hAnsi="Times New Roman" w:eastAsia="宋体"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%计</w:t>
            </w:r>
            <w:r>
              <w:rPr>
                <w:rFonts w:hint="eastAsia" w:ascii="Times New Roman" w:hAnsi="Times New Roman" w:eastAsia="宋体" w:cs="Times New Roman"/>
                <w:color w:val="000000" w:themeColor="text1"/>
                <w:sz w:val="24"/>
                <w:lang w:val="en-US" w:eastAsia="zh-CN"/>
                <w14:textFill>
                  <w14:solidFill>
                    <w14:schemeClr w14:val="tx1"/>
                  </w14:solidFill>
                </w14:textFill>
              </w:rPr>
              <w:t>损失量约为0.</w:t>
            </w:r>
            <w:r>
              <w:rPr>
                <w:rFonts w:hint="eastAsia" w:cs="Times New Roman"/>
                <w:color w:val="000000" w:themeColor="text1"/>
                <w:sz w:val="24"/>
                <w:lang w:val="en-US" w:eastAsia="zh-CN"/>
                <w14:textFill>
                  <w14:solidFill>
                    <w14:schemeClr w14:val="tx1"/>
                  </w14:solidFill>
                </w14:textFill>
              </w:rPr>
              <w:t>48</w:t>
            </w:r>
            <w:r>
              <w:rPr>
                <w:rFonts w:hint="eastAsia" w:ascii="Times New Roman" w:hAnsi="Times New Roman" w:eastAsia="宋体" w:cs="Times New Roman"/>
                <w:color w:val="000000" w:themeColor="text1"/>
                <w:sz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/d</w:t>
            </w:r>
            <w:r>
              <w:rPr>
                <w:rFonts w:hint="eastAsia" w:ascii="Times New Roman" w:hAnsi="Times New Roman" w:cs="Times New Roman"/>
                <w:color w:val="000000" w:themeColor="text1"/>
                <w:sz w:val="24"/>
                <w:lang w:val="en-US" w:eastAsia="zh-CN"/>
                <w14:textFill>
                  <w14:solidFill>
                    <w14:schemeClr w14:val="tx1"/>
                  </w14:solidFill>
                </w14:textFill>
              </w:rPr>
              <w:t>。</w:t>
            </w:r>
          </w:p>
          <w:p w14:paraId="086B5BE1">
            <w:pPr>
              <w:keepNext w:val="0"/>
              <w:pageBreakBefore w:val="0"/>
              <w:widowControl w:val="0"/>
              <w:kinsoku/>
              <w:wordWrap w:val="0"/>
              <w:overflowPunct/>
              <w:topLinePunct/>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根据建设单位提供资料，蒸汽约供给发泡环节约</w:t>
            </w:r>
            <w:r>
              <w:rPr>
                <w:rFonts w:hint="eastAsia" w:cs="Times New Roman"/>
                <w:color w:val="000000" w:themeColor="text1"/>
                <w:sz w:val="24"/>
                <w:lang w:val="en-US" w:eastAsia="zh-CN"/>
                <w14:textFill>
                  <w14:solidFill>
                    <w14:schemeClr w14:val="tx1"/>
                  </w14:solidFill>
                </w14:textFill>
              </w:rPr>
              <w:t>8</w:t>
            </w:r>
            <w:r>
              <w:rPr>
                <w:rFonts w:hint="eastAsia" w:ascii="Times New Roman" w:hAnsi="Times New Roman" w:cs="Times New Roman"/>
                <w:color w:val="000000" w:themeColor="text1"/>
                <w:sz w:val="24"/>
                <w:lang w:val="en-US" w:eastAsia="zh-CN"/>
                <w14:textFill>
                  <w14:solidFill>
                    <w14:schemeClr w14:val="tx1"/>
                  </w14:solidFill>
                </w14:textFill>
              </w:rPr>
              <w:t>t/d，流化床干燥环节</w:t>
            </w:r>
            <w:r>
              <w:rPr>
                <w:rFonts w:hint="eastAsia" w:cs="Times New Roman"/>
                <w:color w:val="000000" w:themeColor="text1"/>
                <w:sz w:val="24"/>
                <w:lang w:val="en-US" w:eastAsia="zh-CN"/>
                <w14:textFill>
                  <w14:solidFill>
                    <w14:schemeClr w14:val="tx1"/>
                  </w14:solidFill>
                </w14:textFill>
              </w:rPr>
              <w:t>1</w:t>
            </w:r>
            <w:r>
              <w:rPr>
                <w:rFonts w:hint="eastAsia" w:ascii="Times New Roman" w:hAnsi="Times New Roman" w:cs="Times New Roman"/>
                <w:color w:val="000000" w:themeColor="text1"/>
                <w:sz w:val="24"/>
                <w:lang w:val="en-US" w:eastAsia="zh-CN"/>
                <w14:textFill>
                  <w14:solidFill>
                    <w14:schemeClr w14:val="tx1"/>
                  </w14:solidFill>
                </w14:textFill>
              </w:rPr>
              <w:t>t/d，压模环节</w:t>
            </w:r>
            <w:r>
              <w:rPr>
                <w:rFonts w:hint="eastAsia" w:cs="Times New Roman"/>
                <w:color w:val="000000" w:themeColor="text1"/>
                <w:sz w:val="24"/>
                <w:lang w:val="en-US" w:eastAsia="zh-CN"/>
                <w14:textFill>
                  <w14:solidFill>
                    <w14:schemeClr w14:val="tx1"/>
                  </w14:solidFill>
                </w14:textFill>
              </w:rPr>
              <w:t>4.52</w:t>
            </w:r>
            <w:r>
              <w:rPr>
                <w:rFonts w:hint="eastAsia" w:ascii="Times New Roman" w:hAnsi="Times New Roman" w:cs="Times New Roman"/>
                <w:color w:val="000000" w:themeColor="text1"/>
                <w:sz w:val="24"/>
                <w:lang w:val="en-US" w:eastAsia="zh-CN"/>
                <w14:textFill>
                  <w14:solidFill>
                    <w14:schemeClr w14:val="tx1"/>
                  </w14:solidFill>
                </w14:textFill>
              </w:rPr>
              <w:t>t/d，烘干环节</w:t>
            </w:r>
            <w:r>
              <w:rPr>
                <w:rFonts w:hint="eastAsia" w:cs="Times New Roman"/>
                <w:color w:val="000000" w:themeColor="text1"/>
                <w:sz w:val="24"/>
                <w:lang w:val="en-US" w:eastAsia="zh-CN"/>
                <w14:textFill>
                  <w14:solidFill>
                    <w14:schemeClr w14:val="tx1"/>
                  </w14:solidFill>
                </w14:textFill>
              </w:rPr>
              <w:t>2</w:t>
            </w:r>
            <w:r>
              <w:rPr>
                <w:rFonts w:hint="eastAsia" w:ascii="Times New Roman" w:hAnsi="Times New Roman" w:cs="Times New Roman"/>
                <w:color w:val="000000" w:themeColor="text1"/>
                <w:sz w:val="24"/>
                <w:lang w:val="en-US" w:eastAsia="zh-CN"/>
                <w14:textFill>
                  <w14:solidFill>
                    <w14:schemeClr w14:val="tx1"/>
                  </w14:solidFill>
                </w14:textFill>
              </w:rPr>
              <w:t>t/d。</w:t>
            </w:r>
          </w:p>
          <w:p w14:paraId="09CEC70E">
            <w:pPr>
              <w:keepNext w:val="0"/>
              <w:pageBreakBefore w:val="0"/>
              <w:widowControl w:val="0"/>
              <w:kinsoku/>
              <w:wordWrap w:val="0"/>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流化床干燥环节、烘干房烘干环节蒸汽自然蒸发。</w:t>
            </w:r>
          </w:p>
          <w:p w14:paraId="5AFB6A7D">
            <w:pPr>
              <w:keepNext w:val="0"/>
              <w:pageBreakBefore w:val="0"/>
              <w:widowControl w:val="0"/>
              <w:kinsoku/>
              <w:wordWrap w:val="0"/>
              <w:overflowPunct/>
              <w:topLinePunct/>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发泡工序的水蒸气10%蒸发损耗</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损耗</w:t>
            </w:r>
            <w:r>
              <w:rPr>
                <w:rFonts w:hint="eastAsia" w:ascii="Times New Roman" w:hAnsi="Times New Roman" w:eastAsia="宋体" w:cs="Times New Roman"/>
                <w:color w:val="000000" w:themeColor="text1"/>
                <w:sz w:val="24"/>
                <w:lang w:val="en-US" w:eastAsia="zh-CN"/>
                <w14:textFill>
                  <w14:solidFill>
                    <w14:schemeClr w14:val="tx1"/>
                  </w14:solidFill>
                </w14:textFill>
              </w:rPr>
              <w:t>量约为</w:t>
            </w:r>
            <w:r>
              <w:rPr>
                <w:rFonts w:hint="eastAsia" w:cs="Times New Roman"/>
                <w:color w:val="000000" w:themeColor="text1"/>
                <w:sz w:val="24"/>
                <w:lang w:val="en-US" w:eastAsia="zh-CN"/>
                <w14:textFill>
                  <w14:solidFill>
                    <w14:schemeClr w14:val="tx1"/>
                  </w14:solidFill>
                </w14:textFill>
              </w:rPr>
              <w:t>0.8</w:t>
            </w:r>
            <w:r>
              <w:rPr>
                <w:rFonts w:hint="eastAsia" w:ascii="Times New Roman" w:hAnsi="Times New Roman" w:eastAsia="宋体" w:cs="Times New Roman"/>
                <w:color w:val="000000" w:themeColor="text1"/>
                <w:sz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/d</w:t>
            </w:r>
            <w:r>
              <w:rPr>
                <w:rFonts w:hint="default" w:ascii="Times New Roman" w:hAnsi="Times New Roman" w:eastAsia="宋体" w:cs="Times New Roman"/>
                <w:color w:val="000000" w:themeColor="text1"/>
                <w:sz w:val="24"/>
                <w:lang w:val="en-US" w:eastAsia="zh-CN"/>
                <w14:textFill>
                  <w14:solidFill>
                    <w14:schemeClr w14:val="tx1"/>
                  </w14:solidFill>
                </w14:textFill>
              </w:rPr>
              <w:t>，其余部分</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7.2</w:t>
            </w:r>
            <w:r>
              <w:rPr>
                <w:rFonts w:hint="eastAsia" w:ascii="Times New Roman" w:hAnsi="Times New Roman" w:eastAsia="宋体" w:cs="Times New Roman"/>
                <w:color w:val="000000" w:themeColor="text1"/>
                <w:sz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/d</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冷凝后形成冷凝水排出</w:t>
            </w:r>
            <w:r>
              <w:rPr>
                <w:rFonts w:hint="eastAsia" w:ascii="Times New Roman" w:hAnsi="Times New Roman" w:cs="Times New Roman"/>
                <w:color w:val="000000" w:themeColor="text1"/>
                <w:sz w:val="24"/>
                <w:lang w:val="en-US" w:eastAsia="zh-CN"/>
                <w14:textFill>
                  <w14:solidFill>
                    <w14:schemeClr w14:val="tx1"/>
                  </w14:solidFill>
                </w14:textFill>
              </w:rPr>
              <w:t>，进入循环池，用于锅炉补水。</w:t>
            </w:r>
          </w:p>
          <w:p w14:paraId="56B57ABE">
            <w:pPr>
              <w:keepNext w:val="0"/>
              <w:pageBreakBefore w:val="0"/>
              <w:widowControl w:val="0"/>
              <w:kinsoku/>
              <w:wordWrap w:val="0"/>
              <w:overflowPunct/>
              <w:topLinePunct/>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压模环节蒸汽加热成型后多余蒸汽排出，该工序</w:t>
            </w:r>
            <w:r>
              <w:rPr>
                <w:rFonts w:hint="default" w:ascii="Times New Roman" w:hAnsi="Times New Roman" w:eastAsia="宋体" w:cs="Times New Roman"/>
                <w:color w:val="000000" w:themeColor="text1"/>
                <w:sz w:val="24"/>
                <w:lang w:val="en-US" w:eastAsia="zh-CN"/>
                <w14:textFill>
                  <w14:solidFill>
                    <w14:schemeClr w14:val="tx1"/>
                  </w14:solidFill>
                </w14:textFill>
              </w:rPr>
              <w:t>水蒸气</w:t>
            </w:r>
            <w:r>
              <w:rPr>
                <w:rFonts w:hint="eastAsia" w:ascii="Times New Roman" w:hAnsi="Times New Roman" w:eastAsia="宋体" w:cs="Times New Roman"/>
                <w:color w:val="000000" w:themeColor="text1"/>
                <w:sz w:val="24"/>
                <w:lang w:val="en-US" w:eastAsia="zh-CN"/>
                <w14:textFill>
                  <w14:solidFill>
                    <w14:schemeClr w14:val="tx1"/>
                  </w14:solidFill>
                </w14:textFill>
              </w:rPr>
              <w:t>90</w:t>
            </w:r>
            <w:r>
              <w:rPr>
                <w:rFonts w:hint="default" w:ascii="Times New Roman" w:hAnsi="Times New Roman" w:eastAsia="宋体" w:cs="Times New Roman"/>
                <w:color w:val="000000" w:themeColor="text1"/>
                <w:sz w:val="24"/>
                <w:lang w:val="en-US" w:eastAsia="zh-CN"/>
                <w14:textFill>
                  <w14:solidFill>
                    <w14:schemeClr w14:val="tx1"/>
                  </w14:solidFill>
                </w14:textFill>
              </w:rPr>
              <w:t>%蒸发损耗</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损耗</w:t>
            </w:r>
            <w:r>
              <w:rPr>
                <w:rFonts w:hint="eastAsia" w:ascii="Times New Roman" w:hAnsi="Times New Roman" w:eastAsia="宋体" w:cs="Times New Roman"/>
                <w:color w:val="000000" w:themeColor="text1"/>
                <w:sz w:val="24"/>
                <w:lang w:val="en-US" w:eastAsia="zh-CN"/>
                <w14:textFill>
                  <w14:solidFill>
                    <w14:schemeClr w14:val="tx1"/>
                  </w14:solidFill>
                </w14:textFill>
              </w:rPr>
              <w:t>量约为</w:t>
            </w:r>
            <w:r>
              <w:rPr>
                <w:rFonts w:hint="eastAsia" w:cs="Times New Roman"/>
                <w:color w:val="000000" w:themeColor="text1"/>
                <w:sz w:val="24"/>
                <w:lang w:val="en-US" w:eastAsia="zh-CN"/>
                <w14:textFill>
                  <w14:solidFill>
                    <w14:schemeClr w14:val="tx1"/>
                  </w14:solidFill>
                </w14:textFill>
              </w:rPr>
              <w:t>4.068</w:t>
            </w:r>
            <w:r>
              <w:rPr>
                <w:rFonts w:hint="eastAsia" w:ascii="Times New Roman" w:hAnsi="Times New Roman" w:eastAsia="宋体" w:cs="Times New Roman"/>
                <w:color w:val="000000" w:themeColor="text1"/>
                <w:sz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/d</w:t>
            </w:r>
            <w:r>
              <w:rPr>
                <w:rFonts w:hint="default" w:ascii="Times New Roman" w:hAnsi="Times New Roman" w:eastAsia="宋体" w:cs="Times New Roman"/>
                <w:color w:val="000000" w:themeColor="text1"/>
                <w:sz w:val="24"/>
                <w:lang w:val="en-US" w:eastAsia="zh-CN"/>
                <w14:textFill>
                  <w14:solidFill>
                    <w14:schemeClr w14:val="tx1"/>
                  </w14:solidFill>
                </w14:textFill>
              </w:rPr>
              <w:t>，其余部分</w:t>
            </w:r>
            <w:r>
              <w:rPr>
                <w:rFonts w:hint="eastAsia" w:ascii="Times New Roman" w:hAnsi="Times New Roman" w:cs="Times New Roman"/>
                <w:color w:val="000000" w:themeColor="text1"/>
                <w:sz w:val="24"/>
                <w:lang w:val="en-US" w:eastAsia="zh-CN"/>
                <w14:textFill>
                  <w14:solidFill>
                    <w14:schemeClr w14:val="tx1"/>
                  </w14:solidFill>
                </w14:textFill>
              </w:rPr>
              <w:t>（0.</w:t>
            </w:r>
            <w:r>
              <w:rPr>
                <w:rFonts w:hint="eastAsia" w:cs="Times New Roman"/>
                <w:color w:val="000000" w:themeColor="text1"/>
                <w:sz w:val="24"/>
                <w:lang w:val="en-US" w:eastAsia="zh-CN"/>
                <w14:textFill>
                  <w14:solidFill>
                    <w14:schemeClr w14:val="tx1"/>
                  </w14:solidFill>
                </w14:textFill>
              </w:rPr>
              <w:t>452</w:t>
            </w:r>
            <w:r>
              <w:rPr>
                <w:rFonts w:hint="eastAsia" w:ascii="Times New Roman" w:hAnsi="Times New Roman" w:eastAsia="宋体" w:cs="Times New Roman"/>
                <w:color w:val="000000" w:themeColor="text1"/>
                <w:sz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/d</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蒸汽</w:t>
            </w:r>
            <w:r>
              <w:rPr>
                <w:rFonts w:hint="default" w:ascii="Times New Roman" w:hAnsi="Times New Roman" w:eastAsia="宋体" w:cs="Times New Roman"/>
                <w:color w:val="000000" w:themeColor="text1"/>
                <w:sz w:val="24"/>
                <w:lang w:val="en-US" w:eastAsia="zh-CN"/>
                <w14:textFill>
                  <w14:solidFill>
                    <w14:schemeClr w14:val="tx1"/>
                  </w14:solidFill>
                </w14:textFill>
              </w:rPr>
              <w:t>排出</w:t>
            </w:r>
            <w:r>
              <w:rPr>
                <w:rFonts w:hint="eastAsia" w:ascii="Times New Roman" w:hAnsi="Times New Roman" w:eastAsia="宋体" w:cs="Times New Roman"/>
                <w:color w:val="000000" w:themeColor="text1"/>
                <w:sz w:val="24"/>
                <w:lang w:val="en-US" w:eastAsia="zh-CN"/>
                <w14:textFill>
                  <w14:solidFill>
                    <w14:schemeClr w14:val="tx1"/>
                  </w14:solidFill>
                </w14:textFill>
              </w:rPr>
              <w:t>，进入压模废水收集池，自然蒸发</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本环评提出</w:t>
            </w:r>
            <w:r>
              <w:rPr>
                <w:rFonts w:hint="eastAsia" w:ascii="Times New Roman" w:hAnsi="Times New Roman" w:eastAsia="宋体" w:cs="Times New Roman"/>
                <w:color w:val="000000" w:themeColor="text1"/>
                <w:sz w:val="24"/>
                <w:lang w:val="en-US" w:eastAsia="zh-CN"/>
                <w14:textFill>
                  <w14:solidFill>
                    <w14:schemeClr w14:val="tx1"/>
                  </w14:solidFill>
                </w14:textFill>
              </w:rPr>
              <w:t>，若蒸发不完则用于厂区洒水降尘，不外排</w:t>
            </w:r>
            <w:r>
              <w:rPr>
                <w:rFonts w:hint="eastAsia" w:ascii="Times New Roman" w:hAnsi="Times New Roman" w:cs="Times New Roman"/>
                <w:color w:val="000000" w:themeColor="text1"/>
                <w:sz w:val="24"/>
                <w:lang w:val="en-US" w:eastAsia="zh-CN"/>
                <w14:textFill>
                  <w14:solidFill>
                    <w14:schemeClr w14:val="tx1"/>
                  </w14:solidFill>
                </w14:textFill>
              </w:rPr>
              <w:t>。</w:t>
            </w:r>
          </w:p>
          <w:p w14:paraId="2CFDF49C">
            <w:pPr>
              <w:keepNext w:val="0"/>
              <w:pageBreakBefore w:val="0"/>
              <w:widowControl w:val="0"/>
              <w:kinsoku/>
              <w:wordWrap w:val="0"/>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蒸汽加热方式根据工艺流程简述，</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发泡</w:t>
            </w:r>
            <w:r>
              <w:rPr>
                <w:rFonts w:hint="eastAsia" w:cs="Times New Roman" w:eastAsiaTheme="minorEastAsia"/>
                <w:b w:val="0"/>
                <w:bCs w:val="0"/>
                <w:color w:val="000000" w:themeColor="text1"/>
                <w:sz w:val="24"/>
                <w:szCs w:val="24"/>
                <w:lang w:eastAsia="zh-CN"/>
                <w14:textFill>
                  <w14:solidFill>
                    <w14:schemeClr w14:val="tx1"/>
                  </w14:solidFill>
                </w14:textFill>
              </w:rPr>
              <w:t>工序、</w:t>
            </w:r>
            <w:r>
              <w:rPr>
                <w:rFonts w:hint="eastAsia" w:cs="Times New Roman"/>
                <w:color w:val="000000" w:themeColor="text1"/>
                <w:sz w:val="24"/>
                <w:szCs w:val="24"/>
                <w:lang w:val="en-US" w:eastAsia="zh-CN"/>
                <w14:textFill>
                  <w14:solidFill>
                    <w14:schemeClr w14:val="tx1"/>
                  </w14:solidFill>
                </w14:textFill>
              </w:rPr>
              <w:t>流化干燥工序、烘干工序蒸汽为间接加热，压模环节蒸汽为直接加热。</w:t>
            </w:r>
          </w:p>
          <w:p w14:paraId="471FABFD">
            <w:pPr>
              <w:pStyle w:val="51"/>
              <w:keepNext w:val="0"/>
              <w:pageBreakBefore w:val="0"/>
              <w:widowControl w:val="0"/>
              <w:kinsoku/>
              <w:overflowPunct/>
              <w:autoSpaceDE/>
              <w:autoSpaceDN/>
              <w:bidi w:val="0"/>
              <w:adjustRightInd/>
              <w:snapToGrid/>
              <w:ind w:firstLine="480"/>
              <w:textAlignment w:val="auto"/>
              <w:rPr>
                <w:rFonts w:hint="eastAsia"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项目废水产生及处理方式情况见表。</w:t>
            </w:r>
          </w:p>
          <w:p w14:paraId="6E3B6E05">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表4-1</w:t>
            </w:r>
            <w:r>
              <w:rPr>
                <w:rFonts w:hint="eastAsia" w:cs="Times New Roman"/>
                <w:b/>
                <w:color w:val="000000" w:themeColor="text1"/>
                <w:sz w:val="21"/>
                <w:szCs w:val="21"/>
                <w:lang w:val="en-US" w:eastAsia="zh-CN"/>
                <w14:textFill>
                  <w14:solidFill>
                    <w14:schemeClr w14:val="tx1"/>
                  </w14:solidFill>
                </w14:textFill>
              </w:rPr>
              <w:t>6</w:t>
            </w:r>
            <w:r>
              <w:rPr>
                <w:rFonts w:hint="eastAsia" w:ascii="Times New Roman" w:hAnsi="Times New Roman" w:cs="Times New Roman"/>
                <w:b/>
                <w:color w:val="000000" w:themeColor="text1"/>
                <w:sz w:val="21"/>
                <w:szCs w:val="21"/>
                <w14:textFill>
                  <w14:solidFill>
                    <w14:schemeClr w14:val="tx1"/>
                  </w14:solidFill>
                </w14:textFill>
              </w:rPr>
              <w:t xml:space="preserve">  项目废水产生及处置措施一览表</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1113"/>
              <w:gridCol w:w="722"/>
              <w:gridCol w:w="690"/>
              <w:gridCol w:w="1234"/>
              <w:gridCol w:w="980"/>
              <w:gridCol w:w="2395"/>
            </w:tblGrid>
            <w:tr w14:paraId="78B6B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1" w:type="pct"/>
                  <w:vMerge w:val="restart"/>
                  <w:vAlign w:val="center"/>
                </w:tcPr>
                <w:p w14:paraId="0BF21DE6">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产污节点</w:t>
                  </w:r>
                </w:p>
              </w:tc>
              <w:tc>
                <w:tcPr>
                  <w:tcW w:w="678" w:type="pct"/>
                  <w:vMerge w:val="restart"/>
                  <w:vAlign w:val="center"/>
                </w:tcPr>
                <w:p w14:paraId="47B29460">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项目</w:t>
                  </w:r>
                </w:p>
              </w:tc>
              <w:tc>
                <w:tcPr>
                  <w:tcW w:w="860" w:type="pct"/>
                  <w:gridSpan w:val="2"/>
                  <w:vAlign w:val="center"/>
                </w:tcPr>
                <w:p w14:paraId="202E1D6A">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产生情况</w:t>
                  </w:r>
                </w:p>
              </w:tc>
              <w:tc>
                <w:tcPr>
                  <w:tcW w:w="752" w:type="pct"/>
                  <w:vMerge w:val="restart"/>
                  <w:vAlign w:val="center"/>
                </w:tcPr>
                <w:p w14:paraId="12FA51A7">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主要污染物（mg/L）</w:t>
                  </w:r>
                </w:p>
              </w:tc>
              <w:tc>
                <w:tcPr>
                  <w:tcW w:w="597" w:type="pct"/>
                  <w:vMerge w:val="restart"/>
                  <w:vAlign w:val="center"/>
                </w:tcPr>
                <w:p w14:paraId="486AE27D">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治理措施</w:t>
                  </w:r>
                </w:p>
              </w:tc>
              <w:tc>
                <w:tcPr>
                  <w:tcW w:w="1459" w:type="pct"/>
                  <w:vMerge w:val="restart"/>
                  <w:vAlign w:val="center"/>
                </w:tcPr>
                <w:p w14:paraId="28FF24EA">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排放方式及去向</w:t>
                  </w:r>
                </w:p>
              </w:tc>
            </w:tr>
            <w:tr w14:paraId="7B4AB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1" w:type="pct"/>
                  <w:vMerge w:val="continue"/>
                  <w:vAlign w:val="center"/>
                </w:tcPr>
                <w:p w14:paraId="25A2504A">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78" w:type="pct"/>
                  <w:vMerge w:val="continue"/>
                  <w:vAlign w:val="center"/>
                </w:tcPr>
                <w:p w14:paraId="7034DC66">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440" w:type="pct"/>
                  <w:vAlign w:val="center"/>
                </w:tcPr>
                <w:p w14:paraId="5CEB1701">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m</w:t>
                  </w:r>
                  <w:r>
                    <w:rPr>
                      <w:rFonts w:hint="default" w:ascii="Times New Roman" w:hAnsi="Times New Roman" w:cs="Times New Roman" w:eastAsiaTheme="minorEastAsia"/>
                      <w:b/>
                      <w:bCs/>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b/>
                      <w:bCs/>
                      <w:color w:val="000000" w:themeColor="text1"/>
                      <w:sz w:val="21"/>
                      <w:szCs w:val="21"/>
                      <w14:textFill>
                        <w14:solidFill>
                          <w14:schemeClr w14:val="tx1"/>
                        </w14:solidFill>
                      </w14:textFill>
                    </w:rPr>
                    <w:t>/d</w:t>
                  </w:r>
                </w:p>
              </w:tc>
              <w:tc>
                <w:tcPr>
                  <w:tcW w:w="420" w:type="pct"/>
                  <w:vAlign w:val="center"/>
                </w:tcPr>
                <w:p w14:paraId="09FCB08C">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m</w:t>
                  </w:r>
                  <w:r>
                    <w:rPr>
                      <w:rFonts w:hint="default" w:ascii="Times New Roman" w:hAnsi="Times New Roman" w:cs="Times New Roman" w:eastAsiaTheme="minorEastAsia"/>
                      <w:b/>
                      <w:bCs/>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b/>
                      <w:bCs/>
                      <w:color w:val="000000" w:themeColor="text1"/>
                      <w:sz w:val="21"/>
                      <w:szCs w:val="21"/>
                      <w14:textFill>
                        <w14:solidFill>
                          <w14:schemeClr w14:val="tx1"/>
                        </w14:solidFill>
                      </w14:textFill>
                    </w:rPr>
                    <w:t>/a</w:t>
                  </w:r>
                </w:p>
              </w:tc>
              <w:tc>
                <w:tcPr>
                  <w:tcW w:w="752" w:type="pct"/>
                  <w:vMerge w:val="continue"/>
                  <w:vAlign w:val="center"/>
                </w:tcPr>
                <w:p w14:paraId="32563670">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597" w:type="pct"/>
                  <w:vMerge w:val="continue"/>
                  <w:vAlign w:val="center"/>
                </w:tcPr>
                <w:p w14:paraId="1B35F5A4">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459" w:type="pct"/>
                  <w:vMerge w:val="continue"/>
                  <w:vAlign w:val="center"/>
                </w:tcPr>
                <w:p w14:paraId="45CDDCE5">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04E4D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1" w:type="pct"/>
                  <w:vAlign w:val="center"/>
                </w:tcPr>
                <w:p w14:paraId="24DD57EA">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发泡工段</w:t>
                  </w:r>
                </w:p>
              </w:tc>
              <w:tc>
                <w:tcPr>
                  <w:tcW w:w="678" w:type="pct"/>
                  <w:vAlign w:val="center"/>
                </w:tcPr>
                <w:p w14:paraId="34DD7ED0">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蒸汽冷凝水</w:t>
                  </w:r>
                </w:p>
              </w:tc>
              <w:tc>
                <w:tcPr>
                  <w:tcW w:w="440" w:type="pct"/>
                  <w:vAlign w:val="center"/>
                </w:tcPr>
                <w:p w14:paraId="1EBE8826">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7.2</w:t>
                  </w:r>
                </w:p>
              </w:tc>
              <w:tc>
                <w:tcPr>
                  <w:tcW w:w="420" w:type="pct"/>
                  <w:vAlign w:val="center"/>
                </w:tcPr>
                <w:p w14:paraId="311038CC">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2160</w:t>
                  </w:r>
                </w:p>
              </w:tc>
              <w:tc>
                <w:tcPr>
                  <w:tcW w:w="752" w:type="pct"/>
                  <w:vAlign w:val="center"/>
                </w:tcPr>
                <w:p w14:paraId="0CB9DD4C">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597" w:type="pct"/>
                  <w:vAlign w:val="center"/>
                </w:tcPr>
                <w:p w14:paraId="207E8848">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459" w:type="pct"/>
                  <w:vAlign w:val="center"/>
                </w:tcPr>
                <w:p w14:paraId="1C3D72F4">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蒸汽冷凝水</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经循环池收集后</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用于</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生物质锅炉</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损耗补充水，不外排</w:t>
                  </w:r>
                </w:p>
              </w:tc>
            </w:tr>
            <w:tr w14:paraId="23BDA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jc w:val="center"/>
              </w:trPr>
              <w:tc>
                <w:tcPr>
                  <w:tcW w:w="651" w:type="pct"/>
                  <w:vAlign w:val="center"/>
                </w:tcPr>
                <w:p w14:paraId="355DC514">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压模环节</w:t>
                  </w:r>
                </w:p>
              </w:tc>
              <w:tc>
                <w:tcPr>
                  <w:tcW w:w="678" w:type="pct"/>
                  <w:vAlign w:val="center"/>
                </w:tcPr>
                <w:p w14:paraId="50118539">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蒸汽</w:t>
                  </w:r>
                </w:p>
              </w:tc>
              <w:tc>
                <w:tcPr>
                  <w:tcW w:w="440" w:type="pct"/>
                  <w:vAlign w:val="center"/>
                </w:tcPr>
                <w:p w14:paraId="57B6EE1C">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w:t>
                  </w:r>
                  <w:r>
                    <w:rPr>
                      <w:rFonts w:hint="eastAsia" w:cs="Times New Roman" w:eastAsiaTheme="minorEastAsia"/>
                      <w:color w:val="000000" w:themeColor="text1"/>
                      <w:sz w:val="21"/>
                      <w:szCs w:val="21"/>
                      <w:lang w:val="en-US" w:eastAsia="zh-CN"/>
                      <w14:textFill>
                        <w14:solidFill>
                          <w14:schemeClr w14:val="tx1"/>
                        </w14:solidFill>
                      </w14:textFill>
                    </w:rPr>
                    <w:t>5</w:t>
                  </w:r>
                </w:p>
              </w:tc>
              <w:tc>
                <w:tcPr>
                  <w:tcW w:w="420" w:type="pct"/>
                  <w:vAlign w:val="center"/>
                </w:tcPr>
                <w:p w14:paraId="74AD5F59">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eastAsia" w:cs="Times New Roman" w:eastAsiaTheme="minorEastAsia"/>
                      <w:color w:val="000000" w:themeColor="text1"/>
                      <w:sz w:val="21"/>
                      <w:szCs w:val="21"/>
                      <w:lang w:val="en-US" w:eastAsia="zh-CN"/>
                      <w14:textFill>
                        <w14:solidFill>
                          <w14:schemeClr w14:val="tx1"/>
                        </w14:solidFill>
                      </w14:textFill>
                    </w:rPr>
                    <w:t>5</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w:t>
                  </w:r>
                </w:p>
              </w:tc>
              <w:tc>
                <w:tcPr>
                  <w:tcW w:w="752" w:type="pct"/>
                  <w:vAlign w:val="center"/>
                </w:tcPr>
                <w:p w14:paraId="3C432BB2">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597" w:type="pct"/>
                  <w:vAlign w:val="center"/>
                </w:tcPr>
                <w:p w14:paraId="241F63EF">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459" w:type="pct"/>
                  <w:vAlign w:val="center"/>
                </w:tcPr>
                <w:p w14:paraId="5BF2E937">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压模环节蒸汽加热成型后多余蒸汽排出，自然蒸发</w:t>
                  </w:r>
                </w:p>
              </w:tc>
            </w:tr>
            <w:tr w14:paraId="4FDDF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1" w:type="pct"/>
                  <w:vAlign w:val="center"/>
                </w:tcPr>
                <w:p w14:paraId="2A892957">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软水处理设备</w:t>
                  </w:r>
                </w:p>
              </w:tc>
              <w:tc>
                <w:tcPr>
                  <w:tcW w:w="678" w:type="pct"/>
                  <w:vAlign w:val="center"/>
                </w:tcPr>
                <w:p w14:paraId="62E34065">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软水系统排污水</w:t>
                  </w:r>
                </w:p>
              </w:tc>
              <w:tc>
                <w:tcPr>
                  <w:tcW w:w="440" w:type="pct"/>
                  <w:vAlign w:val="center"/>
                </w:tcPr>
                <w:p w14:paraId="681DF4DD">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28</w:t>
                  </w:r>
                  <w:r>
                    <w:rPr>
                      <w:rFonts w:hint="eastAsia" w:cs="Times New Roman" w:eastAsiaTheme="minorEastAsia"/>
                      <w:color w:val="000000" w:themeColor="text1"/>
                      <w:sz w:val="21"/>
                      <w:szCs w:val="21"/>
                      <w:lang w:val="en-US" w:eastAsia="zh-CN"/>
                      <w14:textFill>
                        <w14:solidFill>
                          <w14:schemeClr w14:val="tx1"/>
                        </w14:solidFill>
                      </w14:textFill>
                    </w:rPr>
                    <w:t>2</w:t>
                  </w:r>
                </w:p>
              </w:tc>
              <w:tc>
                <w:tcPr>
                  <w:tcW w:w="420" w:type="pct"/>
                  <w:vAlign w:val="center"/>
                </w:tcPr>
                <w:p w14:paraId="4393D545">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w:t>
                  </w:r>
                  <w:r>
                    <w:rPr>
                      <w:rFonts w:hint="eastAsia" w:cs="Times New Roman" w:eastAsiaTheme="minorEastAsia"/>
                      <w:color w:val="000000" w:themeColor="text1"/>
                      <w:sz w:val="21"/>
                      <w:szCs w:val="21"/>
                      <w:lang w:val="en-US" w:eastAsia="zh-CN"/>
                      <w14:textFill>
                        <w14:solidFill>
                          <w14:schemeClr w14:val="tx1"/>
                        </w14:solidFill>
                      </w14:textFill>
                    </w:rPr>
                    <w:t>4.53</w:t>
                  </w:r>
                </w:p>
              </w:tc>
              <w:tc>
                <w:tcPr>
                  <w:tcW w:w="752" w:type="pct"/>
                  <w:vMerge w:val="restart"/>
                  <w:vAlign w:val="center"/>
                </w:tcPr>
                <w:p w14:paraId="710B224E">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SS</w:t>
                  </w:r>
                  <w:r>
                    <w:rPr>
                      <w:rFonts w:hint="eastAsia"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全盐量</w:t>
                  </w:r>
                  <w:r>
                    <w:rPr>
                      <w:rFonts w:hint="eastAsia"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COD</w:t>
                  </w:r>
                </w:p>
              </w:tc>
              <w:tc>
                <w:tcPr>
                  <w:tcW w:w="597" w:type="pct"/>
                  <w:vMerge w:val="restart"/>
                  <w:vAlign w:val="center"/>
                </w:tcPr>
                <w:p w14:paraId="1C156387">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生产废水收集池收集</w:t>
                  </w:r>
                </w:p>
              </w:tc>
              <w:tc>
                <w:tcPr>
                  <w:tcW w:w="1459" w:type="pct"/>
                  <w:vMerge w:val="restart"/>
                  <w:vAlign w:val="center"/>
                </w:tcPr>
                <w:p w14:paraId="26726239">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生产废水经收集后通过投加PAC进行处理，</w:t>
                  </w:r>
                  <w:r>
                    <w:rPr>
                      <w:rFonts w:hint="default" w:ascii="Times New Roman" w:hAnsi="Times New Roman" w:cs="Times New Roman" w:eastAsiaTheme="minorEastAsia"/>
                      <w:color w:val="000000" w:themeColor="text1"/>
                      <w:sz w:val="21"/>
                      <w:szCs w:val="21"/>
                      <w14:textFill>
                        <w14:solidFill>
                          <w14:schemeClr w14:val="tx1"/>
                        </w14:solidFill>
                      </w14:textFill>
                    </w:rPr>
                    <w:t>晴天回用于厂区洒水降尘，雨天暂存于废水收集池，</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留待晴天使用，不外排。</w:t>
                  </w:r>
                </w:p>
              </w:tc>
            </w:tr>
            <w:tr w14:paraId="32526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1" w:type="pct"/>
                  <w:vAlign w:val="center"/>
                </w:tcPr>
                <w:p w14:paraId="1E4895D0">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cs="Times New Roman" w:eastAsiaTheme="minorEastAsia"/>
                      <w:color w:val="000000" w:themeColor="text1"/>
                      <w:sz w:val="21"/>
                      <w:szCs w:val="21"/>
                      <w:lang w:eastAsia="zh-CN"/>
                      <w14:textFill>
                        <w14:solidFill>
                          <w14:schemeClr w14:val="tx1"/>
                        </w14:solidFill>
                      </w14:textFill>
                    </w:rPr>
                    <w:t>生物质锅炉</w:t>
                  </w:r>
                </w:p>
              </w:tc>
              <w:tc>
                <w:tcPr>
                  <w:tcW w:w="678" w:type="pct"/>
                  <w:vAlign w:val="center"/>
                </w:tcPr>
                <w:p w14:paraId="6188EBAA">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lang w:eastAsia="zh-CN"/>
                      <w14:textFill>
                        <w14:solidFill>
                          <w14:schemeClr w14:val="tx1"/>
                        </w14:solidFill>
                      </w14:textFill>
                    </w:rPr>
                    <w:t>生物质锅炉</w:t>
                  </w:r>
                  <w:r>
                    <w:rPr>
                      <w:rFonts w:hint="default" w:ascii="Times New Roman" w:hAnsi="Times New Roman" w:cs="Times New Roman" w:eastAsiaTheme="minorEastAsia"/>
                      <w:color w:val="000000" w:themeColor="text1"/>
                      <w:sz w:val="21"/>
                      <w:szCs w:val="21"/>
                      <w14:textFill>
                        <w14:solidFill>
                          <w14:schemeClr w14:val="tx1"/>
                        </w14:solidFill>
                      </w14:textFill>
                    </w:rPr>
                    <w:t>排污水</w:t>
                  </w:r>
                </w:p>
              </w:tc>
              <w:tc>
                <w:tcPr>
                  <w:tcW w:w="440" w:type="pct"/>
                  <w:vAlign w:val="center"/>
                </w:tcPr>
                <w:p w14:paraId="21EC2CEC">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0.7</w:t>
                  </w:r>
                  <w:r>
                    <w:rPr>
                      <w:rFonts w:hint="eastAsia" w:cs="Times New Roman" w:eastAsiaTheme="minorEastAsia"/>
                      <w:color w:val="000000" w:themeColor="text1"/>
                      <w:sz w:val="21"/>
                      <w:szCs w:val="21"/>
                      <w:lang w:val="en-US" w:eastAsia="zh-CN"/>
                      <w14:textFill>
                        <w14:solidFill>
                          <w14:schemeClr w14:val="tx1"/>
                        </w14:solidFill>
                      </w14:textFill>
                    </w:rPr>
                    <w:t>52</w:t>
                  </w:r>
                </w:p>
              </w:tc>
              <w:tc>
                <w:tcPr>
                  <w:tcW w:w="420" w:type="pct"/>
                  <w:vAlign w:val="center"/>
                </w:tcPr>
                <w:p w14:paraId="64E53DF7">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22</w:t>
                  </w:r>
                  <w:r>
                    <w:rPr>
                      <w:rFonts w:hint="eastAsia" w:cs="Times New Roman" w:eastAsiaTheme="minorEastAsia"/>
                      <w:color w:val="000000" w:themeColor="text1"/>
                      <w:sz w:val="21"/>
                      <w:szCs w:val="21"/>
                      <w:lang w:val="en-US" w:eastAsia="zh-CN"/>
                      <w14:textFill>
                        <w14:solidFill>
                          <w14:schemeClr w14:val="tx1"/>
                        </w14:solidFill>
                      </w14:textFill>
                    </w:rPr>
                    <w:t>5.7</w:t>
                  </w:r>
                </w:p>
              </w:tc>
              <w:tc>
                <w:tcPr>
                  <w:tcW w:w="752" w:type="pct"/>
                  <w:vMerge w:val="continue"/>
                  <w:vAlign w:val="center"/>
                </w:tcPr>
                <w:p w14:paraId="29542369">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both"/>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597" w:type="pct"/>
                  <w:vMerge w:val="continue"/>
                  <w:vAlign w:val="center"/>
                </w:tcPr>
                <w:p w14:paraId="0FB147DD">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459" w:type="pct"/>
                  <w:vMerge w:val="continue"/>
                  <w:vAlign w:val="center"/>
                </w:tcPr>
                <w:p w14:paraId="15F1478D">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3B6CB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1" w:type="pct"/>
                  <w:vAlign w:val="center"/>
                </w:tcPr>
                <w:p w14:paraId="7DAA1B3C">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生活</w:t>
                  </w:r>
                </w:p>
              </w:tc>
              <w:tc>
                <w:tcPr>
                  <w:tcW w:w="678" w:type="pct"/>
                  <w:vAlign w:val="center"/>
                </w:tcPr>
                <w:p w14:paraId="7FA06185">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生活污水</w:t>
                  </w:r>
                  <w:r>
                    <w:rPr>
                      <w:rFonts w:hint="eastAsia"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包含食堂废水</w:t>
                  </w:r>
                  <w:r>
                    <w:rPr>
                      <w:rFonts w:hint="eastAsia" w:cs="Times New Roman" w:eastAsiaTheme="minorEastAsia"/>
                      <w:color w:val="000000" w:themeColor="text1"/>
                      <w:sz w:val="21"/>
                      <w:szCs w:val="21"/>
                      <w:lang w:eastAsia="zh-CN"/>
                      <w14:textFill>
                        <w14:solidFill>
                          <w14:schemeClr w14:val="tx1"/>
                        </w14:solidFill>
                      </w14:textFill>
                    </w:rPr>
                    <w:t>）</w:t>
                  </w:r>
                </w:p>
              </w:tc>
              <w:tc>
                <w:tcPr>
                  <w:tcW w:w="440" w:type="pct"/>
                  <w:vAlign w:val="center"/>
                </w:tcPr>
                <w:p w14:paraId="6042ECC2">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0.624</w:t>
                  </w:r>
                </w:p>
              </w:tc>
              <w:tc>
                <w:tcPr>
                  <w:tcW w:w="420" w:type="pct"/>
                  <w:vAlign w:val="center"/>
                </w:tcPr>
                <w:p w14:paraId="112302EC">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187.2</w:t>
                  </w:r>
                </w:p>
              </w:tc>
              <w:tc>
                <w:tcPr>
                  <w:tcW w:w="752" w:type="pct"/>
                  <w:vAlign w:val="center"/>
                </w:tcPr>
                <w:p w14:paraId="28FFD64A">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COD</w:t>
                  </w:r>
                  <w:r>
                    <w:rPr>
                      <w:rFonts w:hint="eastAsia"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BOD</w:t>
                  </w:r>
                  <w:r>
                    <w:rPr>
                      <w:rFonts w:hint="default" w:ascii="Times New Roman" w:hAnsi="Times New Roman" w:cs="Times New Roman" w:eastAsiaTheme="minorEastAsia"/>
                      <w:color w:val="000000" w:themeColor="text1"/>
                      <w:sz w:val="21"/>
                      <w:szCs w:val="21"/>
                      <w:vertAlign w:val="subscript"/>
                      <w14:textFill>
                        <w14:solidFill>
                          <w14:schemeClr w14:val="tx1"/>
                        </w14:solidFill>
                      </w14:textFill>
                    </w:rPr>
                    <w:t>5</w:t>
                  </w:r>
                  <w:r>
                    <w:rPr>
                      <w:rFonts w:hint="eastAsia"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-N</w:t>
                  </w:r>
                  <w:r>
                    <w:rPr>
                      <w:rFonts w:hint="eastAsia"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SS</w:t>
                  </w:r>
                  <w:r>
                    <w:rPr>
                      <w:rFonts w:hint="eastAsia"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动植物油</w:t>
                  </w:r>
                </w:p>
              </w:tc>
              <w:tc>
                <w:tcPr>
                  <w:tcW w:w="597" w:type="pct"/>
                  <w:vAlign w:val="center"/>
                </w:tcPr>
                <w:p w14:paraId="1DD6B5F5">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化粪池</w:t>
                  </w:r>
                </w:p>
              </w:tc>
              <w:tc>
                <w:tcPr>
                  <w:tcW w:w="1459" w:type="pct"/>
                  <w:vAlign w:val="center"/>
                </w:tcPr>
                <w:p w14:paraId="11AF990E">
                  <w:pPr>
                    <w:pStyle w:val="137"/>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生活污水经隔油池、化粪池处理后进入一体化生活污水处理设施，经处理达标后，晴天回用于厂区绿化，不外排，雨天暂存于</w:t>
                  </w:r>
                  <w:r>
                    <w:rPr>
                      <w:rFonts w:hint="eastAsia" w:cs="Times New Roman" w:eastAsiaTheme="minorEastAsia"/>
                      <w:color w:val="000000" w:themeColor="text1"/>
                      <w:sz w:val="21"/>
                      <w:szCs w:val="21"/>
                      <w:lang w:val="en-US" w:eastAsia="zh-CN"/>
                      <w14:textFill>
                        <w14:solidFill>
                          <w14:schemeClr w14:val="tx1"/>
                        </w14:solidFill>
                      </w14:textFill>
                    </w:rPr>
                    <w:t>中水池</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，留待晴天使用，不外排。</w:t>
                  </w:r>
                </w:p>
              </w:tc>
            </w:tr>
          </w:tbl>
          <w:p w14:paraId="04815BB1">
            <w:pPr>
              <w:pStyle w:val="51"/>
              <w:keepNext w:val="0"/>
              <w:pageBreakBefore w:val="0"/>
              <w:overflowPunct/>
              <w:topLinePunct w:val="0"/>
              <w:bidi w:val="0"/>
              <w:adjustRightInd/>
              <w:snapToGrid/>
              <w:ind w:firstLine="482"/>
              <w:rPr>
                <w:rFonts w:hint="default" w:ascii="Times New Roman" w:hAnsi="Times New Roman"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lang w:val="en-US" w:eastAsia="zh-CN"/>
                <w14:textFill>
                  <w14:solidFill>
                    <w14:schemeClr w14:val="tx1"/>
                  </w14:solidFill>
                </w14:textFill>
              </w:rPr>
              <w:t>2</w:t>
            </w: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废水处理</w:t>
            </w:r>
            <w:r>
              <w:rPr>
                <w:rFonts w:hint="default" w:ascii="Times New Roman" w:hAnsi="Times New Roman" w:cs="Times New Roman"/>
                <w:b/>
                <w:bCs/>
                <w:color w:val="000000" w:themeColor="text1"/>
                <w:lang w:eastAsia="zh-CN"/>
                <w14:textFill>
                  <w14:solidFill>
                    <w14:schemeClr w14:val="tx1"/>
                  </w14:solidFill>
                </w14:textFill>
              </w:rPr>
              <w:t>措施可行性分析</w:t>
            </w:r>
          </w:p>
          <w:p w14:paraId="4968EC05">
            <w:pPr>
              <w:pStyle w:val="51"/>
              <w:keepNext w:val="0"/>
              <w:pageBreakBefore w:val="0"/>
              <w:overflowPunct/>
              <w:topLinePunct w:val="0"/>
              <w:bidi w:val="0"/>
              <w:adjustRightInd/>
              <w:snapToGrid/>
              <w:ind w:firstLine="482"/>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1）生产废水</w:t>
            </w:r>
            <w:r>
              <w:rPr>
                <w:rFonts w:hint="eastAsia" w:ascii="Times New Roman" w:hAnsi="Times New Roman" w:eastAsia="宋体" w:cs="Times New Roman"/>
                <w:b/>
                <w:bCs/>
                <w:color w:val="000000" w:themeColor="text1"/>
                <w:lang w:val="en-US" w:eastAsia="zh-CN"/>
                <w14:textFill>
                  <w14:solidFill>
                    <w14:schemeClr w14:val="tx1"/>
                  </w14:solidFill>
                </w14:textFill>
              </w:rPr>
              <w:t>处置可行性</w:t>
            </w:r>
          </w:p>
          <w:p w14:paraId="385C93F4">
            <w:pPr>
              <w:pStyle w:val="51"/>
              <w:keepNext w:val="0"/>
              <w:pageBreakBefore w:val="0"/>
              <w:overflowPunct/>
              <w:topLinePunct w:val="0"/>
              <w:bidi w:val="0"/>
              <w:adjustRightInd/>
              <w:snapToGrid/>
              <w:ind w:firstLine="482"/>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①锅炉排污水</w:t>
            </w:r>
            <w:r>
              <w:rPr>
                <w:rFonts w:hint="eastAsia" w:cs="Times New Roman"/>
                <w:b/>
                <w:bCs/>
                <w:color w:val="000000" w:themeColor="text1"/>
                <w:lang w:val="en-US" w:eastAsia="zh-CN"/>
                <w14:textFill>
                  <w14:solidFill>
                    <w14:schemeClr w14:val="tx1"/>
                  </w14:solidFill>
                </w14:textFill>
              </w:rPr>
              <w:t>、软水制备废水</w:t>
            </w:r>
            <w:r>
              <w:rPr>
                <w:rFonts w:hint="eastAsia" w:ascii="Times New Roman" w:hAnsi="Times New Roman" w:eastAsia="宋体" w:cs="Times New Roman"/>
                <w:b/>
                <w:bCs/>
                <w:color w:val="000000" w:themeColor="text1"/>
                <w:lang w:val="en-US" w:eastAsia="zh-CN"/>
                <w14:textFill>
                  <w14:solidFill>
                    <w14:schemeClr w14:val="tx1"/>
                  </w14:solidFill>
                </w14:textFill>
              </w:rPr>
              <w:t>处理措施可行性</w:t>
            </w:r>
            <w:r>
              <w:rPr>
                <w:rFonts w:hint="eastAsia" w:cs="Times New Roman"/>
                <w:b/>
                <w:bCs/>
                <w:color w:val="000000" w:themeColor="text1"/>
                <w:lang w:val="en-US" w:eastAsia="zh-CN"/>
                <w14:textFill>
                  <w14:solidFill>
                    <w14:schemeClr w14:val="tx1"/>
                  </w14:solidFill>
                </w14:textFill>
              </w:rPr>
              <w:t>分析</w:t>
            </w:r>
          </w:p>
          <w:p w14:paraId="2346CD2A">
            <w:pPr>
              <w:pStyle w:val="51"/>
              <w:keepNext w:val="0"/>
              <w:pageBreakBefore w:val="0"/>
              <w:overflowPunct/>
              <w:topLinePunct w:val="0"/>
              <w:bidi w:val="0"/>
              <w:adjustRightInd/>
              <w:snapToGrid/>
              <w:ind w:firstLine="482"/>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根据上文，本项目生产过程中锅炉排污水产生</w:t>
            </w:r>
            <w:r>
              <w:rPr>
                <w:rFonts w:hint="eastAsia" w:cs="Times New Roman"/>
                <w:b w:val="0"/>
                <w:bCs w:val="0"/>
                <w:color w:val="000000" w:themeColor="text1"/>
                <w:lang w:val="en-US" w:eastAsia="zh-CN"/>
                <w14:textFill>
                  <w14:solidFill>
                    <w14:schemeClr w14:val="tx1"/>
                  </w14:solidFill>
                </w14:textFill>
              </w:rPr>
              <w:t>量</w:t>
            </w:r>
            <w:r>
              <w:rPr>
                <w:rFonts w:hint="eastAsia" w:ascii="Times New Roman" w:hAnsi="Times New Roman" w:eastAsia="宋体" w:cs="Times New Roman"/>
                <w:b w:val="0"/>
                <w:bCs w:val="0"/>
                <w:color w:val="000000" w:themeColor="text1"/>
                <w:lang w:val="en-US" w:eastAsia="zh-CN"/>
                <w14:textFill>
                  <w14:solidFill>
                    <w14:schemeClr w14:val="tx1"/>
                  </w14:solidFill>
                </w14:textFill>
              </w:rPr>
              <w:t>为</w:t>
            </w:r>
            <w:r>
              <w:rPr>
                <w:rFonts w:hint="eastAsia" w:cs="Times New Roman"/>
                <w:b w:val="0"/>
                <w:bCs w:val="0"/>
                <w:color w:val="000000" w:themeColor="text1"/>
                <w:lang w:val="en-US" w:eastAsia="zh-CN"/>
                <w14:textFill>
                  <w14:solidFill>
                    <w14:schemeClr w14:val="tx1"/>
                  </w14:solidFill>
                </w14:textFill>
              </w:rPr>
              <w:t>0.752</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/d</w:t>
            </w:r>
            <w:r>
              <w:rPr>
                <w:rFonts w:hint="eastAsia" w:ascii="Times New Roman" w:hAnsi="Times New Roman" w:eastAsia="宋体" w:cs="Times New Roman"/>
                <w:b w:val="0"/>
                <w:bCs w:val="0"/>
                <w:color w:val="000000" w:themeColor="text1"/>
                <w:lang w:val="en-US" w:eastAsia="zh-CN"/>
                <w14:textFill>
                  <w14:solidFill>
                    <w14:schemeClr w14:val="tx1"/>
                  </w14:solidFill>
                </w14:textFill>
              </w:rPr>
              <w:t>，软水制备废水量为0.</w:t>
            </w:r>
            <w:r>
              <w:rPr>
                <w:rFonts w:hint="eastAsia" w:cs="Times New Roman"/>
                <w:b w:val="0"/>
                <w:bCs w:val="0"/>
                <w:color w:val="000000" w:themeColor="text1"/>
                <w:lang w:val="en-US" w:eastAsia="zh-CN"/>
                <w14:textFill>
                  <w14:solidFill>
                    <w14:schemeClr w14:val="tx1"/>
                  </w14:solidFill>
                </w14:textFill>
              </w:rPr>
              <w:t>282</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/d</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生产废水产生量</w:t>
            </w:r>
            <w:r>
              <w:rPr>
                <w:rFonts w:hint="eastAsia" w:ascii="Times New Roman" w:hAnsi="Times New Roman" w:cs="Times New Roman"/>
                <w:color w:val="000000" w:themeColor="text1"/>
                <w:sz w:val="24"/>
                <w:szCs w:val="24"/>
                <w:lang w:eastAsia="zh-CN"/>
                <w14:textFill>
                  <w14:solidFill>
                    <w14:schemeClr w14:val="tx1"/>
                  </w14:solidFill>
                </w14:textFill>
              </w:rPr>
              <w:t>为</w:t>
            </w:r>
            <w:r>
              <w:rPr>
                <w:rFonts w:hint="eastAsia" w:cs="Times New Roman"/>
                <w:color w:val="000000" w:themeColor="text1"/>
                <w:sz w:val="24"/>
                <w:szCs w:val="24"/>
                <w:lang w:val="en-US" w:eastAsia="zh-CN"/>
                <w14:textFill>
                  <w14:solidFill>
                    <w14:schemeClr w14:val="tx1"/>
                  </w14:solidFill>
                </w14:textFill>
              </w:rPr>
              <w:t>1.034</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/d</w:t>
            </w:r>
            <w:r>
              <w:rPr>
                <w:rFonts w:hint="eastAsia" w:ascii="Times New Roman" w:hAnsi="Times New Roman" w:cs="Times New Roman"/>
                <w:color w:val="000000" w:themeColor="text1"/>
                <w:sz w:val="24"/>
                <w:szCs w:val="24"/>
                <w:lang w:val="en-US" w:eastAsia="zh-CN"/>
                <w14:textFill>
                  <w14:solidFill>
                    <w14:schemeClr w14:val="tx1"/>
                  </w14:solidFill>
                </w14:textFill>
              </w:rPr>
              <w:t>。</w:t>
            </w:r>
          </w:p>
          <w:p w14:paraId="003A38FC">
            <w:pPr>
              <w:pStyle w:val="51"/>
              <w:keepNext w:val="0"/>
              <w:pageBreakBefore w:val="0"/>
              <w:overflowPunct/>
              <w:topLinePunct w:val="0"/>
              <w:bidi w:val="0"/>
              <w:adjustRightInd/>
              <w:snapToGrid/>
              <w:ind w:firstLine="482"/>
              <w:rPr>
                <w:rFonts w:hint="eastAsia"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本环评要求设置1个约</w:t>
            </w:r>
            <w:r>
              <w:rPr>
                <w:rFonts w:hint="eastAsia" w:cs="Times New Roman"/>
                <w:b w:val="0"/>
                <w:bCs w:val="0"/>
                <w:color w:val="000000" w:themeColor="text1"/>
                <w:lang w:val="en-US" w:eastAsia="zh-CN"/>
                <w14:textFill>
                  <w14:solidFill>
                    <w14:schemeClr w14:val="tx1"/>
                  </w14:solidFill>
                </w14:textFill>
              </w:rPr>
              <w:t>6</w:t>
            </w:r>
            <w:r>
              <w:rPr>
                <w:rFonts w:hint="eastAsia" w:ascii="Times New Roman" w:hAnsi="Times New Roman" w:eastAsia="宋体" w:cs="Times New Roman"/>
                <w:b w:val="0"/>
                <w:bCs w:val="0"/>
                <w:color w:val="000000" w:themeColor="text1"/>
                <w:lang w:val="en-US" w:eastAsia="zh-CN"/>
                <w14:textFill>
                  <w14:solidFill>
                    <w14:schemeClr w14:val="tx1"/>
                  </w14:solidFill>
                </w14:textFill>
              </w:rPr>
              <w:t>m</w:t>
            </w:r>
            <w:r>
              <w:rPr>
                <w:rFonts w:hint="eastAsia" w:ascii="Times New Roman" w:hAnsi="Times New Roman" w:eastAsia="宋体" w:cs="Times New Roman"/>
                <w:b w:val="0"/>
                <w:bCs w:val="0"/>
                <w:color w:val="000000" w:themeColor="text1"/>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lang w:val="en-US" w:eastAsia="zh-CN"/>
                <w14:textFill>
                  <w14:solidFill>
                    <w14:schemeClr w14:val="tx1"/>
                  </w14:solidFill>
                </w14:textFill>
              </w:rPr>
              <w:t>废水收集池，</w:t>
            </w:r>
            <w:r>
              <w:rPr>
                <w:rFonts w:hint="eastAsia" w:cs="Times New Roman"/>
                <w:color w:val="000000" w:themeColor="text1"/>
                <w:sz w:val="24"/>
                <w:lang w:val="en-US" w:eastAsia="zh-CN"/>
                <w14:textFill>
                  <w14:solidFill>
                    <w14:schemeClr w14:val="tx1"/>
                  </w14:solidFill>
                </w14:textFill>
              </w:rPr>
              <w:t>本项目生产废水经收集后通过投加PAC进行处理，处理后用于厂区洒水降尘。</w:t>
            </w:r>
          </w:p>
          <w:p w14:paraId="145E5147">
            <w:pPr>
              <w:pStyle w:val="51"/>
              <w:keepNext w:val="0"/>
              <w:pageBreakBefore w:val="0"/>
              <w:overflowPunct/>
              <w:topLinePunct w:val="0"/>
              <w:bidi w:val="0"/>
              <w:adjustRightInd/>
              <w:snapToGrid/>
              <w:ind w:firstLine="482"/>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本项目拟设置的</w:t>
            </w:r>
            <w:r>
              <w:rPr>
                <w:rFonts w:hint="eastAsia" w:ascii="Times New Roman" w:hAnsi="Times New Roman" w:eastAsia="宋体" w:cs="Times New Roman"/>
                <w:b w:val="0"/>
                <w:bCs w:val="0"/>
                <w:color w:val="000000" w:themeColor="text1"/>
                <w:lang w:val="en-US" w:eastAsia="zh-CN"/>
                <w14:textFill>
                  <w14:solidFill>
                    <w14:schemeClr w14:val="tx1"/>
                  </w14:solidFill>
                </w14:textFill>
              </w:rPr>
              <w:t>废水收集池可容纳连续5天降雨时产生的废水</w:t>
            </w:r>
            <w:r>
              <w:rPr>
                <w:rFonts w:hint="eastAsia" w:cs="Times New Roman"/>
                <w:b w:val="0"/>
                <w:bCs w:val="0"/>
                <w:color w:val="000000" w:themeColor="text1"/>
                <w:lang w:val="en-US" w:eastAsia="zh-CN"/>
                <w14:textFill>
                  <w14:solidFill>
                    <w14:schemeClr w14:val="tx1"/>
                  </w14:solidFill>
                </w14:textFill>
              </w:rPr>
              <w:t>，能够保证废水雨天不外排，留待晴天使用</w:t>
            </w:r>
            <w:r>
              <w:rPr>
                <w:rFonts w:hint="default" w:ascii="Times New Roman" w:hAnsi="Times New Roman" w:eastAsia="宋体" w:cs="Times New Roman"/>
                <w:b w:val="0"/>
                <w:bCs w:val="0"/>
                <w:color w:val="000000" w:themeColor="text1"/>
                <w:lang w:val="en-US" w:eastAsia="zh-CN"/>
                <w14:textFill>
                  <w14:solidFill>
                    <w14:schemeClr w14:val="tx1"/>
                  </w14:solidFill>
                </w14:textFill>
              </w:rPr>
              <w:t>。</w:t>
            </w:r>
          </w:p>
          <w:p w14:paraId="05B89936">
            <w:pPr>
              <w:pStyle w:val="18"/>
              <w:autoSpaceDE/>
              <w:autoSpaceDN/>
              <w:adjustRightInd/>
              <w:spacing w:line="360" w:lineRule="auto"/>
              <w:ind w:firstLine="480" w:firstLineChars="200"/>
              <w:rPr>
                <w:rFonts w:hint="default" w:ascii="Times New Roman" w:hAnsi="Times New Roman" w:eastAsia="宋体" w:cs="Times New Roman"/>
                <w:color w:val="000000" w:themeColor="text1"/>
                <w:szCs w:val="32"/>
                <w:lang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本项目</w:t>
            </w:r>
            <w:r>
              <w:rPr>
                <w:rFonts w:hint="default" w:ascii="Times New Roman" w:hAnsi="Times New Roman" w:cs="Times New Roman"/>
                <w:color w:val="000000" w:themeColor="text1"/>
                <w:sz w:val="24"/>
                <w:szCs w:val="24"/>
                <w:lang w:eastAsia="zh-CN"/>
                <w14:textFill>
                  <w14:solidFill>
                    <w14:schemeClr w14:val="tx1"/>
                  </w14:solidFill>
                </w14:textFill>
              </w:rPr>
              <w:t>生产废水产生量</w:t>
            </w:r>
            <w:r>
              <w:rPr>
                <w:rFonts w:hint="eastAsia" w:ascii="Times New Roman" w:hAnsi="Times New Roman" w:cs="Times New Roman"/>
                <w:color w:val="000000" w:themeColor="text1"/>
                <w:sz w:val="24"/>
                <w:szCs w:val="24"/>
                <w:lang w:eastAsia="zh-CN"/>
                <w14:textFill>
                  <w14:solidFill>
                    <w14:schemeClr w14:val="tx1"/>
                  </w14:solidFill>
                </w14:textFill>
              </w:rPr>
              <w:t>为</w:t>
            </w:r>
            <w:r>
              <w:rPr>
                <w:rFonts w:hint="eastAsia" w:cs="Times New Roman"/>
                <w:color w:val="000000" w:themeColor="text1"/>
                <w:sz w:val="24"/>
                <w:szCs w:val="24"/>
                <w:lang w:val="en-US" w:eastAsia="zh-CN"/>
                <w14:textFill>
                  <w14:solidFill>
                    <w14:schemeClr w14:val="tx1"/>
                  </w14:solidFill>
                </w14:textFill>
              </w:rPr>
              <w:t>1.034</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/d</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lang w:val="en-US" w:eastAsia="zh-CN"/>
                <w14:textFill>
                  <w14:solidFill>
                    <w14:schemeClr w14:val="tx1"/>
                  </w14:solidFill>
                </w14:textFill>
              </w:rPr>
              <w:t>根据工程分析，项目晴天场地洒水降尘用水量为1.8m</w:t>
            </w:r>
            <w:r>
              <w:rPr>
                <w:rFonts w:hint="eastAsia" w:ascii="Times New Roman" w:hAnsi="Times New Roman" w:eastAsia="宋体" w:cs="Times New Roman"/>
                <w:b w:val="0"/>
                <w:bCs w:val="0"/>
                <w:color w:val="000000" w:themeColor="text1"/>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lang w:val="en-US" w:eastAsia="zh-CN"/>
                <w14:textFill>
                  <w14:solidFill>
                    <w14:schemeClr w14:val="tx1"/>
                  </w14:solidFill>
                </w14:textFill>
              </w:rPr>
              <w:t>/d，</w:t>
            </w:r>
            <w:r>
              <w:rPr>
                <w:rFonts w:hint="eastAsia" w:eastAsia="宋体" w:cs="Times New Roman"/>
                <w:b w:val="0"/>
                <w:bCs/>
                <w:color w:val="000000" w:themeColor="text1"/>
                <w:sz w:val="24"/>
                <w:lang w:eastAsia="zh-CN" w:bidi="en-US"/>
                <w14:textFill>
                  <w14:solidFill>
                    <w14:schemeClr w14:val="tx1"/>
                  </w14:solidFill>
                </w14:textFill>
              </w:rPr>
              <w:t>降尘</w:t>
            </w:r>
            <w:r>
              <w:rPr>
                <w:rFonts w:hint="default" w:ascii="Times New Roman" w:hAnsi="Times New Roman" w:eastAsia="宋体" w:cs="Times New Roman"/>
                <w:b w:val="0"/>
                <w:bCs/>
                <w:color w:val="000000" w:themeColor="text1"/>
                <w:sz w:val="24"/>
                <w:lang w:eastAsia="zh-CN" w:bidi="en-US"/>
                <w14:textFill>
                  <w14:solidFill>
                    <w14:schemeClr w14:val="tx1"/>
                  </w14:solidFill>
                </w14:textFill>
              </w:rPr>
              <w:t>用水能够容纳</w:t>
            </w:r>
            <w:r>
              <w:rPr>
                <w:rFonts w:hint="eastAsia" w:eastAsia="宋体" w:cs="Times New Roman"/>
                <w:b w:val="0"/>
                <w:bCs/>
                <w:color w:val="000000" w:themeColor="text1"/>
                <w:sz w:val="24"/>
                <w:lang w:eastAsia="zh-CN" w:bidi="en-US"/>
                <w14:textFill>
                  <w14:solidFill>
                    <w14:schemeClr w14:val="tx1"/>
                  </w14:solidFill>
                </w14:textFill>
              </w:rPr>
              <w:t>项目生产过程中产生的锅炉排水以及软水制备废水</w:t>
            </w:r>
            <w:r>
              <w:rPr>
                <w:rFonts w:hint="default" w:ascii="Times New Roman" w:hAnsi="Times New Roman" w:eastAsia="宋体" w:cs="Times New Roman"/>
                <w:b w:val="0"/>
                <w:bCs/>
                <w:color w:val="000000" w:themeColor="text1"/>
                <w:sz w:val="24"/>
                <w:lang w:eastAsia="zh-CN" w:bidi="en-US"/>
                <w14:textFill>
                  <w14:solidFill>
                    <w14:schemeClr w14:val="tx1"/>
                  </w14:solidFill>
                </w14:textFill>
              </w:rPr>
              <w:t>，</w:t>
            </w:r>
            <w:r>
              <w:rPr>
                <w:rFonts w:hint="eastAsia" w:eastAsia="宋体" w:cs="Times New Roman"/>
                <w:color w:val="000000" w:themeColor="text1"/>
                <w:szCs w:val="32"/>
                <w:lang w:eastAsia="zh-CN"/>
                <w14:textFill>
                  <w14:solidFill>
                    <w14:schemeClr w14:val="tx1"/>
                  </w14:solidFill>
                </w14:textFill>
              </w:rPr>
              <w:t>生产废水</w:t>
            </w:r>
            <w:r>
              <w:rPr>
                <w:rFonts w:hint="default" w:ascii="Times New Roman" w:hAnsi="Times New Roman" w:eastAsia="宋体" w:cs="Times New Roman"/>
                <w:color w:val="000000" w:themeColor="text1"/>
                <w:szCs w:val="32"/>
                <w14:textFill>
                  <w14:solidFill>
                    <w14:schemeClr w14:val="tx1"/>
                  </w14:solidFill>
                </w14:textFill>
              </w:rPr>
              <w:t>处理措施</w:t>
            </w:r>
            <w:r>
              <w:rPr>
                <w:rFonts w:hint="eastAsia" w:cs="Times New Roman"/>
                <w:color w:val="000000" w:themeColor="text1"/>
                <w:szCs w:val="32"/>
                <w:lang w:eastAsia="zh-CN"/>
                <w14:textFill>
                  <w14:solidFill>
                    <w14:schemeClr w14:val="tx1"/>
                  </w14:solidFill>
                </w14:textFill>
              </w:rPr>
              <w:t>具</w:t>
            </w:r>
            <w:r>
              <w:rPr>
                <w:rFonts w:hint="default" w:ascii="Times New Roman" w:hAnsi="Times New Roman" w:eastAsia="宋体" w:cs="Times New Roman"/>
                <w:color w:val="000000" w:themeColor="text1"/>
                <w:szCs w:val="32"/>
                <w14:textFill>
                  <w14:solidFill>
                    <w14:schemeClr w14:val="tx1"/>
                  </w14:solidFill>
                </w14:textFill>
              </w:rPr>
              <w:t>有可行性。</w:t>
            </w:r>
          </w:p>
          <w:p w14:paraId="6AF8E41F">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本项目类比《金星啤酒集团富民有限公司锅炉改造项目环境影响评价报告表》中相关数据，</w:t>
            </w:r>
            <w:r>
              <w:rPr>
                <w:rFonts w:hint="eastAsia" w:ascii="Times New Roman" w:hAnsi="Times New Roman" w:eastAsia="宋体" w:cs="Times New Roman"/>
                <w:b/>
                <w:bCs/>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根据查阅《昆明金星啤酒厂搬迁技改提升建设项目（一期工程）竣工环境保护验收监测报告》，锅炉废水监测结果，COD</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浓度为</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50mg/L、BOD</w:t>
            </w:r>
            <w:r>
              <w:rPr>
                <w:rFonts w:hint="default" w:ascii="Times New Roman" w:hAnsi="Times New Roman" w:eastAsia="宋体" w:cs="Times New Roman"/>
                <w:b w:val="0"/>
                <w:bCs w:val="0"/>
                <w:color w:val="000000" w:themeColor="text1"/>
                <w:sz w:val="24"/>
                <w:vertAlign w:val="subscript"/>
                <w:lang w:val="en-US" w:eastAsia="zh-CN"/>
                <w14:textFill>
                  <w14:solidFill>
                    <w14:schemeClr w14:val="tx1"/>
                  </w14:solidFill>
                </w14:textFill>
              </w:rPr>
              <w:t>5</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浓度为</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10mg/L、氨氮</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浓度为</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2mg/L、SS</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浓度为</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100mg/L、总氮</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浓度为</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5mg/L</w:t>
            </w:r>
            <w:r>
              <w:rPr>
                <w:rFonts w:hint="default" w:ascii="Times New Roman" w:hAnsi="Times New Roman" w:eastAsia="宋体" w:cs="Times New Roman"/>
                <w:color w:val="000000" w:themeColor="text1"/>
                <w:sz w:val="24"/>
                <w:lang w:val="en-US" w:eastAsia="zh-CN"/>
                <w14:textFill>
                  <w14:solidFill>
                    <w14:schemeClr w14:val="tx1"/>
                  </w14:solidFill>
                </w14:textFill>
              </w:rPr>
              <w:t>、总磷</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浓度为</w:t>
            </w:r>
            <w:r>
              <w:rPr>
                <w:rFonts w:hint="default" w:ascii="Times New Roman" w:hAnsi="Times New Roman" w:eastAsia="宋体" w:cs="Times New Roman"/>
                <w:color w:val="000000" w:themeColor="text1"/>
                <w:sz w:val="24"/>
                <w:lang w:val="en-US" w:eastAsia="zh-CN"/>
                <w14:textFill>
                  <w14:solidFill>
                    <w14:schemeClr w14:val="tx1"/>
                  </w14:solidFill>
                </w14:textFill>
              </w:rPr>
              <w:t>2mg/L），废水进入新增絮凝沉淀池处理达到标后回用绿化，不外排。</w:t>
            </w:r>
            <w:r>
              <w:rPr>
                <w:rFonts w:hint="eastAsia" w:ascii="Times New Roman" w:hAnsi="Times New Roman" w:eastAsia="宋体" w:cs="Times New Roman"/>
                <w:b/>
                <w:bCs/>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。该项目废水为软水制备系统软化处理废水及锅炉排污水，</w:t>
            </w:r>
            <w:r>
              <w:rPr>
                <w:rFonts w:hint="eastAsia" w:cs="Times New Roman"/>
                <w:color w:val="000000" w:themeColor="text1"/>
                <w:sz w:val="24"/>
                <w:lang w:val="en-US" w:eastAsia="zh-CN"/>
                <w14:textFill>
                  <w14:solidFill>
                    <w14:schemeClr w14:val="tx1"/>
                  </w14:solidFill>
                </w14:textFill>
              </w:rPr>
              <w:t>废水类型</w:t>
            </w:r>
            <w:r>
              <w:rPr>
                <w:rFonts w:hint="default" w:ascii="Times New Roman" w:hAnsi="Times New Roman" w:eastAsia="宋体" w:cs="Times New Roman"/>
                <w:color w:val="000000" w:themeColor="text1"/>
                <w:sz w:val="24"/>
                <w:lang w:val="en-US" w:eastAsia="zh-CN"/>
                <w14:textFill>
                  <w14:solidFill>
                    <w14:schemeClr w14:val="tx1"/>
                  </w14:solidFill>
                </w14:textFill>
              </w:rPr>
              <w:t>与本项目相似；该项目软水设备采用离子交换树脂工艺制备软水，</w:t>
            </w:r>
            <w:r>
              <w:rPr>
                <w:rFonts w:hint="eastAsia" w:cs="Times New Roman"/>
                <w:color w:val="000000" w:themeColor="text1"/>
                <w:sz w:val="24"/>
                <w:lang w:val="en-US" w:eastAsia="zh-CN"/>
                <w14:textFill>
                  <w14:solidFill>
                    <w14:schemeClr w14:val="tx1"/>
                  </w14:solidFill>
                </w14:textFill>
              </w:rPr>
              <w:t>软水制备工艺</w:t>
            </w:r>
            <w:r>
              <w:rPr>
                <w:rFonts w:hint="default" w:ascii="Times New Roman" w:hAnsi="Times New Roman" w:eastAsia="宋体" w:cs="Times New Roman"/>
                <w:color w:val="000000" w:themeColor="text1"/>
                <w:sz w:val="24"/>
                <w:lang w:val="en-US" w:eastAsia="zh-CN"/>
                <w14:textFill>
                  <w14:solidFill>
                    <w14:schemeClr w14:val="tx1"/>
                  </w14:solidFill>
                </w14:textFill>
              </w:rPr>
              <w:t>与本项目相似；蒸汽锅炉内部锅水定期排出，为锅炉排污水，</w:t>
            </w:r>
            <w:r>
              <w:rPr>
                <w:rFonts w:hint="eastAsia" w:cs="Times New Roman"/>
                <w:color w:val="000000" w:themeColor="text1"/>
                <w:sz w:val="24"/>
                <w:lang w:val="en-US" w:eastAsia="zh-CN"/>
                <w14:textFill>
                  <w14:solidFill>
                    <w14:schemeClr w14:val="tx1"/>
                  </w14:solidFill>
                </w14:textFill>
              </w:rPr>
              <w:t>生物质蒸汽锅炉</w:t>
            </w:r>
            <w:r>
              <w:rPr>
                <w:rFonts w:hint="default" w:ascii="Times New Roman" w:hAnsi="Times New Roman" w:eastAsia="宋体" w:cs="Times New Roman"/>
                <w:color w:val="000000" w:themeColor="text1"/>
                <w:sz w:val="24"/>
                <w:lang w:val="en-US" w:eastAsia="zh-CN"/>
                <w14:textFill>
                  <w14:solidFill>
                    <w14:schemeClr w14:val="tx1"/>
                  </w14:solidFill>
                </w14:textFill>
              </w:rPr>
              <w:t>与本项目相似，</w:t>
            </w:r>
            <w:r>
              <w:rPr>
                <w:rFonts w:hint="eastAsia" w:cs="Times New Roman"/>
                <w:color w:val="000000" w:themeColor="text1"/>
                <w:sz w:val="24"/>
                <w:lang w:val="en-US" w:eastAsia="zh-CN"/>
                <w14:textFill>
                  <w14:solidFill>
                    <w14:schemeClr w14:val="tx1"/>
                  </w14:solidFill>
                </w14:textFill>
              </w:rPr>
              <w:t>综上，</w:t>
            </w:r>
            <w:r>
              <w:rPr>
                <w:rFonts w:hint="default" w:ascii="Times New Roman" w:hAnsi="Times New Roman" w:eastAsia="宋体" w:cs="Times New Roman"/>
                <w:color w:val="000000" w:themeColor="text1"/>
                <w:sz w:val="24"/>
                <w:lang w:val="en-US" w:eastAsia="zh-CN"/>
                <w14:textFill>
                  <w14:solidFill>
                    <w14:schemeClr w14:val="tx1"/>
                  </w14:solidFill>
                </w14:textFill>
              </w:rPr>
              <w:t>该项目工艺与本项目相似，类比可行。</w:t>
            </w:r>
          </w:p>
          <w:p w14:paraId="528C55E1">
            <w:pPr>
              <w:keepNext w:val="0"/>
              <w:keepLines/>
              <w:pageBreakBefore w:val="0"/>
              <w:kinsoku/>
              <w:overflowPunct/>
              <w:bidi w:val="0"/>
              <w:adjustRightInd/>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本次采取处理措施去除效率参考《混凝沉淀预处理工艺研究》（王琳-《化工时刊》2014年5期），</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采用聚合氯化铝（PAC）作为混凝剂对废水进行处理效果最佳，当进水pH为7~8时，COD、SS的平均去除率分别达到36.2％和71.0％。</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即本项目生产废水中</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COD</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浓度为</w:t>
            </w:r>
            <w:r>
              <w:rPr>
                <w:rFonts w:hint="eastAsia" w:cs="Times New Roman"/>
                <w:b w:val="0"/>
                <w:bCs w:val="0"/>
                <w:color w:val="000000" w:themeColor="text1"/>
                <w:sz w:val="24"/>
                <w:lang w:val="en-US" w:eastAsia="zh-CN"/>
                <w14:textFill>
                  <w14:solidFill>
                    <w14:schemeClr w14:val="tx1"/>
                  </w14:solidFill>
                </w14:textFill>
              </w:rPr>
              <w:t>31.9</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mg/L、BOD</w:t>
            </w:r>
            <w:r>
              <w:rPr>
                <w:rFonts w:hint="default" w:ascii="Times New Roman" w:hAnsi="Times New Roman" w:eastAsia="宋体" w:cs="Times New Roman"/>
                <w:b w:val="0"/>
                <w:bCs w:val="0"/>
                <w:color w:val="000000" w:themeColor="text1"/>
                <w:sz w:val="24"/>
                <w:vertAlign w:val="subscript"/>
                <w:lang w:val="en-US" w:eastAsia="zh-CN"/>
                <w14:textFill>
                  <w14:solidFill>
                    <w14:schemeClr w14:val="tx1"/>
                  </w14:solidFill>
                </w14:textFill>
              </w:rPr>
              <w:t>5</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浓度为</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10mg/L、氨氮</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浓度为</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2mg/L、SS</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浓度为</w:t>
            </w:r>
            <w:r>
              <w:rPr>
                <w:rFonts w:hint="eastAsia" w:cs="Times New Roman"/>
                <w:b w:val="0"/>
                <w:bCs w:val="0"/>
                <w:color w:val="000000" w:themeColor="text1"/>
                <w:sz w:val="24"/>
                <w:lang w:val="en-US" w:eastAsia="zh-CN"/>
                <w14:textFill>
                  <w14:solidFill>
                    <w14:schemeClr w14:val="tx1"/>
                  </w14:solidFill>
                </w14:textFill>
              </w:rPr>
              <w:t>29</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mg/L、总氮</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浓度为</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5mg/L</w:t>
            </w:r>
            <w:r>
              <w:rPr>
                <w:rFonts w:hint="default" w:ascii="Times New Roman" w:hAnsi="Times New Roman" w:eastAsia="宋体" w:cs="Times New Roman"/>
                <w:color w:val="000000" w:themeColor="text1"/>
                <w:sz w:val="24"/>
                <w:lang w:val="en-US" w:eastAsia="zh-CN"/>
                <w14:textFill>
                  <w14:solidFill>
                    <w14:schemeClr w14:val="tx1"/>
                  </w14:solidFill>
                </w14:textFill>
              </w:rPr>
              <w:t>、总磷</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浓度为</w:t>
            </w:r>
            <w:r>
              <w:rPr>
                <w:rFonts w:hint="default" w:ascii="Times New Roman" w:hAnsi="Times New Roman" w:eastAsia="宋体" w:cs="Times New Roman"/>
                <w:color w:val="000000" w:themeColor="text1"/>
                <w:sz w:val="24"/>
                <w:lang w:val="en-US" w:eastAsia="zh-CN"/>
                <w14:textFill>
                  <w14:solidFill>
                    <w14:schemeClr w14:val="tx1"/>
                  </w14:solidFill>
                </w14:textFill>
              </w:rPr>
              <w:t>2mg/L</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能够满足</w:t>
            </w:r>
            <w:r>
              <w:rPr>
                <w:rFonts w:hint="default" w:ascii="Times New Roman" w:hAnsi="Times New Roman" w:eastAsia="宋体" w:cs="Times New Roman"/>
                <w:color w:val="000000" w:themeColor="text1"/>
                <w:sz w:val="24"/>
                <w:lang w:val="en-US" w:eastAsia="zh-CN"/>
                <w14:textFill>
                  <w14:solidFill>
                    <w14:schemeClr w14:val="tx1"/>
                  </w14:solidFill>
                </w14:textFill>
              </w:rPr>
              <w:t>《城市污水再生利用 城市杂用水水质》（GB/T 18920-2020）标准中</w:t>
            </w:r>
            <w:r>
              <w:rPr>
                <w:rFonts w:hint="eastAsia" w:ascii="Times New Roman" w:hAnsi="Times New Roman" w:eastAsia="宋体" w:cs="Times New Roman"/>
                <w:color w:val="000000" w:themeColor="text1"/>
                <w:sz w:val="24"/>
                <w:lang w:val="en-US" w:eastAsia="zh-CN"/>
                <w14:textFill>
                  <w14:solidFill>
                    <w14:schemeClr w14:val="tx1"/>
                  </w14:solidFill>
                </w14:textFill>
              </w:rPr>
              <w:t>道路清扫</w:t>
            </w:r>
            <w:r>
              <w:rPr>
                <w:rFonts w:hint="default" w:ascii="Times New Roman" w:hAnsi="Times New Roman" w:eastAsia="宋体" w:cs="Times New Roman"/>
                <w:color w:val="000000" w:themeColor="text1"/>
                <w:sz w:val="24"/>
                <w:lang w:val="en-US" w:eastAsia="zh-CN"/>
                <w14:textFill>
                  <w14:solidFill>
                    <w14:schemeClr w14:val="tx1"/>
                  </w14:solidFill>
                </w14:textFill>
              </w:rPr>
              <w:t>标准</w:t>
            </w:r>
            <w:r>
              <w:rPr>
                <w:rFonts w:hint="eastAsia" w:cs="Times New Roman"/>
                <w:color w:val="000000" w:themeColor="text1"/>
                <w:sz w:val="24"/>
                <w:lang w:val="en-US" w:eastAsia="zh-CN"/>
                <w14:textFill>
                  <w14:solidFill>
                    <w14:schemeClr w14:val="tx1"/>
                  </w14:solidFill>
                </w14:textFill>
              </w:rPr>
              <w:t>。</w:t>
            </w:r>
          </w:p>
          <w:p w14:paraId="6278B390">
            <w:pPr>
              <w:pStyle w:val="51"/>
              <w:keepNext w:val="0"/>
              <w:pageBreakBefore w:val="0"/>
              <w:overflowPunct/>
              <w:topLinePunct w:val="0"/>
              <w:bidi w:val="0"/>
              <w:adjustRightInd/>
              <w:snapToGrid/>
              <w:ind w:firstLine="482"/>
              <w:rPr>
                <w:rFonts w:hint="eastAsia"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②冷凝水收集池</w:t>
            </w:r>
            <w:r>
              <w:rPr>
                <w:rFonts w:hint="default" w:ascii="Times New Roman" w:hAnsi="Times New Roman" w:eastAsia="宋体" w:cs="Times New Roman"/>
                <w:b/>
                <w:bCs/>
                <w:color w:val="000000" w:themeColor="text1"/>
                <w:lang w:val="en-US" w:eastAsia="zh-CN"/>
                <w14:textFill>
                  <w14:solidFill>
                    <w14:schemeClr w14:val="tx1"/>
                  </w14:solidFill>
                </w14:textFill>
              </w:rPr>
              <w:t>设置合理性分析</w:t>
            </w:r>
          </w:p>
          <w:p w14:paraId="095A1153">
            <w:pPr>
              <w:pStyle w:val="51"/>
              <w:keepNext w:val="0"/>
              <w:pageBreakBefore w:val="0"/>
              <w:overflowPunct/>
              <w:topLinePunct w:val="0"/>
              <w:bidi w:val="0"/>
              <w:adjustRightInd/>
              <w:snapToGrid/>
              <w:ind w:firstLine="482"/>
              <w:rPr>
                <w:rFonts w:hint="eastAsia" w:ascii="Times New Roman" w:hAnsi="Times New Roman" w:cs="Times New Roman" w:eastAsiaTheme="minorEastAsia"/>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根据项目水平衡图可知，本项目产生的冷凝水为</w:t>
            </w:r>
            <w:r>
              <w:rPr>
                <w:rFonts w:hint="eastAsia" w:cs="Times New Roman"/>
                <w:b w:val="0"/>
                <w:bCs w:val="0"/>
                <w:color w:val="000000" w:themeColor="text1"/>
                <w:lang w:val="en-US" w:eastAsia="zh-CN"/>
                <w14:textFill>
                  <w14:solidFill>
                    <w14:schemeClr w14:val="tx1"/>
                  </w14:solidFill>
                </w14:textFill>
              </w:rPr>
              <w:t>7.2</w:t>
            </w:r>
            <w:r>
              <w:rPr>
                <w:rFonts w:hint="eastAsia" w:ascii="Times New Roman" w:hAnsi="Times New Roman" w:eastAsia="宋体" w:cs="Times New Roman"/>
                <w:b w:val="0"/>
                <w:bCs w:val="0"/>
                <w:color w:val="000000" w:themeColor="text1"/>
                <w:lang w:val="en-US" w:eastAsia="zh-CN"/>
                <w14:textFill>
                  <w14:solidFill>
                    <w14:schemeClr w14:val="tx1"/>
                  </w14:solidFill>
                </w14:textFill>
              </w:rPr>
              <w:t>m</w:t>
            </w:r>
            <w:r>
              <w:rPr>
                <w:rFonts w:hint="eastAsia" w:ascii="Times New Roman" w:hAnsi="Times New Roman" w:eastAsia="宋体" w:cs="Times New Roman"/>
                <w:b w:val="0"/>
                <w:bCs w:val="0"/>
                <w:color w:val="000000" w:themeColor="text1"/>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lang w:val="en-US" w:eastAsia="zh-CN"/>
                <w14:textFill>
                  <w14:solidFill>
                    <w14:schemeClr w14:val="tx1"/>
                  </w14:solidFill>
                </w14:textFill>
              </w:rPr>
              <w:t>/d。厂区现有一个约400m</w:t>
            </w:r>
            <w:r>
              <w:rPr>
                <w:rFonts w:hint="eastAsia" w:ascii="Times New Roman" w:hAnsi="Times New Roman" w:eastAsia="宋体" w:cs="Times New Roman"/>
                <w:b w:val="0"/>
                <w:bCs w:val="0"/>
                <w:color w:val="000000" w:themeColor="text1"/>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lang w:val="en-US" w:eastAsia="zh-CN"/>
                <w14:textFill>
                  <w14:solidFill>
                    <w14:schemeClr w14:val="tx1"/>
                  </w14:solidFill>
                </w14:textFill>
              </w:rPr>
              <w:t>的循环池，</w:t>
            </w:r>
            <w:r>
              <w:rPr>
                <w:rFonts w:hint="default" w:ascii="Times New Roman" w:hAnsi="Times New Roman" w:eastAsia="宋体" w:cs="Times New Roman"/>
                <w:b w:val="0"/>
                <w:bCs w:val="0"/>
                <w:color w:val="000000" w:themeColor="text1"/>
                <w:lang w:val="en-US" w:eastAsia="zh-CN"/>
                <w14:textFill>
                  <w14:solidFill>
                    <w14:schemeClr w14:val="tx1"/>
                  </w14:solidFill>
                </w14:textFill>
              </w:rPr>
              <w:t>可以满足</w:t>
            </w:r>
            <w:r>
              <w:rPr>
                <w:rFonts w:hint="eastAsia" w:ascii="Times New Roman" w:hAnsi="Times New Roman" w:eastAsia="宋体" w:cs="Times New Roman"/>
                <w:b w:val="0"/>
                <w:bCs w:val="0"/>
                <w:color w:val="000000" w:themeColor="text1"/>
                <w:lang w:val="en-US" w:eastAsia="zh-CN"/>
                <w14:textFill>
                  <w14:solidFill>
                    <w14:schemeClr w14:val="tx1"/>
                  </w14:solidFill>
                </w14:textFill>
              </w:rPr>
              <w:t>收集暂存项目产生的冷凝水，</w:t>
            </w:r>
            <w:r>
              <w:rPr>
                <w:rFonts w:hint="default" w:ascii="Times New Roman" w:hAnsi="Times New Roman" w:eastAsia="宋体" w:cs="Times New Roman"/>
                <w:b w:val="0"/>
                <w:bCs w:val="0"/>
                <w:color w:val="000000" w:themeColor="text1"/>
                <w:lang w:val="en-US" w:eastAsia="zh-CN"/>
                <w14:textFill>
                  <w14:solidFill>
                    <w14:schemeClr w14:val="tx1"/>
                  </w14:solidFill>
                </w14:textFill>
              </w:rPr>
              <w:t>冷凝水</w:t>
            </w:r>
            <w:r>
              <w:rPr>
                <w:rFonts w:hint="eastAsia" w:ascii="Times New Roman" w:hAnsi="Times New Roman" w:eastAsia="宋体" w:cs="Times New Roman"/>
                <w:b w:val="0"/>
                <w:bCs w:val="0"/>
                <w:color w:val="000000" w:themeColor="text1"/>
                <w:lang w:val="en-US" w:eastAsia="zh-CN"/>
                <w14:textFill>
                  <w14:solidFill>
                    <w14:schemeClr w14:val="tx1"/>
                  </w14:solidFill>
                </w14:textFill>
              </w:rPr>
              <w:t>经循环池收集后</w:t>
            </w:r>
            <w:r>
              <w:rPr>
                <w:rFonts w:hint="default" w:ascii="Times New Roman" w:hAnsi="Times New Roman" w:eastAsia="宋体" w:cs="Times New Roman"/>
                <w:b w:val="0"/>
                <w:bCs w:val="0"/>
                <w:color w:val="000000" w:themeColor="text1"/>
                <w:lang w:val="en-US" w:eastAsia="zh-CN"/>
                <w14:textFill>
                  <w14:solidFill>
                    <w14:schemeClr w14:val="tx1"/>
                  </w14:solidFill>
                </w14:textFill>
              </w:rPr>
              <w:t>用于</w:t>
            </w:r>
            <w:r>
              <w:rPr>
                <w:rFonts w:hint="eastAsia" w:ascii="Times New Roman" w:hAnsi="Times New Roman" w:eastAsia="宋体" w:cs="Times New Roman"/>
                <w:b w:val="0"/>
                <w:bCs w:val="0"/>
                <w:color w:val="000000" w:themeColor="text1"/>
                <w:lang w:val="en-US" w:eastAsia="zh-CN"/>
                <w14:textFill>
                  <w14:solidFill>
                    <w14:schemeClr w14:val="tx1"/>
                  </w14:solidFill>
                </w14:textFill>
              </w:rPr>
              <w:t>生物质锅炉</w:t>
            </w:r>
            <w:r>
              <w:rPr>
                <w:rFonts w:hint="default" w:ascii="Times New Roman" w:hAnsi="Times New Roman" w:eastAsia="宋体" w:cs="Times New Roman"/>
                <w:b w:val="0"/>
                <w:bCs w:val="0"/>
                <w:color w:val="000000" w:themeColor="text1"/>
                <w:lang w:val="en-US" w:eastAsia="zh-CN"/>
                <w14:textFill>
                  <w14:solidFill>
                    <w14:schemeClr w14:val="tx1"/>
                  </w14:solidFill>
                </w14:textFill>
              </w:rPr>
              <w:t>损耗补充水，不外排</w:t>
            </w:r>
            <w:r>
              <w:rPr>
                <w:rFonts w:hint="eastAsia" w:ascii="Times New Roman" w:hAnsi="Times New Roman" w:eastAsia="宋体" w:cs="Times New Roman"/>
                <w:b w:val="0"/>
                <w:bCs w:val="0"/>
                <w:color w:val="000000" w:themeColor="text1"/>
                <w:lang w:val="en-US" w:eastAsia="zh-CN"/>
                <w14:textFill>
                  <w14:solidFill>
                    <w14:schemeClr w14:val="tx1"/>
                  </w14:solidFill>
                </w14:textFill>
              </w:rPr>
              <w:t>。</w:t>
            </w:r>
          </w:p>
          <w:p w14:paraId="4677C16A">
            <w:pPr>
              <w:pStyle w:val="51"/>
              <w:keepNext w:val="0"/>
              <w:pageBreakBefore w:val="0"/>
              <w:overflowPunct/>
              <w:topLinePunct w:val="0"/>
              <w:bidi w:val="0"/>
              <w:adjustRightInd/>
              <w:snapToGrid/>
              <w:ind w:firstLine="482"/>
              <w:rPr>
                <w:rFonts w:hint="eastAsia"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故本项目拟设置的</w:t>
            </w:r>
            <w:r>
              <w:rPr>
                <w:rFonts w:hint="eastAsia" w:ascii="Times New Roman" w:hAnsi="Times New Roman" w:eastAsia="宋体" w:cs="Times New Roman"/>
                <w:b w:val="0"/>
                <w:bCs w:val="0"/>
                <w:color w:val="000000" w:themeColor="text1"/>
                <w:lang w:val="en-US" w:eastAsia="zh-CN"/>
                <w14:textFill>
                  <w14:solidFill>
                    <w14:schemeClr w14:val="tx1"/>
                  </w14:solidFill>
                </w14:textFill>
              </w:rPr>
              <w:t>冷凝水收集</w:t>
            </w:r>
            <w:r>
              <w:rPr>
                <w:rFonts w:hint="default" w:ascii="Times New Roman" w:hAnsi="Times New Roman" w:eastAsia="宋体" w:cs="Times New Roman"/>
                <w:b w:val="0"/>
                <w:bCs w:val="0"/>
                <w:color w:val="000000" w:themeColor="text1"/>
                <w:lang w:val="en-US" w:eastAsia="zh-CN"/>
                <w14:textFill>
                  <w14:solidFill>
                    <w14:schemeClr w14:val="tx1"/>
                  </w14:solidFill>
                </w14:textFill>
              </w:rPr>
              <w:t>池</w:t>
            </w:r>
            <w:r>
              <w:rPr>
                <w:rFonts w:hint="eastAsia" w:ascii="Times New Roman" w:hAnsi="Times New Roman" w:eastAsia="宋体" w:cs="Times New Roman"/>
                <w:b w:val="0"/>
                <w:bCs w:val="0"/>
                <w:color w:val="000000" w:themeColor="text1"/>
                <w:lang w:val="en-US" w:eastAsia="zh-CN"/>
                <w14:textFill>
                  <w14:solidFill>
                    <w14:schemeClr w14:val="tx1"/>
                  </w14:solidFill>
                </w14:textFill>
              </w:rPr>
              <w:t>是合理可行的</w:t>
            </w:r>
            <w:r>
              <w:rPr>
                <w:rFonts w:hint="default" w:ascii="Times New Roman" w:hAnsi="Times New Roman" w:eastAsia="宋体" w:cs="Times New Roman"/>
                <w:b w:val="0"/>
                <w:bCs w:val="0"/>
                <w:color w:val="000000" w:themeColor="text1"/>
                <w:lang w:val="en-US" w:eastAsia="zh-CN"/>
                <w14:textFill>
                  <w14:solidFill>
                    <w14:schemeClr w14:val="tx1"/>
                  </w14:solidFill>
                </w14:textFill>
              </w:rPr>
              <w:t>。</w:t>
            </w:r>
          </w:p>
          <w:p w14:paraId="62A9B8A8">
            <w:pPr>
              <w:keepLines/>
              <w:tabs>
                <w:tab w:val="left" w:pos="4830"/>
              </w:tabs>
              <w:spacing w:line="360" w:lineRule="auto"/>
              <w:ind w:firstLine="482" w:firstLineChars="200"/>
              <w:jc w:val="left"/>
              <w:rPr>
                <w:rFonts w:hint="eastAsia"/>
                <w:b/>
                <w:color w:val="000000" w:themeColor="text1"/>
                <w:sz w:val="24"/>
                <w:lang w:val="en-US" w:eastAsia="zh-CN"/>
                <w14:textFill>
                  <w14:solidFill>
                    <w14:schemeClr w14:val="tx1"/>
                  </w14:solidFill>
                </w14:textFill>
              </w:rPr>
            </w:pPr>
            <w:r>
              <w:rPr>
                <w:rFonts w:hint="eastAsia"/>
                <w:b/>
                <w:color w:val="000000" w:themeColor="text1"/>
                <w:sz w:val="24"/>
                <w:lang w:val="en-US" w:eastAsia="zh-CN"/>
                <w14:textFill>
                  <w14:solidFill>
                    <w14:schemeClr w14:val="tx1"/>
                  </w14:solidFill>
                </w14:textFill>
              </w:rPr>
              <w:t>③软水设备再生周期</w:t>
            </w:r>
          </w:p>
          <w:p w14:paraId="58051236">
            <w:pPr>
              <w:pStyle w:val="51"/>
              <w:keepNext w:val="0"/>
              <w:pageBreakBefore w:val="0"/>
              <w:overflowPunct/>
              <w:topLinePunct w:val="0"/>
              <w:bidi w:val="0"/>
              <w:adjustRightInd/>
              <w:snapToGrid/>
              <w:ind w:firstLine="482"/>
              <w:rPr>
                <w:rFonts w:hint="default"/>
                <w:b/>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本项目</w:t>
            </w:r>
            <w:r>
              <w:rPr>
                <w:rFonts w:hint="eastAsia" w:cs="Times New Roman"/>
                <w:b w:val="0"/>
                <w:bCs w:val="0"/>
                <w:color w:val="000000" w:themeColor="text1"/>
                <w:lang w:val="en-US" w:eastAsia="zh-CN"/>
                <w14:textFill>
                  <w14:solidFill>
                    <w14:schemeClr w14:val="tx1"/>
                  </w14:solidFill>
                </w14:textFill>
              </w:rPr>
              <w:t>软水设备额定出水量为3m</w:t>
            </w:r>
            <w:r>
              <w:rPr>
                <w:rFonts w:hint="eastAsia" w:cs="Times New Roman"/>
                <w:b w:val="0"/>
                <w:bCs w:val="0"/>
                <w:color w:val="000000" w:themeColor="text1"/>
                <w:vertAlign w:val="superscript"/>
                <w:lang w:val="en-US" w:eastAsia="zh-CN"/>
                <w14:textFill>
                  <w14:solidFill>
                    <w14:schemeClr w14:val="tx1"/>
                  </w14:solidFill>
                </w14:textFill>
              </w:rPr>
              <w:t>3</w:t>
            </w:r>
            <w:r>
              <w:rPr>
                <w:rFonts w:hint="eastAsia" w:cs="Times New Roman"/>
                <w:b w:val="0"/>
                <w:bCs w:val="0"/>
                <w:color w:val="000000" w:themeColor="text1"/>
                <w:lang w:val="en-US" w:eastAsia="zh-CN"/>
                <w14:textFill>
                  <w14:solidFill>
                    <w14:schemeClr w14:val="tx1"/>
                  </w14:solidFill>
                </w14:textFill>
              </w:rPr>
              <w:t>/h，出水量</w:t>
            </w:r>
            <w:r>
              <w:rPr>
                <w:rFonts w:hint="eastAsia" w:ascii="Times New Roman" w:hAnsi="Times New Roman" w:eastAsia="宋体" w:cs="Times New Roman"/>
                <w:b w:val="0"/>
                <w:bCs w:val="0"/>
                <w:color w:val="000000" w:themeColor="text1"/>
                <w:lang w:val="en-US" w:eastAsia="zh-CN"/>
                <w14:textFill>
                  <w14:solidFill>
                    <w14:schemeClr w14:val="tx1"/>
                  </w14:solidFill>
                </w14:textFill>
              </w:rPr>
              <w:t>为16</w:t>
            </w:r>
            <w:r>
              <w:rPr>
                <w:rFonts w:hint="eastAsia" w:cs="Times New Roman"/>
                <w:b w:val="0"/>
                <w:bCs w:val="0"/>
                <w:color w:val="000000" w:themeColor="text1"/>
                <w:lang w:val="en-US" w:eastAsia="zh-CN"/>
                <w14:textFill>
                  <w14:solidFill>
                    <w14:schemeClr w14:val="tx1"/>
                  </w14:solidFill>
                </w14:textFill>
              </w:rPr>
              <w:t>m</w:t>
            </w:r>
            <w:r>
              <w:rPr>
                <w:rFonts w:hint="eastAsia" w:cs="Times New Roman"/>
                <w:b w:val="0"/>
                <w:bCs w:val="0"/>
                <w:color w:val="000000" w:themeColor="text1"/>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lang w:val="en-US" w:eastAsia="zh-CN"/>
                <w14:textFill>
                  <w14:solidFill>
                    <w14:schemeClr w14:val="tx1"/>
                  </w14:solidFill>
                </w14:textFill>
              </w:rPr>
              <w:t>/d，</w:t>
            </w:r>
            <w:r>
              <w:rPr>
                <w:rFonts w:hint="eastAsia" w:cs="Times New Roman"/>
                <w:b w:val="0"/>
                <w:bCs w:val="0"/>
                <w:color w:val="000000" w:themeColor="text1"/>
                <w:lang w:val="en-US" w:eastAsia="zh-CN"/>
                <w14:textFill>
                  <w14:solidFill>
                    <w14:schemeClr w14:val="tx1"/>
                  </w14:solidFill>
                </w14:textFill>
              </w:rPr>
              <w:t>根据上文</w:t>
            </w:r>
            <w:r>
              <w:rPr>
                <w:rFonts w:hint="default" w:ascii="Times New Roman" w:hAnsi="Times New Roman" w:eastAsia="宋体" w:cs="Times New Roman"/>
                <w:color w:val="000000" w:themeColor="text1"/>
                <w:sz w:val="24"/>
                <w:lang w:val="en-US" w:eastAsia="zh-CN"/>
                <w14:textFill>
                  <w14:solidFill>
                    <w14:schemeClr w14:val="tx1"/>
                  </w14:solidFill>
                </w14:textFill>
              </w:rPr>
              <w:t>《排放源统计调查产排污核算方法和系数手册》（公告2021年第24号）</w:t>
            </w:r>
            <w:r>
              <w:rPr>
                <w:rFonts w:hint="eastAsia" w:cs="Times New Roman"/>
                <w:color w:val="000000" w:themeColor="text1"/>
                <w:sz w:val="24"/>
                <w:lang w:val="en-US" w:eastAsia="zh-CN"/>
                <w14:textFill>
                  <w14:solidFill>
                    <w14:schemeClr w14:val="tx1"/>
                  </w14:solidFill>
                </w14:textFill>
              </w:rPr>
              <w:t>核算结果</w:t>
            </w:r>
            <w:r>
              <w:rPr>
                <w:rFonts w:hint="eastAsia" w:cs="Times New Roman"/>
                <w:b w:val="0"/>
                <w:bCs w:val="0"/>
                <w:color w:val="000000" w:themeColor="text1"/>
                <w:lang w:val="en-US" w:eastAsia="zh-CN"/>
                <w14:textFill>
                  <w14:solidFill>
                    <w14:schemeClr w14:val="tx1"/>
                  </w14:solidFill>
                </w14:textFill>
              </w:rPr>
              <w:t>，本项目软水废水产生量为0.282m</w:t>
            </w:r>
            <w:r>
              <w:rPr>
                <w:rFonts w:hint="eastAsia" w:cs="Times New Roman"/>
                <w:b w:val="0"/>
                <w:bCs w:val="0"/>
                <w:color w:val="000000" w:themeColor="text1"/>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lang w:val="en-US" w:eastAsia="zh-CN"/>
                <w14:textFill>
                  <w14:solidFill>
                    <w14:schemeClr w14:val="tx1"/>
                  </w14:solidFill>
                </w14:textFill>
              </w:rPr>
              <w:t>/d，</w:t>
            </w:r>
            <w:r>
              <w:rPr>
                <w:rFonts w:hint="eastAsia" w:cs="Times New Roman"/>
                <w:b w:val="0"/>
                <w:bCs w:val="0"/>
                <w:color w:val="000000" w:themeColor="text1"/>
                <w:lang w:val="en-US" w:eastAsia="zh-CN"/>
                <w14:textFill>
                  <w14:solidFill>
                    <w14:schemeClr w14:val="tx1"/>
                  </w14:solidFill>
                </w14:textFill>
              </w:rPr>
              <w:t>即本项目软水设备产水率为1-（0.282/16.282）=98.27%。</w:t>
            </w:r>
          </w:p>
          <w:p w14:paraId="693B8194">
            <w:pPr>
              <w:pStyle w:val="51"/>
              <w:keepNext w:val="0"/>
              <w:pageBreakBefore w:val="0"/>
              <w:overflowPunct/>
              <w:topLinePunct w:val="0"/>
              <w:bidi w:val="0"/>
              <w:adjustRightInd/>
              <w:snapToGrid/>
              <w:ind w:firstLine="482"/>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软水设备再生周期参照</w:t>
            </w:r>
            <w:r>
              <w:rPr>
                <w:rFonts w:hint="eastAsia"/>
                <w:b w:val="0"/>
                <w:bCs/>
                <w:color w:val="000000" w:themeColor="text1"/>
                <w:sz w:val="24"/>
                <w:lang w:val="en-US" w:eastAsia="zh-CN"/>
                <w14:textFill>
                  <w14:solidFill>
                    <w14:schemeClr w14:val="tx1"/>
                  </w14:solidFill>
                </w14:textFill>
              </w:rPr>
              <w:t>《自动控制钠离子交换器技术条件》（GB/T18300-2025）中附录A中“A.2时间型交换器周期运行时间估算”。</w:t>
            </w:r>
          </w:p>
          <w:p w14:paraId="0CB5EF3D">
            <w:pPr>
              <w:pStyle w:val="51"/>
              <w:keepNext w:val="0"/>
              <w:pageBreakBefore w:val="0"/>
              <w:overflowPunct/>
              <w:topLinePunct w:val="0"/>
              <w:bidi w:val="0"/>
              <w:adjustRightInd/>
              <w:snapToGrid/>
              <w:ind w:left="0" w:leftChars="0" w:firstLine="0" w:firstLineChars="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t=（V</w:t>
            </w:r>
            <w:r>
              <w:rPr>
                <w:rFonts w:hint="eastAsia" w:cs="Times New Roman"/>
                <w:color w:val="000000" w:themeColor="text1"/>
                <w:sz w:val="24"/>
                <w:vertAlign w:val="subscript"/>
                <w:lang w:val="en-US" w:eastAsia="zh-CN"/>
                <w14:textFill>
                  <w14:solidFill>
                    <w14:schemeClr w14:val="tx1"/>
                  </w14:solidFill>
                </w14:textFill>
              </w:rPr>
              <w:t>R</w:t>
            </w:r>
            <w:r>
              <w:rPr>
                <w:rFonts w:hint="eastAsia" w:cs="Times New Roman"/>
                <w:color w:val="000000" w:themeColor="text1"/>
                <w:sz w:val="24"/>
                <w:lang w:val="en-US" w:eastAsia="zh-CN"/>
                <w14:textFill>
                  <w14:solidFill>
                    <w14:schemeClr w14:val="tx1"/>
                  </w14:solidFill>
                </w14:textFill>
              </w:rPr>
              <w:t>×E×k）/（YD×Qd）</w:t>
            </w:r>
          </w:p>
          <w:p w14:paraId="09A88758">
            <w:pPr>
              <w:pStyle w:val="51"/>
              <w:keepNext w:val="0"/>
              <w:pageBreakBefore w:val="0"/>
              <w:overflowPunct/>
              <w:topLinePunct w:val="0"/>
              <w:bidi w:val="0"/>
              <w:adjustRightInd/>
              <w:snapToGrid/>
              <w:ind w:firstLine="482"/>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式中：t—再生后可运行时间，单位为小时h；</w:t>
            </w:r>
          </w:p>
          <w:p w14:paraId="7948A273">
            <w:pPr>
              <w:pStyle w:val="51"/>
              <w:keepNext w:val="0"/>
              <w:pageBreakBefore w:val="0"/>
              <w:overflowPunct/>
              <w:topLinePunct w:val="0"/>
              <w:bidi w:val="0"/>
              <w:adjustRightInd/>
              <w:snapToGrid/>
              <w:ind w:firstLine="482"/>
              <w:rPr>
                <w:rFonts w:hint="default" w:cs="Times New Roman"/>
                <w:color w:val="000000" w:themeColor="text1"/>
                <w:sz w:val="24"/>
                <w:vertAlign w:val="superscript"/>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V</w:t>
            </w:r>
            <w:r>
              <w:rPr>
                <w:rFonts w:hint="eastAsia" w:cs="Times New Roman"/>
                <w:color w:val="000000" w:themeColor="text1"/>
                <w:sz w:val="24"/>
                <w:vertAlign w:val="subscript"/>
                <w:lang w:val="en-US" w:eastAsia="zh-CN"/>
                <w14:textFill>
                  <w14:solidFill>
                    <w14:schemeClr w14:val="tx1"/>
                  </w14:solidFill>
                </w14:textFill>
              </w:rPr>
              <w:t>R</w:t>
            </w:r>
            <w:r>
              <w:rPr>
                <w:rFonts w:hint="eastAsia" w:cs="Times New Roman"/>
                <w:color w:val="000000" w:themeColor="text1"/>
                <w:sz w:val="24"/>
                <w:lang w:val="en-US" w:eastAsia="zh-CN"/>
                <w14:textFill>
                  <w14:solidFill>
                    <w14:schemeClr w14:val="tx1"/>
                  </w14:solidFill>
                </w14:textFill>
              </w:rPr>
              <w:t>—交换罐内树脂填装体积，单位为m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；根据工程分析，本项目树脂罐尺寸为φ350*1650mm，树脂填装容积约树脂罐80%，即本项目树脂填装体积为0.1269m</w:t>
            </w:r>
            <w:r>
              <w:rPr>
                <w:rFonts w:hint="eastAsia" w:cs="Times New Roman"/>
                <w:color w:val="000000" w:themeColor="text1"/>
                <w:sz w:val="24"/>
                <w:vertAlign w:val="superscript"/>
                <w:lang w:val="en-US" w:eastAsia="zh-CN"/>
                <w14:textFill>
                  <w14:solidFill>
                    <w14:schemeClr w14:val="tx1"/>
                  </w14:solidFill>
                </w14:textFill>
              </w:rPr>
              <w:t>3</w:t>
            </w:r>
            <w:r>
              <w:rPr>
                <w:rFonts w:hint="eastAsia"/>
                <w:b w:val="0"/>
                <w:bCs/>
                <w:color w:val="000000" w:themeColor="text1"/>
                <w:sz w:val="24"/>
                <w:lang w:val="en-US" w:eastAsia="zh-CN"/>
                <w14:textFill>
                  <w14:solidFill>
                    <w14:schemeClr w14:val="tx1"/>
                  </w14:solidFill>
                </w14:textFill>
              </w:rPr>
              <w:t>；</w:t>
            </w:r>
          </w:p>
          <w:p w14:paraId="7DD5F631">
            <w:pPr>
              <w:pStyle w:val="51"/>
              <w:keepNext w:val="0"/>
              <w:pageBreakBefore w:val="0"/>
              <w:overflowPunct/>
              <w:topLinePunct w:val="0"/>
              <w:bidi w:val="0"/>
              <w:adjustRightInd/>
              <w:snapToGrid/>
              <w:ind w:firstLine="482"/>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E—钠离子交换树脂工作交换容量，单位为mol/m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w:t>
            </w:r>
            <w:r>
              <w:rPr>
                <w:rFonts w:hint="eastAsia"/>
                <w:b w:val="0"/>
                <w:bCs/>
                <w:color w:val="000000" w:themeColor="text1"/>
                <w:sz w:val="24"/>
                <w:lang w:val="en-US" w:eastAsia="zh-CN"/>
                <w14:textFill>
                  <w14:solidFill>
                    <w14:schemeClr w14:val="tx1"/>
                  </w14:solidFill>
                </w14:textFill>
              </w:rPr>
              <w:t>树脂工作交换容量参照《自动控制钠离子交换器技术条件》（GB/T18300-2025）“表4交换器主要参数和性能指标的要求”中“顺流再生固定床工作交换容量为900~1000mol/m</w:t>
            </w:r>
            <w:r>
              <w:rPr>
                <w:rFonts w:hint="eastAsia"/>
                <w:b w:val="0"/>
                <w:bCs/>
                <w:color w:val="000000" w:themeColor="text1"/>
                <w:sz w:val="24"/>
                <w:vertAlign w:val="superscript"/>
                <w:lang w:val="en-US" w:eastAsia="zh-CN"/>
                <w14:textFill>
                  <w14:solidFill>
                    <w14:schemeClr w14:val="tx1"/>
                  </w14:solidFill>
                </w14:textFill>
              </w:rPr>
              <w:t>3</w:t>
            </w:r>
            <w:r>
              <w:rPr>
                <w:rFonts w:hint="eastAsia"/>
                <w:b w:val="0"/>
                <w:bCs/>
                <w:color w:val="000000" w:themeColor="text1"/>
                <w:sz w:val="24"/>
                <w:lang w:val="en-US" w:eastAsia="zh-CN"/>
                <w14:textFill>
                  <w14:solidFill>
                    <w14:schemeClr w14:val="tx1"/>
                  </w14:solidFill>
                </w14:textFill>
              </w:rPr>
              <w:t>”本次以1000mol/m</w:t>
            </w:r>
            <w:r>
              <w:rPr>
                <w:rFonts w:hint="eastAsia"/>
                <w:b w:val="0"/>
                <w:bCs/>
                <w:color w:val="000000" w:themeColor="text1"/>
                <w:sz w:val="24"/>
                <w:vertAlign w:val="superscript"/>
                <w:lang w:val="en-US" w:eastAsia="zh-CN"/>
                <w14:textFill>
                  <w14:solidFill>
                    <w14:schemeClr w14:val="tx1"/>
                  </w14:solidFill>
                </w14:textFill>
              </w:rPr>
              <w:t>3</w:t>
            </w:r>
            <w:r>
              <w:rPr>
                <w:rFonts w:hint="eastAsia"/>
                <w:b w:val="0"/>
                <w:bCs/>
                <w:color w:val="000000" w:themeColor="text1"/>
                <w:sz w:val="24"/>
                <w:lang w:val="en-US" w:eastAsia="zh-CN"/>
                <w14:textFill>
                  <w14:solidFill>
                    <w14:schemeClr w14:val="tx1"/>
                  </w14:solidFill>
                </w14:textFill>
              </w:rPr>
              <w:t>计；</w:t>
            </w:r>
          </w:p>
          <w:p w14:paraId="63D99F80">
            <w:pPr>
              <w:pStyle w:val="51"/>
              <w:keepNext w:val="0"/>
              <w:pageBreakBefore w:val="0"/>
              <w:overflowPunct/>
              <w:topLinePunct w:val="0"/>
              <w:bidi w:val="0"/>
              <w:adjustRightInd/>
              <w:snapToGrid/>
              <w:ind w:firstLine="482"/>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K—为保证运行后期出水硬度不超标所需保留系数，一般为0.6~0.95；本次以0.9计。</w:t>
            </w:r>
          </w:p>
          <w:p w14:paraId="293E1458">
            <w:pPr>
              <w:keepLines/>
              <w:tabs>
                <w:tab w:val="left" w:pos="4830"/>
              </w:tabs>
              <w:spacing w:line="360" w:lineRule="auto"/>
              <w:ind w:firstLine="480" w:firstLineChars="200"/>
              <w:jc w:val="left"/>
              <w:rPr>
                <w:rFonts w:hint="default"/>
                <w:b w:val="0"/>
                <w:bCs/>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YD—进水总硬度，单位为mmol/L；</w:t>
            </w:r>
            <w:r>
              <w:rPr>
                <w:rFonts w:hint="eastAsia"/>
                <w:b w:val="0"/>
                <w:bCs/>
                <w:color w:val="000000" w:themeColor="text1"/>
                <w:sz w:val="24"/>
                <w:lang w:val="en-US" w:eastAsia="zh-CN"/>
                <w14:textFill>
                  <w14:solidFill>
                    <w14:schemeClr w14:val="tx1"/>
                  </w14:solidFill>
                </w14:textFill>
              </w:rPr>
              <w:t>本项目用水为市政供给自来水，总硬度参照《生活饮用水卫生标准》（GB5749-2006）中标准限值“总硬度≤450mg/L”，本次以450mg/L计。CaCO</w:t>
            </w:r>
            <w:r>
              <w:rPr>
                <w:rFonts w:hint="eastAsia"/>
                <w:b w:val="0"/>
                <w:bCs/>
                <w:color w:val="000000" w:themeColor="text1"/>
                <w:sz w:val="24"/>
                <w:vertAlign w:val="subscript"/>
                <w:lang w:val="en-US" w:eastAsia="zh-CN"/>
                <w14:textFill>
                  <w14:solidFill>
                    <w14:schemeClr w14:val="tx1"/>
                  </w14:solidFill>
                </w14:textFill>
              </w:rPr>
              <w:t>3</w:t>
            </w:r>
            <w:r>
              <w:rPr>
                <w:rFonts w:hint="eastAsia"/>
                <w:b w:val="0"/>
                <w:bCs/>
                <w:color w:val="000000" w:themeColor="text1"/>
                <w:sz w:val="24"/>
                <w:lang w:val="en-US" w:eastAsia="zh-CN"/>
                <w14:textFill>
                  <w14:solidFill>
                    <w14:schemeClr w14:val="tx1"/>
                  </w14:solidFill>
                </w14:textFill>
              </w:rPr>
              <w:t>分子量是100，450/100=4.5mmol/L。</w:t>
            </w:r>
          </w:p>
          <w:p w14:paraId="23713195">
            <w:pPr>
              <w:pStyle w:val="51"/>
              <w:keepNext w:val="0"/>
              <w:pageBreakBefore w:val="0"/>
              <w:overflowPunct/>
              <w:topLinePunct w:val="0"/>
              <w:bidi w:val="0"/>
              <w:adjustRightInd/>
              <w:snapToGrid/>
              <w:ind w:firstLine="482"/>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Qd—交换器单位时间制水量，单位为t/h；本项目为3t/h。</w:t>
            </w:r>
          </w:p>
          <w:p w14:paraId="40DC39B5">
            <w:pPr>
              <w:keepLines/>
              <w:tabs>
                <w:tab w:val="left" w:pos="4830"/>
              </w:tabs>
              <w:spacing w:line="360" w:lineRule="auto"/>
              <w:ind w:firstLine="480" w:firstLineChars="200"/>
              <w:jc w:val="left"/>
              <w:rPr>
                <w:rFonts w:hint="eastAsia"/>
                <w:b w:val="0"/>
                <w:bCs/>
                <w:color w:val="000000" w:themeColor="text1"/>
                <w:sz w:val="24"/>
                <w:lang w:val="en-US" w:eastAsia="zh-CN"/>
                <w14:textFill>
                  <w14:solidFill>
                    <w14:schemeClr w14:val="tx1"/>
                  </w14:solidFill>
                </w14:textFill>
              </w:rPr>
            </w:pPr>
            <w:r>
              <w:rPr>
                <w:rFonts w:hint="eastAsia"/>
                <w:b w:val="0"/>
                <w:bCs/>
                <w:color w:val="000000" w:themeColor="text1"/>
                <w:sz w:val="24"/>
                <w:lang w:val="en-US" w:eastAsia="zh-CN"/>
                <w14:textFill>
                  <w14:solidFill>
                    <w14:schemeClr w14:val="tx1"/>
                  </w14:solidFill>
                </w14:textFill>
              </w:rPr>
              <w:t>综上所述，本项目软水设备再生周期为8.46h，本项目每天工作时间为8h，年运行300天，即再生周期为1.06天，再生次数为284次。</w:t>
            </w:r>
          </w:p>
          <w:p w14:paraId="5EFA1F06">
            <w:pPr>
              <w:keepLines/>
              <w:tabs>
                <w:tab w:val="left" w:pos="4830"/>
              </w:tabs>
              <w:spacing w:line="360" w:lineRule="auto"/>
              <w:ind w:firstLine="480" w:firstLineChars="200"/>
              <w:jc w:val="left"/>
              <w:rPr>
                <w:rFonts w:hint="default"/>
                <w:b w:val="0"/>
                <w:bCs/>
                <w:color w:val="000000" w:themeColor="text1"/>
                <w:sz w:val="24"/>
                <w:lang w:val="en-US" w:eastAsia="zh-CN"/>
                <w14:textFill>
                  <w14:solidFill>
                    <w14:schemeClr w14:val="tx1"/>
                  </w14:solidFill>
                </w14:textFill>
              </w:rPr>
            </w:pPr>
            <w:r>
              <w:rPr>
                <w:rFonts w:hint="eastAsia"/>
                <w:b w:val="0"/>
                <w:bCs/>
                <w:color w:val="000000" w:themeColor="text1"/>
                <w:sz w:val="24"/>
                <w:lang w:val="en-US" w:eastAsia="zh-CN"/>
                <w14:textFill>
                  <w14:solidFill>
                    <w14:schemeClr w14:val="tx1"/>
                  </w14:solidFill>
                </w14:textFill>
              </w:rPr>
              <w:t>每升树脂再生盐用量为160g，</w:t>
            </w:r>
            <w:r>
              <w:rPr>
                <w:rFonts w:hint="eastAsia" w:cs="Times New Roman"/>
                <w:color w:val="000000" w:themeColor="text1"/>
                <w:sz w:val="24"/>
                <w:lang w:val="en-US" w:eastAsia="zh-CN"/>
                <w14:textFill>
                  <w14:solidFill>
                    <w14:schemeClr w14:val="tx1"/>
                  </w14:solidFill>
                </w14:textFill>
              </w:rPr>
              <w:t>本项目树脂填装体积为0.1269m</w:t>
            </w:r>
            <w:r>
              <w:rPr>
                <w:rFonts w:hint="eastAsia" w:cs="Times New Roman"/>
                <w:color w:val="000000" w:themeColor="text1"/>
                <w:sz w:val="24"/>
                <w:vertAlign w:val="superscript"/>
                <w:lang w:val="en-US" w:eastAsia="zh-CN"/>
                <w14:textFill>
                  <w14:solidFill>
                    <w14:schemeClr w14:val="tx1"/>
                  </w14:solidFill>
                </w14:textFill>
              </w:rPr>
              <w:t>3</w:t>
            </w:r>
            <w:r>
              <w:rPr>
                <w:rFonts w:hint="eastAsia"/>
                <w:b w:val="0"/>
                <w:bCs/>
                <w:color w:val="000000" w:themeColor="text1"/>
                <w:sz w:val="24"/>
                <w:lang w:val="en-US" w:eastAsia="zh-CN"/>
                <w14:textFill>
                  <w14:solidFill>
                    <w14:schemeClr w14:val="tx1"/>
                  </w14:solidFill>
                </w14:textFill>
              </w:rPr>
              <w:t>，即每次再生所需盐量为20.3kg；本项目再生次数为284次，即年盐用量约为5.76t。</w:t>
            </w:r>
          </w:p>
          <w:p w14:paraId="0F06F80D">
            <w:pPr>
              <w:keepLines/>
              <w:tabs>
                <w:tab w:val="left" w:pos="4830"/>
              </w:tabs>
              <w:spacing w:line="360" w:lineRule="auto"/>
              <w:ind w:firstLine="482" w:firstLineChars="200"/>
              <w:jc w:val="left"/>
              <w:rPr>
                <w:rFonts w:hint="eastAsia" w:eastAsia="宋体"/>
                <w:b/>
                <w:color w:val="000000" w:themeColor="text1"/>
                <w:sz w:val="24"/>
                <w:lang w:val="en-US" w:eastAsia="zh-CN"/>
                <w14:textFill>
                  <w14:solidFill>
                    <w14:schemeClr w14:val="tx1"/>
                  </w14:solidFill>
                </w14:textFill>
              </w:rPr>
            </w:pPr>
            <w:r>
              <w:rPr>
                <w:rFonts w:hint="eastAsia"/>
                <w:b/>
                <w:color w:val="000000" w:themeColor="text1"/>
                <w:sz w:val="24"/>
                <w:lang w:val="en-US" w:eastAsia="zh-CN"/>
                <w14:textFill>
                  <w14:solidFill>
                    <w14:schemeClr w14:val="tx1"/>
                  </w14:solidFill>
                </w14:textFill>
              </w:rPr>
              <w:t>2）生活污水处置可行性</w:t>
            </w:r>
          </w:p>
          <w:p w14:paraId="3D22B0B0">
            <w:pPr>
              <w:pStyle w:val="18"/>
              <w:autoSpaceDE/>
              <w:autoSpaceDN/>
              <w:adjustRightInd/>
              <w:spacing w:line="360" w:lineRule="auto"/>
              <w:ind w:firstLine="482" w:firstLineChars="200"/>
              <w:rPr>
                <w:rFonts w:hint="eastAsia"/>
                <w:b/>
                <w:bCs/>
                <w:color w:val="000000" w:themeColor="text1"/>
                <w:kern w:val="0"/>
                <w:sz w:val="24"/>
                <w:szCs w:val="24"/>
                <w:highlight w:val="none"/>
                <w:lang w:val="en-US" w:eastAsia="zh-CN"/>
                <w14:textFill>
                  <w14:solidFill>
                    <w14:schemeClr w14:val="tx1"/>
                  </w14:solidFill>
                </w14:textFill>
              </w:rPr>
            </w:pPr>
            <w:r>
              <w:rPr>
                <w:rFonts w:hint="eastAsia"/>
                <w:b/>
                <w:bCs/>
                <w:color w:val="000000" w:themeColor="text1"/>
                <w:kern w:val="0"/>
                <w:sz w:val="24"/>
                <w:szCs w:val="24"/>
                <w:highlight w:val="none"/>
                <w:lang w:val="en-US" w:eastAsia="zh-CN"/>
                <w14:textFill>
                  <w14:solidFill>
                    <w14:schemeClr w14:val="tx1"/>
                  </w14:solidFill>
                </w14:textFill>
              </w:rPr>
              <w:t>①生活污水处置</w:t>
            </w:r>
          </w:p>
          <w:p w14:paraId="405A4AE6">
            <w:pPr>
              <w:pStyle w:val="18"/>
              <w:autoSpaceDE/>
              <w:autoSpaceDN/>
              <w:adjustRightInd/>
              <w:spacing w:line="360" w:lineRule="auto"/>
              <w:ind w:firstLine="480" w:firstLineChars="200"/>
              <w:rPr>
                <w:rFonts w:hint="default" w:ascii="Times New Roman" w:hAnsi="Times New Roman" w:eastAsia="宋体" w:cs="Times New Roman"/>
                <w:color w:val="000000" w:themeColor="text1"/>
                <w:szCs w:val="32"/>
                <w:lang w:val="en-US" w:eastAsia="zh-CN"/>
                <w14:textFill>
                  <w14:solidFill>
                    <w14:schemeClr w14:val="tx1"/>
                  </w14:solidFill>
                </w14:textFill>
              </w:rPr>
            </w:pPr>
            <w:r>
              <w:rPr>
                <w:rFonts w:hint="eastAsia"/>
                <w:color w:val="000000" w:themeColor="text1"/>
                <w:kern w:val="0"/>
                <w:sz w:val="24"/>
                <w:szCs w:val="24"/>
                <w:highlight w:val="none"/>
                <w:lang w:val="en-US" w:eastAsia="zh-CN"/>
                <w14:textFill>
                  <w14:solidFill>
                    <w14:schemeClr w14:val="tx1"/>
                  </w14:solidFill>
                </w14:textFill>
              </w:rPr>
              <w:t>生活污水经化粪池处理后进入一体化污水处理设施处理到达绿化用水标准暂存于中水池用于厂区绿化，不外排</w:t>
            </w:r>
            <w:r>
              <w:rPr>
                <w:rFonts w:hint="eastAsia" w:ascii="Times New Roman" w:hAnsi="Times New Roman" w:eastAsia="宋体" w:cs="Times New Roman"/>
                <w:color w:val="000000" w:themeColor="text1"/>
                <w:szCs w:val="32"/>
                <w:lang w:val="en-US" w:eastAsia="zh-CN"/>
                <w14:textFill>
                  <w14:solidFill>
                    <w14:schemeClr w14:val="tx1"/>
                  </w14:solidFill>
                </w14:textFill>
              </w:rPr>
              <w:t>。</w:t>
            </w:r>
          </w:p>
          <w:p w14:paraId="0153A989">
            <w:pPr>
              <w:keepLines/>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建筑给水排水设计规范》（GB50015-2003）要求：化粪池有效停留时间取12~24h。污水的排放量变化大会影响化粪池的污水处理效果，预留污水有效停留时间有利于保证化粪池污水处理效果。本项目生活污水产生量为</w:t>
            </w:r>
            <w:r>
              <w:rPr>
                <w:rFonts w:hint="eastAsia"/>
                <w:color w:val="000000" w:themeColor="text1"/>
                <w:sz w:val="24"/>
                <w14:textFill>
                  <w14:solidFill>
                    <w14:schemeClr w14:val="tx1"/>
                  </w14:solidFill>
                </w14:textFill>
              </w:rPr>
              <w:t>0.</w:t>
            </w:r>
            <w:r>
              <w:rPr>
                <w:rFonts w:hint="eastAsia"/>
                <w:color w:val="000000" w:themeColor="text1"/>
                <w:sz w:val="24"/>
                <w:lang w:val="en-US" w:eastAsia="zh-CN"/>
                <w14:textFill>
                  <w14:solidFill>
                    <w14:schemeClr w14:val="tx1"/>
                  </w14:solidFill>
                </w14:textFill>
              </w:rPr>
              <w:t>624</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现有</w:t>
            </w:r>
            <w:r>
              <w:rPr>
                <w:color w:val="000000" w:themeColor="text1"/>
                <w:sz w:val="24"/>
                <w14:textFill>
                  <w14:solidFill>
                    <w14:schemeClr w14:val="tx1"/>
                  </w14:solidFill>
                </w14:textFill>
              </w:rPr>
              <w:t>1个</w:t>
            </w:r>
            <w:r>
              <w:rPr>
                <w:rFonts w:hint="eastAsia"/>
                <w:color w:val="000000" w:themeColor="text1"/>
                <w:sz w:val="24"/>
                <w:lang w:val="en-US" w:eastAsia="zh-CN"/>
                <w14:textFill>
                  <w14:solidFill>
                    <w14:schemeClr w14:val="tx1"/>
                  </w14:solidFill>
                </w14:textFill>
              </w:rPr>
              <w:t>3</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化粪池，</w:t>
            </w:r>
            <w:r>
              <w:rPr>
                <w:rFonts w:hint="eastAsia"/>
                <w:color w:val="000000" w:themeColor="text1"/>
                <w:sz w:val="24"/>
                <w14:textFill>
                  <w14:solidFill>
                    <w14:schemeClr w14:val="tx1"/>
                  </w14:solidFill>
                </w14:textFill>
              </w:rPr>
              <w:t>化粪池</w:t>
            </w:r>
            <w:r>
              <w:rPr>
                <w:color w:val="000000" w:themeColor="text1"/>
                <w:sz w:val="24"/>
                <w14:textFill>
                  <w14:solidFill>
                    <w14:schemeClr w14:val="tx1"/>
                  </w14:solidFill>
                </w14:textFill>
              </w:rPr>
              <w:t>能够满足《建筑给水排水设计规范》（GB50015-2003）</w:t>
            </w:r>
            <w:r>
              <w:rPr>
                <w:rFonts w:hint="eastAsia"/>
                <w:color w:val="000000" w:themeColor="text1"/>
                <w:sz w:val="24"/>
                <w14:textFill>
                  <w14:solidFill>
                    <w14:schemeClr w14:val="tx1"/>
                  </w14:solidFill>
                </w14:textFill>
              </w:rPr>
              <w:t>24h</w:t>
            </w:r>
            <w:r>
              <w:rPr>
                <w:color w:val="000000" w:themeColor="text1"/>
                <w:sz w:val="24"/>
                <w14:textFill>
                  <w14:solidFill>
                    <w14:schemeClr w14:val="tx1"/>
                  </w14:solidFill>
                </w14:textFill>
              </w:rPr>
              <w:t>有效停留时间相关要求。</w:t>
            </w:r>
          </w:p>
          <w:p w14:paraId="5E7FE4ED">
            <w:pPr>
              <w:keepLines/>
              <w:tabs>
                <w:tab w:val="left" w:pos="4830"/>
              </w:tabs>
              <w:spacing w:line="360" w:lineRule="auto"/>
              <w:ind w:firstLine="480" w:firstLineChars="200"/>
              <w:jc w:val="left"/>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lang w:eastAsia="zh-CN"/>
                <w14:textFill>
                  <w14:solidFill>
                    <w14:schemeClr w14:val="tx1"/>
                  </w14:solidFill>
                </w14:textFill>
              </w:rPr>
              <w:t>本项目设置</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1个处理能力</w:t>
            </w:r>
            <w:r>
              <w:rPr>
                <w:rFonts w:hint="eastAsia" w:cs="Times New Roman"/>
                <w:bCs/>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/d</w:t>
            </w:r>
            <w:r>
              <w:rPr>
                <w:rFonts w:hint="eastAsia" w:ascii="Times New Roman" w:hAnsi="Times New Roman" w:eastAsia="宋体" w:cs="Times New Roman"/>
                <w:bCs/>
                <w:color w:val="000000" w:themeColor="text1"/>
                <w:sz w:val="24"/>
                <w:szCs w:val="24"/>
                <w:lang w:eastAsia="zh-CN"/>
                <w14:textFill>
                  <w14:solidFill>
                    <w14:schemeClr w14:val="tx1"/>
                  </w14:solidFill>
                </w14:textFill>
              </w:rPr>
              <w:t>一体化污水处理设施，一体化污水处理设施能够处理本项目产生的生活污水。</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新增1个</w:t>
            </w:r>
            <w:r>
              <w:rPr>
                <w:rFonts w:hint="eastAsia" w:eastAsia="宋体" w:cs="Times New Roman"/>
                <w:b w:val="0"/>
                <w:bCs w:val="0"/>
                <w:color w:val="000000" w:themeColor="text1"/>
                <w:sz w:val="24"/>
                <w:szCs w:val="24"/>
                <w:lang w:val="en-US" w:eastAsia="zh-CN"/>
                <w14:textFill>
                  <w14:solidFill>
                    <w14:schemeClr w14:val="tx1"/>
                  </w14:solidFill>
                </w14:textFill>
              </w:rPr>
              <w:t>约3</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3</w:t>
            </w:r>
            <w:r>
              <w:rPr>
                <w:rFonts w:hint="eastAsia" w:cs="Times New Roman"/>
                <w:b w:val="0"/>
                <w:bCs w:val="0"/>
                <w:color w:val="000000" w:themeColor="text1"/>
                <w:sz w:val="24"/>
                <w:szCs w:val="24"/>
                <w:lang w:val="en-US" w:eastAsia="zh-CN"/>
                <w14:textFill>
                  <w14:solidFill>
                    <w14:schemeClr w14:val="tx1"/>
                  </w14:solidFill>
                </w14:textFill>
              </w:rPr>
              <w:t>中水池</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，收集后留待晴天使用。</w:t>
            </w:r>
            <w:r>
              <w:rPr>
                <w:rFonts w:hint="eastAsia" w:eastAsia="宋体" w:cs="Times New Roman"/>
                <w:b w:val="0"/>
                <w:bCs w:val="0"/>
                <w:color w:val="000000" w:themeColor="text1"/>
                <w:sz w:val="24"/>
                <w:szCs w:val="24"/>
                <w:lang w:val="en-US" w:eastAsia="zh-CN"/>
                <w14:textFill>
                  <w14:solidFill>
                    <w14:schemeClr w14:val="tx1"/>
                  </w14:solidFill>
                </w14:textFill>
              </w:rPr>
              <w:t>化粪池能够收集约4天的生活污水，</w:t>
            </w:r>
            <w:r>
              <w:rPr>
                <w:rFonts w:hint="eastAsia" w:cs="Times New Roman"/>
                <w:b w:val="0"/>
                <w:bCs w:val="0"/>
                <w:color w:val="000000" w:themeColor="text1"/>
                <w:sz w:val="24"/>
                <w:szCs w:val="24"/>
                <w:lang w:val="en-US" w:eastAsia="zh-CN"/>
                <w14:textFill>
                  <w14:solidFill>
                    <w14:schemeClr w14:val="tx1"/>
                  </w14:solidFill>
                </w14:textFill>
              </w:rPr>
              <w:t>中水池</w:t>
            </w:r>
            <w:r>
              <w:rPr>
                <w:rFonts w:hint="eastAsia" w:eastAsia="宋体" w:cs="Times New Roman"/>
                <w:b w:val="0"/>
                <w:bCs w:val="0"/>
                <w:color w:val="000000" w:themeColor="text1"/>
                <w:sz w:val="24"/>
                <w:szCs w:val="24"/>
                <w:lang w:val="en-US" w:eastAsia="zh-CN"/>
                <w14:textFill>
                  <w14:solidFill>
                    <w14:schemeClr w14:val="tx1"/>
                  </w14:solidFill>
                </w14:textFill>
              </w:rPr>
              <w:t>能够收集约4天的处理后的生活污水，能够满足相关要求。</w:t>
            </w:r>
          </w:p>
          <w:p w14:paraId="13B8F7D3">
            <w:pPr>
              <w:pStyle w:val="169"/>
              <w:keepNext w:val="0"/>
              <w:keepLines w:val="0"/>
              <w:pageBreakBefore w:val="0"/>
              <w:widowControl w:val="0"/>
              <w:kinsoku/>
              <w:wordWrap/>
              <w:overflowPunct/>
              <w:topLinePunct w:val="0"/>
              <w:autoSpaceDE/>
              <w:autoSpaceDN/>
              <w:bidi w:val="0"/>
              <w:adjustRightInd w:val="0"/>
              <w:snapToGrid w:val="0"/>
              <w:spacing w:before="0" w:beforeAutospacing="0" w:line="360" w:lineRule="auto"/>
              <w:ind w:left="0" w:leftChars="0" w:firstLine="480" w:firstLineChars="200"/>
              <w:jc w:val="both"/>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本环评建议项目采取一体化污水处理设施进行处理，采用A/O法生物处理工艺。A级是缺氧生物处理，兼氧微生物利用有机碳源作为电子供体，能将污水中的NO</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-N、NO</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-N转化成N</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达到脱氮的目的，从而消除了氮的富营养化污染，同时又去除了部分有机物。通常厌氧消化对生化性较好的废水中的COD去除率可达60%左右。O级是好氧生物处理，是为了使有机物得到进一步氧化分解，同时在碳化作用趋于完成的情况下，使硝化作用能顺利进行，在O级池中主要存在好氧微生物和自养型细菌（硝化菌）。其中好氧微生物将有机物分解成CO</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和H</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O；自养型细菌（硝化菌）能将污水中NH</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-N转化为NO</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-N、NO</w:t>
            </w:r>
            <w:r>
              <w:rPr>
                <w:rFonts w:hint="default" w:ascii="Times New Roman" w:hAnsi="Times New Roman" w:cs="Times New Roman" w:eastAsiaTheme="minorEastAsia"/>
                <w:color w:val="000000" w:themeColor="text1"/>
                <w:sz w:val="24"/>
                <w:szCs w:val="24"/>
                <w:vertAlign w:val="subscript"/>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-N。O级池的出水部分回流到A级，为A级池提供电子接受体，通过硝化作用最终消除氮污染。项目实施时具体采用的污水处理工艺可由建设单位委托有资质的单位设计施工，保证出水水质达到《城市污水再生利用  城市杂用水水质》（GB/T 18920-2020）标准中</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绿化</w:t>
            </w:r>
            <w:r>
              <w:rPr>
                <w:rFonts w:hint="default" w:ascii="Times New Roman" w:hAnsi="Times New Roman" w:cs="Times New Roman" w:eastAsiaTheme="minorEastAsia"/>
                <w:color w:val="000000" w:themeColor="text1"/>
                <w:sz w:val="24"/>
                <w:szCs w:val="24"/>
                <w14:textFill>
                  <w14:solidFill>
                    <w14:schemeClr w14:val="tx1"/>
                  </w14:solidFill>
                </w14:textFill>
              </w:rPr>
              <w:t>标准。本项目一体化生活污水处理设施工艺流程见</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下图4-1。</w:t>
            </w:r>
          </w:p>
          <w:p w14:paraId="03B11625">
            <w:pPr>
              <w:pStyle w:val="169"/>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firstLine="0" w:firstLineChars="0"/>
              <w:jc w:val="center"/>
              <w:textAlignment w:val="auto"/>
              <w:outlineLvl w:val="9"/>
              <w:rPr>
                <w:color w:val="000000" w:themeColor="text1"/>
                <w14:textFill>
                  <w14:solidFill>
                    <w14:schemeClr w14:val="tx1"/>
                  </w14:solidFill>
                </w14:textFill>
              </w:rPr>
            </w:pPr>
            <w:r>
              <w:rPr>
                <w:color w:val="000000" w:themeColor="text1"/>
                <w14:textFill>
                  <w14:solidFill>
                    <w14:schemeClr w14:val="tx1"/>
                  </w14:solidFill>
                </w14:textFill>
              </w:rPr>
              <w:object>
                <v:shape id="_x0000_i1035" o:spt="75" type="#_x0000_t75" style="height:98.55pt;width:383.75pt;" o:ole="t" filled="f" o:preferrelative="t" stroked="f" coordsize="21600,21600">
                  <v:path/>
                  <v:fill on="f" focussize="0,0"/>
                  <v:stroke on="f"/>
                  <v:imagedata r:id="rId24" o:title=""/>
                  <o:lock v:ext="edit" aspectratio="t"/>
                  <w10:wrap type="none"/>
                  <w10:anchorlock/>
                </v:shape>
                <o:OLEObject Type="Embed" ProgID="Visio.Drawing.11" ShapeID="_x0000_i1035" DrawAspect="Content" ObjectID="_1468075735" r:id="rId36">
                  <o:LockedField>false</o:LockedField>
                </o:OLEObject>
              </w:object>
            </w:r>
          </w:p>
          <w:p w14:paraId="5FDE3203">
            <w:pPr>
              <w:pStyle w:val="169"/>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firstLine="0" w:firstLineChars="0"/>
              <w:jc w:val="center"/>
              <w:textAlignment w:val="auto"/>
              <w:outlineLvl w:val="9"/>
              <w:rPr>
                <w:b/>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图</w:t>
            </w:r>
            <w:r>
              <w:rPr>
                <w:rFonts w:hint="eastAsia"/>
                <w:b/>
                <w:bCs/>
                <w:color w:val="000000" w:themeColor="text1"/>
                <w:sz w:val="21"/>
                <w:szCs w:val="21"/>
                <w:lang w:val="en-US" w:eastAsia="zh-CN"/>
                <w14:textFill>
                  <w14:solidFill>
                    <w14:schemeClr w14:val="tx1"/>
                  </w14:solidFill>
                </w14:textFill>
              </w:rPr>
              <w:t>4-1 一体化污水</w:t>
            </w:r>
            <w:r>
              <w:rPr>
                <w:b/>
                <w:bCs/>
                <w:color w:val="000000" w:themeColor="text1"/>
                <w:sz w:val="21"/>
                <w:szCs w:val="21"/>
                <w14:textFill>
                  <w14:solidFill>
                    <w14:schemeClr w14:val="tx1"/>
                  </w14:solidFill>
                </w14:textFill>
              </w:rPr>
              <w:t>处理设施</w:t>
            </w:r>
            <w:r>
              <w:rPr>
                <w:rFonts w:hint="eastAsia"/>
                <w:b/>
                <w:bCs/>
                <w:color w:val="000000" w:themeColor="text1"/>
                <w:sz w:val="21"/>
                <w:szCs w:val="21"/>
                <w:lang w:val="en-US" w:eastAsia="zh-CN"/>
                <w14:textFill>
                  <w14:solidFill>
                    <w14:schemeClr w14:val="tx1"/>
                  </w14:solidFill>
                </w14:textFill>
              </w:rPr>
              <w:t>处理</w:t>
            </w:r>
            <w:r>
              <w:rPr>
                <w:b/>
                <w:bCs/>
                <w:color w:val="000000" w:themeColor="text1"/>
                <w:sz w:val="21"/>
                <w:szCs w:val="21"/>
                <w14:textFill>
                  <w14:solidFill>
                    <w14:schemeClr w14:val="tx1"/>
                  </w14:solidFill>
                </w14:textFill>
              </w:rPr>
              <w:t>工艺流程图</w:t>
            </w:r>
          </w:p>
          <w:p w14:paraId="760658E5">
            <w:pPr>
              <w:pStyle w:val="169"/>
              <w:keepNext w:val="0"/>
              <w:keepLines w:val="0"/>
              <w:pageBreakBefore w:val="0"/>
              <w:widowControl w:val="0"/>
              <w:kinsoku/>
              <w:wordWrap/>
              <w:overflowPunct/>
              <w:topLinePunct w:val="0"/>
              <w:autoSpaceDE/>
              <w:autoSpaceDN/>
              <w:bidi w:val="0"/>
              <w:adjustRightInd w:val="0"/>
              <w:snapToGrid w:val="0"/>
              <w:spacing w:before="0" w:beforeAutospacing="0" w:line="360" w:lineRule="auto"/>
              <w:ind w:left="0" w:leftChars="0" w:firstLine="480" w:firstLineChars="200"/>
              <w:jc w:val="both"/>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经过上述工艺处理后的生活污水出水水质可满足《城市污水再生利用 城市杂用水水质》（GB/T18920-2020）绿化标准。因此本项目废水进行处理是可行的。</w:t>
            </w:r>
          </w:p>
          <w:p w14:paraId="47AF3F63">
            <w:pPr>
              <w:keepLines/>
              <w:tabs>
                <w:tab w:val="left" w:pos="4830"/>
              </w:tabs>
              <w:spacing w:line="360" w:lineRule="auto"/>
              <w:ind w:firstLine="482" w:firstLineChars="200"/>
              <w:jc w:val="left"/>
              <w:rPr>
                <w:rFonts w:hint="eastAsia" w:ascii="Times New Roman" w:hAnsi="Times New Roman" w:eastAsia="宋体" w:cs="Times New Roman"/>
                <w:b/>
                <w:color w:val="000000" w:themeColor="text1"/>
                <w:sz w:val="24"/>
                <w:lang w:eastAsia="zh-CN"/>
                <w14:textFill>
                  <w14:solidFill>
                    <w14:schemeClr w14:val="tx1"/>
                  </w14:solidFill>
                </w14:textFill>
              </w:rPr>
            </w:pPr>
            <w:r>
              <w:rPr>
                <w:rFonts w:hint="eastAsia" w:eastAsia="宋体" w:cs="Times New Roman"/>
                <w:b/>
                <w:color w:val="000000" w:themeColor="text1"/>
                <w:sz w:val="24"/>
                <w:lang w:eastAsia="zh-CN"/>
                <w14:textFill>
                  <w14:solidFill>
                    <w14:schemeClr w14:val="tx1"/>
                  </w14:solidFill>
                </w14:textFill>
              </w:rPr>
              <w:t>②生活污水不外排可行性</w:t>
            </w:r>
          </w:p>
          <w:p w14:paraId="30E24E08">
            <w:pPr>
              <w:keepLines/>
              <w:tabs>
                <w:tab w:val="left" w:pos="4830"/>
              </w:tabs>
              <w:spacing w:line="360" w:lineRule="auto"/>
              <w:ind w:firstLine="480" w:firstLineChars="200"/>
              <w:jc w:val="left"/>
              <w:rPr>
                <w:rFonts w:hint="default" w:ascii="Times New Roman" w:hAnsi="Times New Roman" w:eastAsia="宋体" w:cs="Times New Roman"/>
                <w:b/>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生活污水经隔油池、化粪池处理后进入一体化生活污水处理设施，</w:t>
            </w:r>
            <w:r>
              <w:rPr>
                <w:rFonts w:hint="eastAsia" w:ascii="Times New Roman" w:hAnsi="Times New Roman" w:cs="Times New Roman"/>
                <w:color w:val="000000" w:themeColor="text1"/>
                <w:sz w:val="24"/>
                <w:szCs w:val="24"/>
                <w:lang w:val="en-US" w:eastAsia="zh-CN"/>
                <w14:textFill>
                  <w14:solidFill>
                    <w14:schemeClr w14:val="tx1"/>
                  </w14:solidFill>
                </w14:textFill>
              </w:rPr>
              <w:t>经处理达标后，晴天回用于厂区绿化，不外排，雨天暂存于</w:t>
            </w:r>
            <w:r>
              <w:rPr>
                <w:rFonts w:hint="eastAsia" w:cs="Times New Roman"/>
                <w:color w:val="000000" w:themeColor="text1"/>
                <w:sz w:val="24"/>
                <w:szCs w:val="24"/>
                <w:lang w:val="en-US" w:eastAsia="zh-CN"/>
                <w14:textFill>
                  <w14:solidFill>
                    <w14:schemeClr w14:val="tx1"/>
                  </w14:solidFill>
                </w14:textFill>
              </w:rPr>
              <w:t>中水池</w:t>
            </w:r>
            <w:r>
              <w:rPr>
                <w:rFonts w:hint="eastAsia" w:ascii="Times New Roman" w:hAnsi="Times New Roman" w:cs="Times New Roman"/>
                <w:color w:val="000000" w:themeColor="text1"/>
                <w:sz w:val="24"/>
                <w:szCs w:val="24"/>
                <w:lang w:val="en-US" w:eastAsia="zh-CN"/>
                <w14:textFill>
                  <w14:solidFill>
                    <w14:schemeClr w14:val="tx1"/>
                  </w14:solidFill>
                </w14:textFill>
              </w:rPr>
              <w:t>，留待晴天使用，不外排。</w:t>
            </w:r>
          </w:p>
          <w:p w14:paraId="0122C699">
            <w:pPr>
              <w:pStyle w:val="18"/>
              <w:autoSpaceDE/>
              <w:autoSpaceDN/>
              <w:adjustRightInd/>
              <w:spacing w:line="360" w:lineRule="auto"/>
              <w:ind w:firstLine="480" w:firstLineChars="200"/>
              <w:rPr>
                <w:rFonts w:hint="default" w:ascii="Times New Roman" w:hAnsi="Times New Roman" w:eastAsia="宋体" w:cs="Times New Roman"/>
                <w:color w:val="000000" w:themeColor="text1"/>
                <w:szCs w:val="32"/>
                <w:lang w:eastAsia="zh-CN"/>
                <w14:textFill>
                  <w14:solidFill>
                    <w14:schemeClr w14:val="tx1"/>
                  </w14:solidFill>
                </w14:textFill>
              </w:rPr>
            </w:pPr>
            <w:r>
              <w:rPr>
                <w:color w:val="000000" w:themeColor="text1"/>
                <w:sz w:val="24"/>
                <w14:textFill>
                  <w14:solidFill>
                    <w14:schemeClr w14:val="tx1"/>
                  </w14:solidFill>
                </w14:textFill>
              </w:rPr>
              <w:t>本项目生活污水产生量为</w:t>
            </w:r>
            <w:r>
              <w:rPr>
                <w:rFonts w:hint="eastAsia"/>
                <w:color w:val="000000" w:themeColor="text1"/>
                <w:sz w:val="24"/>
                <w14:textFill>
                  <w14:solidFill>
                    <w14:schemeClr w14:val="tx1"/>
                  </w14:solidFill>
                </w14:textFill>
              </w:rPr>
              <w:t>0.</w:t>
            </w:r>
            <w:r>
              <w:rPr>
                <w:rFonts w:hint="eastAsia"/>
                <w:color w:val="000000" w:themeColor="text1"/>
                <w:sz w:val="24"/>
                <w:lang w:val="en-US" w:eastAsia="zh-CN"/>
                <w14:textFill>
                  <w14:solidFill>
                    <w14:schemeClr w14:val="tx1"/>
                  </w14:solidFill>
                </w14:textFill>
              </w:rPr>
              <w:t>624</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ascii="Times New Roman" w:hAnsi="Times New Roman" w:eastAsia="宋体" w:cs="Times New Roman"/>
                <w:b w:val="0"/>
                <w:bCs w:val="0"/>
                <w:color w:val="000000" w:themeColor="text1"/>
                <w:lang w:val="en-US" w:eastAsia="zh-CN"/>
                <w14:textFill>
                  <w14:solidFill>
                    <w14:schemeClr w14:val="tx1"/>
                  </w14:solidFill>
                </w14:textFill>
              </w:rPr>
              <w:t>根据工程分析，项目晴天绿化用水量为1.5m</w:t>
            </w:r>
            <w:r>
              <w:rPr>
                <w:rFonts w:hint="eastAsia" w:ascii="Times New Roman" w:hAnsi="Times New Roman" w:eastAsia="宋体" w:cs="Times New Roman"/>
                <w:b w:val="0"/>
                <w:bCs w:val="0"/>
                <w:color w:val="000000" w:themeColor="text1"/>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lang w:val="en-US" w:eastAsia="zh-CN"/>
                <w14:textFill>
                  <w14:solidFill>
                    <w14:schemeClr w14:val="tx1"/>
                  </w14:solidFill>
                </w14:textFill>
              </w:rPr>
              <w:t>/d，</w:t>
            </w:r>
            <w:r>
              <w:rPr>
                <w:rFonts w:hint="eastAsia" w:eastAsia="宋体" w:cs="Times New Roman"/>
                <w:b w:val="0"/>
                <w:bCs/>
                <w:color w:val="000000" w:themeColor="text1"/>
                <w:sz w:val="24"/>
                <w:lang w:eastAsia="zh-CN" w:bidi="en-US"/>
                <w14:textFill>
                  <w14:solidFill>
                    <w14:schemeClr w14:val="tx1"/>
                  </w14:solidFill>
                </w14:textFill>
              </w:rPr>
              <w:t>绿化</w:t>
            </w:r>
            <w:r>
              <w:rPr>
                <w:rFonts w:hint="default" w:ascii="Times New Roman" w:hAnsi="Times New Roman" w:eastAsia="宋体" w:cs="Times New Roman"/>
                <w:b w:val="0"/>
                <w:bCs/>
                <w:color w:val="000000" w:themeColor="text1"/>
                <w:sz w:val="24"/>
                <w:lang w:eastAsia="zh-CN" w:bidi="en-US"/>
                <w14:textFill>
                  <w14:solidFill>
                    <w14:schemeClr w14:val="tx1"/>
                  </w14:solidFill>
                </w14:textFill>
              </w:rPr>
              <w:t>用水能够容纳</w:t>
            </w:r>
            <w:r>
              <w:rPr>
                <w:rFonts w:hint="eastAsia" w:eastAsia="宋体" w:cs="Times New Roman"/>
                <w:b w:val="0"/>
                <w:bCs/>
                <w:color w:val="000000" w:themeColor="text1"/>
                <w:sz w:val="24"/>
                <w:lang w:eastAsia="zh-CN" w:bidi="en-US"/>
                <w14:textFill>
                  <w14:solidFill>
                    <w14:schemeClr w14:val="tx1"/>
                  </w14:solidFill>
                </w14:textFill>
              </w:rPr>
              <w:t>项目生活污水</w:t>
            </w:r>
            <w:r>
              <w:rPr>
                <w:rFonts w:hint="default" w:ascii="Times New Roman" w:hAnsi="Times New Roman" w:eastAsia="宋体" w:cs="Times New Roman"/>
                <w:b w:val="0"/>
                <w:bCs/>
                <w:color w:val="000000" w:themeColor="text1"/>
                <w:sz w:val="24"/>
                <w:lang w:eastAsia="zh-CN" w:bidi="en-US"/>
                <w14:textFill>
                  <w14:solidFill>
                    <w14:schemeClr w14:val="tx1"/>
                  </w14:solidFill>
                </w14:textFill>
              </w:rPr>
              <w:t>，</w:t>
            </w:r>
            <w:r>
              <w:rPr>
                <w:rFonts w:hint="eastAsia" w:eastAsia="宋体" w:cs="Times New Roman"/>
                <w:b w:val="0"/>
                <w:bCs/>
                <w:color w:val="000000" w:themeColor="text1"/>
                <w:sz w:val="24"/>
                <w:lang w:eastAsia="zh-CN" w:bidi="en-US"/>
                <w14:textFill>
                  <w14:solidFill>
                    <w14:schemeClr w14:val="tx1"/>
                  </w14:solidFill>
                </w14:textFill>
              </w:rPr>
              <w:t>生活污水</w:t>
            </w:r>
            <w:r>
              <w:rPr>
                <w:rFonts w:hint="default" w:ascii="Times New Roman" w:hAnsi="Times New Roman" w:eastAsia="宋体" w:cs="Times New Roman"/>
                <w:color w:val="000000" w:themeColor="text1"/>
                <w:szCs w:val="32"/>
                <w14:textFill>
                  <w14:solidFill>
                    <w14:schemeClr w14:val="tx1"/>
                  </w14:solidFill>
                </w14:textFill>
              </w:rPr>
              <w:t>处理措施有可行性。</w:t>
            </w:r>
          </w:p>
          <w:p w14:paraId="73D8E705">
            <w:pPr>
              <w:keepLines/>
              <w:tabs>
                <w:tab w:val="left" w:pos="4830"/>
              </w:tabs>
              <w:spacing w:line="360" w:lineRule="auto"/>
              <w:ind w:firstLine="482" w:firstLineChars="200"/>
              <w:jc w:val="left"/>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（4）废水自行监测</w:t>
            </w:r>
          </w:p>
          <w:p w14:paraId="2FA6E897">
            <w:pPr>
              <w:keepNext w:val="0"/>
              <w:keepLines w:val="0"/>
              <w:pageBreakBefore w:val="0"/>
              <w:widowControl w:val="0"/>
              <w:kinsoku/>
              <w:wordWrap w:val="0"/>
              <w:overflowPunct/>
              <w:topLinePunct/>
              <w:autoSpaceDE/>
              <w:autoSpaceDN/>
              <w:bidi w:val="0"/>
              <w:adjustRightInd/>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本项目软水制备废水及生物质锅炉排污水</w:t>
            </w:r>
            <w:r>
              <w:rPr>
                <w:rFonts w:hint="eastAsia" w:cs="Times New Roman"/>
                <w:color w:val="000000" w:themeColor="text1"/>
                <w:sz w:val="24"/>
                <w:szCs w:val="24"/>
                <w:lang w:val="en-US" w:eastAsia="zh-CN"/>
                <w14:textFill>
                  <w14:solidFill>
                    <w14:schemeClr w14:val="tx1"/>
                  </w14:solidFill>
                </w14:textFill>
              </w:rPr>
              <w:t>经收集处理后回用于厂区洒水降尘</w:t>
            </w:r>
            <w:r>
              <w:rPr>
                <w:rFonts w:hint="eastAsia" w:ascii="Times New Roman" w:hAnsi="Times New Roman" w:cs="Times New Roman"/>
                <w:color w:val="000000" w:themeColor="text1"/>
                <w:sz w:val="24"/>
                <w:szCs w:val="24"/>
                <w:lang w:val="en-US" w:eastAsia="zh-CN"/>
                <w14:textFill>
                  <w14:solidFill>
                    <w14:schemeClr w14:val="tx1"/>
                  </w14:solidFill>
                </w14:textFill>
              </w:rPr>
              <w:t>，不外排。发泡工段蒸汽冷凝水用于生物质锅炉损耗补充水，不外排。</w:t>
            </w:r>
            <w:r>
              <w:rPr>
                <w:rFonts w:hint="eastAsia" w:cs="Times New Roman"/>
                <w:color w:val="000000" w:themeColor="text1"/>
                <w:sz w:val="24"/>
                <w:szCs w:val="24"/>
                <w:lang w:val="en-US" w:eastAsia="zh-CN"/>
                <w14:textFill>
                  <w14:solidFill>
                    <w14:schemeClr w14:val="tx1"/>
                  </w14:solidFill>
                </w14:textFill>
              </w:rPr>
              <w:t>压模环节蒸汽加热成型后多余蒸汽排出，自然蒸发</w:t>
            </w:r>
            <w:r>
              <w:rPr>
                <w:rFonts w:hint="eastAsia" w:ascii="Times New Roman" w:hAnsi="Times New Roman" w:cs="Times New Roman"/>
                <w:color w:val="000000" w:themeColor="text1"/>
                <w:sz w:val="24"/>
                <w:szCs w:val="24"/>
                <w:lang w:val="en-US" w:eastAsia="zh-CN"/>
                <w14:textFill>
                  <w14:solidFill>
                    <w14:schemeClr w14:val="tx1"/>
                  </w14:solidFill>
                </w14:textFill>
              </w:rPr>
              <w:t>。</w:t>
            </w:r>
          </w:p>
          <w:p w14:paraId="4C16A5BD">
            <w:pPr>
              <w:keepNext w:val="0"/>
              <w:keepLines w:val="0"/>
              <w:pageBreakBefore w:val="0"/>
              <w:widowControl w:val="0"/>
              <w:kinsoku/>
              <w:wordWrap w:val="0"/>
              <w:overflowPunct/>
              <w:topLinePunct/>
              <w:autoSpaceDE/>
              <w:autoSpaceDN/>
              <w:bidi w:val="0"/>
              <w:adjustRightInd/>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生活污水经隔油池、化粪池处理后进入一体化生活污水处理设施，</w:t>
            </w:r>
            <w:r>
              <w:rPr>
                <w:rFonts w:hint="eastAsia" w:ascii="Times New Roman" w:hAnsi="Times New Roman" w:cs="Times New Roman"/>
                <w:color w:val="000000" w:themeColor="text1"/>
                <w:sz w:val="24"/>
                <w:szCs w:val="24"/>
                <w:lang w:val="en-US" w:eastAsia="zh-CN"/>
                <w14:textFill>
                  <w14:solidFill>
                    <w14:schemeClr w14:val="tx1"/>
                  </w14:solidFill>
                </w14:textFill>
              </w:rPr>
              <w:t>经处理达标后，晴天回用于厂区绿化，不外排，雨天暂存于</w:t>
            </w:r>
            <w:r>
              <w:rPr>
                <w:rFonts w:hint="eastAsia" w:cs="Times New Roman"/>
                <w:color w:val="000000" w:themeColor="text1"/>
                <w:sz w:val="24"/>
                <w:szCs w:val="24"/>
                <w:lang w:val="en-US" w:eastAsia="zh-CN"/>
                <w14:textFill>
                  <w14:solidFill>
                    <w14:schemeClr w14:val="tx1"/>
                  </w14:solidFill>
                </w14:textFill>
              </w:rPr>
              <w:t>中水池</w:t>
            </w:r>
            <w:r>
              <w:rPr>
                <w:rFonts w:hint="eastAsia" w:ascii="Times New Roman" w:hAnsi="Times New Roman" w:cs="Times New Roman"/>
                <w:color w:val="000000" w:themeColor="text1"/>
                <w:sz w:val="24"/>
                <w:szCs w:val="24"/>
                <w:lang w:val="en-US" w:eastAsia="zh-CN"/>
                <w14:textFill>
                  <w14:solidFill>
                    <w14:schemeClr w14:val="tx1"/>
                  </w14:solidFill>
                </w14:textFill>
              </w:rPr>
              <w:t>，留待晴天使用，不外排。</w:t>
            </w:r>
          </w:p>
          <w:p w14:paraId="5883B770">
            <w:pPr>
              <w:keepNext w:val="0"/>
              <w:keepLines w:val="0"/>
              <w:pageBreakBefore w:val="0"/>
              <w:widowControl w:val="0"/>
              <w:kinsoku/>
              <w:wordWrap w:val="0"/>
              <w:overflowPunct/>
              <w:topLinePunct/>
              <w:autoSpaceDE/>
              <w:autoSpaceDN/>
              <w:bidi w:val="0"/>
              <w:adjustRightInd/>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故本次不设置废水自行监测指标。</w:t>
            </w:r>
          </w:p>
          <w:p w14:paraId="30B8D518">
            <w:pPr>
              <w:keepLines/>
              <w:spacing w:line="360" w:lineRule="auto"/>
              <w:ind w:firstLine="482" w:firstLineChars="20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5</w:t>
            </w:r>
            <w:r>
              <w:rPr>
                <w:b/>
                <w:bCs/>
                <w:color w:val="000000" w:themeColor="text1"/>
                <w:sz w:val="24"/>
                <w14:textFill>
                  <w14:solidFill>
                    <w14:schemeClr w14:val="tx1"/>
                  </w14:solidFill>
                </w14:textFill>
              </w:rPr>
              <w:t>）结论</w:t>
            </w:r>
          </w:p>
          <w:p w14:paraId="42505486">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综上分析，项目生活废水</w:t>
            </w:r>
            <w:r>
              <w:rPr>
                <w:rFonts w:hint="eastAsia"/>
                <w:color w:val="000000" w:themeColor="text1"/>
                <w:sz w:val="24"/>
                <w14:textFill>
                  <w14:solidFill>
                    <w14:schemeClr w14:val="tx1"/>
                  </w14:solidFill>
                </w14:textFill>
              </w:rPr>
              <w:t>、生产用水</w:t>
            </w:r>
            <w:r>
              <w:rPr>
                <w:color w:val="000000" w:themeColor="text1"/>
                <w:sz w:val="24"/>
                <w14:textFill>
                  <w14:solidFill>
                    <w14:schemeClr w14:val="tx1"/>
                  </w14:solidFill>
                </w14:textFill>
              </w:rPr>
              <w:t>的处理方式从环境保护角度分析可行，对周边的水环境影响不大</w:t>
            </w:r>
            <w:r>
              <w:rPr>
                <w:rFonts w:hint="eastAsia"/>
                <w:color w:val="000000" w:themeColor="text1"/>
                <w:sz w:val="24"/>
                <w14:textFill>
                  <w14:solidFill>
                    <w14:schemeClr w14:val="tx1"/>
                  </w14:solidFill>
                </w14:textFill>
              </w:rPr>
              <w:t>。</w:t>
            </w:r>
          </w:p>
          <w:p w14:paraId="716854CC">
            <w:pPr>
              <w:keepLines/>
              <w:spacing w:line="360" w:lineRule="auto"/>
              <w:ind w:firstLine="482" w:firstLineChars="200"/>
              <w:jc w:val="left"/>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3、声环境影响和保护措施</w:t>
            </w:r>
          </w:p>
          <w:p w14:paraId="4988EEE9">
            <w:pPr>
              <w:keepLines/>
              <w:spacing w:line="360" w:lineRule="auto"/>
              <w:ind w:firstLine="482" w:firstLineChars="200"/>
              <w:jc w:val="left"/>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（1）噪声源强分析</w:t>
            </w:r>
          </w:p>
          <w:p w14:paraId="6DE97258">
            <w:pPr>
              <w:keepLines/>
              <w:spacing w:line="360" w:lineRule="auto"/>
              <w:ind w:firstLine="480" w:firstLineChars="200"/>
              <w:jc w:val="left"/>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项目营运期噪声主要来源于等噪声设备运转过程中产生的</w:t>
            </w:r>
            <w:r>
              <w:rPr>
                <w:rFonts w:hint="default" w:ascii="Times New Roman" w:hAnsi="Times New Roman" w:eastAsia="宋体" w:cs="Times New Roman"/>
                <w:color w:val="000000" w:themeColor="text1"/>
                <w:sz w:val="24"/>
                <w:lang w:val="en-US" w:eastAsia="zh-CN"/>
                <w14:textFill>
                  <w14:solidFill>
                    <w14:schemeClr w14:val="tx1"/>
                  </w14:solidFill>
                </w14:textFill>
              </w:rPr>
              <w:t>机械噪声</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6CF4BB1A">
            <w:pPr>
              <w:keepLines/>
              <w:spacing w:line="360" w:lineRule="auto"/>
              <w:ind w:firstLine="480" w:firstLineChars="200"/>
              <w:jc w:val="left"/>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坐标原点为厂区边界</w:t>
            </w:r>
            <w:r>
              <w:rPr>
                <w:rFonts w:hint="default" w:ascii="Times New Roman" w:hAnsi="Times New Roman" w:eastAsia="宋体" w:cs="Times New Roman"/>
                <w:color w:val="000000" w:themeColor="text1"/>
                <w:sz w:val="24"/>
                <w:lang w:eastAsia="zh-CN"/>
                <w14:textFill>
                  <w14:solidFill>
                    <w14:schemeClr w14:val="tx1"/>
                  </w14:solidFill>
                </w14:textFill>
              </w:rPr>
              <w:t>最</w:t>
            </w:r>
            <w:r>
              <w:rPr>
                <w:rFonts w:hint="default" w:ascii="Times New Roman" w:hAnsi="Times New Roman" w:eastAsia="宋体" w:cs="Times New Roman"/>
                <w:color w:val="000000" w:themeColor="text1"/>
                <w:sz w:val="24"/>
                <w14:textFill>
                  <w14:solidFill>
                    <w14:schemeClr w14:val="tx1"/>
                  </w14:solidFill>
                </w14:textFill>
              </w:rPr>
              <w:t>西</w:t>
            </w:r>
            <w:r>
              <w:rPr>
                <w:rFonts w:hint="default" w:ascii="Times New Roman" w:hAnsi="Times New Roman" w:eastAsia="宋体" w:cs="Times New Roman"/>
                <w:color w:val="000000" w:themeColor="text1"/>
                <w:sz w:val="24"/>
                <w:lang w:eastAsia="zh-CN"/>
                <w14:textFill>
                  <w14:solidFill>
                    <w14:schemeClr w14:val="tx1"/>
                  </w14:solidFill>
                </w14:textFill>
              </w:rPr>
              <w:t>侧</w:t>
            </w:r>
            <w:r>
              <w:rPr>
                <w:rFonts w:hint="default" w:ascii="Times New Roman" w:hAnsi="Times New Roman" w:eastAsia="宋体" w:cs="Times New Roman"/>
                <w:color w:val="000000" w:themeColor="text1"/>
                <w:sz w:val="24"/>
                <w14:textFill>
                  <w14:solidFill>
                    <w14:schemeClr w14:val="tx1"/>
                  </w14:solidFill>
                </w14:textFill>
              </w:rPr>
              <w:t>，原点以东方向为X轴正方向，原点以北方向为Y轴正方向。</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噪声源强见下表</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w:t>
            </w:r>
          </w:p>
          <w:p w14:paraId="1F00E36A">
            <w:pPr>
              <w:keepLines/>
              <w:spacing w:line="360" w:lineRule="auto"/>
              <w:ind w:firstLine="480" w:firstLineChars="200"/>
              <w:jc w:val="left"/>
              <w:rPr>
                <w:rFonts w:hint="default" w:ascii="Times New Roman" w:hAnsi="Times New Roman" w:eastAsia="宋体" w:cs="Times New Roman"/>
                <w:b/>
                <w:color w:val="000000" w:themeColor="text1"/>
                <w:sz w:val="21"/>
                <w:szCs w:val="21"/>
                <w14:textFill>
                  <w14:solidFill>
                    <w14:schemeClr w14:val="tx1"/>
                  </w14:solidFill>
                </w14:textFill>
              </w:rPr>
            </w:pPr>
            <w:r>
              <w:rPr>
                <w:rFonts w:hint="eastAsia" w:cs="Times New Roman"/>
                <w:color w:val="000000" w:themeColor="text1"/>
                <w:kern w:val="0"/>
                <w:sz w:val="24"/>
                <w:szCs w:val="24"/>
                <w:lang w:val="en-US" w:eastAsia="zh-CN" w:bidi="ar-SA"/>
                <w14:textFill>
                  <w14:solidFill>
                    <w14:schemeClr w14:val="tx1"/>
                  </w14:solidFill>
                </w14:textFill>
              </w:rPr>
              <w:t>本次噪声源强调查考虑对本项目新增产噪设备贡献值。</w:t>
            </w:r>
          </w:p>
          <w:p w14:paraId="14A7F1E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表4-</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17</w:t>
            </w:r>
            <w:r>
              <w:rPr>
                <w:rFonts w:hint="default" w:ascii="Times New Roman" w:hAnsi="Times New Roman" w:eastAsia="宋体" w:cs="Times New Roman"/>
                <w:b/>
                <w:color w:val="000000" w:themeColor="text1"/>
                <w:sz w:val="21"/>
                <w:szCs w:val="21"/>
                <w14:textFill>
                  <w14:solidFill>
                    <w14:schemeClr w14:val="tx1"/>
                  </w14:solidFill>
                </w14:textFill>
              </w:rPr>
              <w:t xml:space="preserve">  噪声源强调查清单（室</w:t>
            </w:r>
            <w:r>
              <w:rPr>
                <w:rFonts w:hint="default" w:ascii="Times New Roman" w:hAnsi="Times New Roman" w:cs="Times New Roman"/>
                <w:b/>
                <w:color w:val="000000" w:themeColor="text1"/>
                <w:sz w:val="21"/>
                <w:szCs w:val="21"/>
                <w:lang w:eastAsia="zh-CN"/>
                <w14:textFill>
                  <w14:solidFill>
                    <w14:schemeClr w14:val="tx1"/>
                  </w14:solidFill>
                </w14:textFill>
              </w:rPr>
              <w:t>外</w:t>
            </w:r>
            <w:r>
              <w:rPr>
                <w:rFonts w:hint="default" w:ascii="Times New Roman" w:hAnsi="Times New Roman" w:eastAsia="宋体" w:cs="Times New Roman"/>
                <w:b/>
                <w:color w:val="000000" w:themeColor="text1"/>
                <w:sz w:val="21"/>
                <w:szCs w:val="21"/>
                <w14:textFill>
                  <w14:solidFill>
                    <w14:schemeClr w14:val="tx1"/>
                  </w14:solidFill>
                </w14:textFill>
              </w:rPr>
              <w:t>声源）</w:t>
            </w:r>
          </w:p>
          <w:tbl>
            <w:tblPr>
              <w:tblStyle w:val="34"/>
              <w:tblW w:w="82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590"/>
              <w:gridCol w:w="1875"/>
              <w:gridCol w:w="1800"/>
              <w:gridCol w:w="1365"/>
              <w:gridCol w:w="822"/>
            </w:tblGrid>
            <w:tr w14:paraId="125B9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restart"/>
                  <w:vAlign w:val="center"/>
                </w:tcPr>
                <w:p w14:paraId="575ED6B1">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t>序号</w:t>
                  </w:r>
                </w:p>
              </w:tc>
              <w:tc>
                <w:tcPr>
                  <w:tcW w:w="1590" w:type="dxa"/>
                  <w:vMerge w:val="restart"/>
                  <w:vAlign w:val="center"/>
                </w:tcPr>
                <w:p w14:paraId="0E3ADB7F">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t>声源名称</w:t>
                  </w:r>
                </w:p>
              </w:tc>
              <w:tc>
                <w:tcPr>
                  <w:tcW w:w="1875" w:type="dxa"/>
                  <w:vAlign w:val="center"/>
                </w:tcPr>
                <w:p w14:paraId="5C72C4A3">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t>空间相对位置/m</w:t>
                  </w:r>
                </w:p>
              </w:tc>
              <w:tc>
                <w:tcPr>
                  <w:tcW w:w="1800" w:type="dxa"/>
                  <w:vAlign w:val="center"/>
                </w:tcPr>
                <w:p w14:paraId="79CC2F6D">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t>声源源强</w:t>
                  </w:r>
                </w:p>
              </w:tc>
              <w:tc>
                <w:tcPr>
                  <w:tcW w:w="1365" w:type="dxa"/>
                  <w:vMerge w:val="restart"/>
                  <w:vAlign w:val="center"/>
                </w:tcPr>
                <w:p w14:paraId="7A9D4AE5">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t>声源控制</w:t>
                  </w:r>
                </w:p>
              </w:tc>
              <w:tc>
                <w:tcPr>
                  <w:tcW w:w="822" w:type="dxa"/>
                  <w:vMerge w:val="restart"/>
                  <w:vAlign w:val="center"/>
                </w:tcPr>
                <w:p w14:paraId="34D5CF12">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t>运行时段h/a</w:t>
                  </w:r>
                </w:p>
              </w:tc>
            </w:tr>
            <w:tr w14:paraId="42E94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continue"/>
                  <w:vAlign w:val="center"/>
                </w:tcPr>
                <w:p w14:paraId="64E90CA1">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pPr>
                </w:p>
              </w:tc>
              <w:tc>
                <w:tcPr>
                  <w:tcW w:w="1590" w:type="dxa"/>
                  <w:vMerge w:val="continue"/>
                  <w:vAlign w:val="center"/>
                </w:tcPr>
                <w:p w14:paraId="751E2101">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pPr>
                </w:p>
              </w:tc>
              <w:tc>
                <w:tcPr>
                  <w:tcW w:w="1875" w:type="dxa"/>
                  <w:vAlign w:val="center"/>
                </w:tcPr>
                <w:p w14:paraId="0DCD31A0">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t>X，Y，Z</w:t>
                  </w:r>
                </w:p>
              </w:tc>
              <w:tc>
                <w:tcPr>
                  <w:tcW w:w="1800" w:type="dxa"/>
                  <w:vAlign w:val="center"/>
                </w:tcPr>
                <w:p w14:paraId="756BBBB8">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eastAsia="en-US"/>
                      <w14:textFill>
                        <w14:solidFill>
                          <w14:schemeClr w14:val="tx1"/>
                        </w14:solidFill>
                      </w14:textFill>
                    </w:rPr>
                    <w:t>声功率级/dB</w:t>
                  </w:r>
                  <w:r>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t>（</w:t>
                  </w:r>
                  <w:r>
                    <w:rPr>
                      <w:rFonts w:hint="default" w:ascii="Times New Roman" w:hAnsi="Times New Roman" w:cs="Times New Roman"/>
                      <w:b w:val="0"/>
                      <w:bCs/>
                      <w:color w:val="000000" w:themeColor="text1"/>
                      <w:sz w:val="21"/>
                      <w:szCs w:val="21"/>
                      <w:vertAlign w:val="baseline"/>
                      <w:lang w:eastAsia="en-US"/>
                      <w14:textFill>
                        <w14:solidFill>
                          <w14:schemeClr w14:val="tx1"/>
                        </w14:solidFill>
                      </w14:textFill>
                    </w:rPr>
                    <w:t>A</w:t>
                  </w:r>
                  <w:r>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t>）</w:t>
                  </w:r>
                </w:p>
              </w:tc>
              <w:tc>
                <w:tcPr>
                  <w:tcW w:w="1365" w:type="dxa"/>
                  <w:vMerge w:val="continue"/>
                  <w:vAlign w:val="center"/>
                </w:tcPr>
                <w:p w14:paraId="5CF9E11A">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pPr>
                </w:p>
              </w:tc>
              <w:tc>
                <w:tcPr>
                  <w:tcW w:w="822" w:type="dxa"/>
                  <w:vMerge w:val="continue"/>
                  <w:vAlign w:val="center"/>
                </w:tcPr>
                <w:p w14:paraId="1531AF9A">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p>
              </w:tc>
            </w:tr>
            <w:tr w14:paraId="7D707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center"/>
                </w:tcPr>
                <w:p w14:paraId="59C22B0E">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01</w:t>
                  </w:r>
                </w:p>
              </w:tc>
              <w:tc>
                <w:tcPr>
                  <w:tcW w:w="1590" w:type="dxa"/>
                  <w:vAlign w:val="center"/>
                </w:tcPr>
                <w:p w14:paraId="2DC6498F">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一体化</w:t>
                  </w: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污水处理站水泵</w:t>
                  </w:r>
                </w:p>
              </w:tc>
              <w:tc>
                <w:tcPr>
                  <w:tcW w:w="1875" w:type="dxa"/>
                  <w:vAlign w:val="center"/>
                </w:tcPr>
                <w:p w14:paraId="018AA9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jc w:val="center"/>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75.98,55.24,1</w:t>
                  </w:r>
                </w:p>
              </w:tc>
              <w:tc>
                <w:tcPr>
                  <w:tcW w:w="1800" w:type="dxa"/>
                  <w:vAlign w:val="center"/>
                </w:tcPr>
                <w:p w14:paraId="16B7DB6B">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75</w:t>
                  </w:r>
                </w:p>
              </w:tc>
              <w:tc>
                <w:tcPr>
                  <w:tcW w:w="1365" w:type="dxa"/>
                  <w:vMerge w:val="restart"/>
                  <w:vAlign w:val="center"/>
                </w:tcPr>
                <w:p w14:paraId="4C193177">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vertAlign w:val="baseline"/>
                      <w:lang w:val="zh-CN"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zh-CN" w:eastAsia="zh-CN"/>
                      <w14:textFill>
                        <w14:solidFill>
                          <w14:schemeClr w14:val="tx1"/>
                        </w14:solidFill>
                      </w14:textFill>
                    </w:rPr>
                    <w:t>选用低噪设备、消声器</w:t>
                  </w:r>
                </w:p>
              </w:tc>
              <w:tc>
                <w:tcPr>
                  <w:tcW w:w="822" w:type="dxa"/>
                  <w:vMerge w:val="restart"/>
                  <w:vAlign w:val="center"/>
                </w:tcPr>
                <w:p w14:paraId="10CB32C8">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vertAlign w:val="baseline"/>
                      <w:lang w:val="zh-CN"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2400</w:t>
                  </w:r>
                </w:p>
              </w:tc>
            </w:tr>
            <w:tr w14:paraId="1BBEF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center"/>
                </w:tcPr>
                <w:p w14:paraId="487E2B71">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02</w:t>
                  </w:r>
                </w:p>
              </w:tc>
              <w:tc>
                <w:tcPr>
                  <w:tcW w:w="1590" w:type="dxa"/>
                  <w:vAlign w:val="center"/>
                </w:tcPr>
                <w:p w14:paraId="5ECDE1EE">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一体化</w:t>
                  </w: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污水处理站</w:t>
                  </w: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曝气风机</w:t>
                  </w:r>
                </w:p>
              </w:tc>
              <w:tc>
                <w:tcPr>
                  <w:tcW w:w="1875" w:type="dxa"/>
                  <w:vAlign w:val="center"/>
                </w:tcPr>
                <w:p w14:paraId="046770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jc w:val="cente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eastAsia="zh-CN"/>
                      <w14:textFill>
                        <w14:solidFill>
                          <w14:schemeClr w14:val="tx1"/>
                        </w14:solidFill>
                      </w14:textFill>
                    </w:rPr>
                    <w:t>77.21,55.49,1</w:t>
                  </w:r>
                </w:p>
              </w:tc>
              <w:tc>
                <w:tcPr>
                  <w:tcW w:w="1800" w:type="dxa"/>
                  <w:vAlign w:val="center"/>
                </w:tcPr>
                <w:p w14:paraId="35BABB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jc w:val="cente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75</w:t>
                  </w:r>
                </w:p>
              </w:tc>
              <w:tc>
                <w:tcPr>
                  <w:tcW w:w="1365" w:type="dxa"/>
                  <w:vMerge w:val="continue"/>
                  <w:vAlign w:val="center"/>
                </w:tcPr>
                <w:p w14:paraId="009A1770">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vertAlign w:val="baseline"/>
                      <w:lang w:val="zh-CN" w:eastAsia="zh-CN"/>
                      <w14:textFill>
                        <w14:solidFill>
                          <w14:schemeClr w14:val="tx1"/>
                        </w14:solidFill>
                      </w14:textFill>
                    </w:rPr>
                  </w:pPr>
                </w:p>
              </w:tc>
              <w:tc>
                <w:tcPr>
                  <w:tcW w:w="822" w:type="dxa"/>
                  <w:vMerge w:val="continue"/>
                  <w:vAlign w:val="center"/>
                </w:tcPr>
                <w:p w14:paraId="23A3BEDE">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r>
          </w:tbl>
          <w:p w14:paraId="370BBE19">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表4-</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1</w:t>
            </w:r>
            <w:r>
              <w:rPr>
                <w:rFonts w:hint="default" w:ascii="Times New Roman" w:hAnsi="Times New Roman" w:cs="Times New Roman"/>
                <w:b/>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
                <w:color w:val="000000" w:themeColor="text1"/>
                <w:sz w:val="21"/>
                <w:szCs w:val="21"/>
                <w14:textFill>
                  <w14:solidFill>
                    <w14:schemeClr w14:val="tx1"/>
                  </w14:solidFill>
                </w14:textFill>
              </w:rPr>
              <w:t xml:space="preserve">  噪声源强调查清单（室内声源）</w:t>
            </w:r>
          </w:p>
          <w:tbl>
            <w:tblPr>
              <w:tblStyle w:val="33"/>
              <w:tblW w:w="499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79"/>
              <w:gridCol w:w="433"/>
              <w:gridCol w:w="1033"/>
              <w:gridCol w:w="945"/>
              <w:gridCol w:w="735"/>
              <w:gridCol w:w="646"/>
              <w:gridCol w:w="440"/>
              <w:gridCol w:w="794"/>
              <w:gridCol w:w="641"/>
              <w:gridCol w:w="712"/>
              <w:gridCol w:w="796"/>
              <w:gridCol w:w="435"/>
            </w:tblGrid>
            <w:tr w14:paraId="1209E1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353" w:type="pct"/>
                  <w:vMerge w:val="restart"/>
                  <w:vAlign w:val="center"/>
                </w:tcPr>
                <w:p w14:paraId="7AC6179E">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序号</w:t>
                  </w:r>
                </w:p>
              </w:tc>
              <w:tc>
                <w:tcPr>
                  <w:tcW w:w="264" w:type="pct"/>
                  <w:vMerge w:val="restart"/>
                  <w:vAlign w:val="center"/>
                </w:tcPr>
                <w:p w14:paraId="569BEA5C">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建筑物名称</w:t>
                  </w:r>
                </w:p>
              </w:tc>
              <w:tc>
                <w:tcPr>
                  <w:tcW w:w="630" w:type="pct"/>
                  <w:vMerge w:val="restart"/>
                  <w:vAlign w:val="center"/>
                </w:tcPr>
                <w:p w14:paraId="3D19A90E">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声源名称</w:t>
                  </w:r>
                </w:p>
              </w:tc>
              <w:tc>
                <w:tcPr>
                  <w:tcW w:w="576" w:type="pct"/>
                  <w:vAlign w:val="center"/>
                </w:tcPr>
                <w:p w14:paraId="13F67899">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空间相对位置/m</w:t>
                  </w:r>
                </w:p>
              </w:tc>
              <w:tc>
                <w:tcPr>
                  <w:tcW w:w="448" w:type="pct"/>
                  <w:vAlign w:val="center"/>
                </w:tcPr>
                <w:p w14:paraId="070B75B3">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声源源强</w:t>
                  </w:r>
                </w:p>
              </w:tc>
              <w:tc>
                <w:tcPr>
                  <w:tcW w:w="394" w:type="pct"/>
                  <w:vMerge w:val="restart"/>
                  <w:vAlign w:val="center"/>
                </w:tcPr>
                <w:p w14:paraId="08482387">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eastAsia="en-US"/>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声源控制措施</w:t>
                  </w:r>
                </w:p>
              </w:tc>
              <w:tc>
                <w:tcPr>
                  <w:tcW w:w="268" w:type="pct"/>
                  <w:vMerge w:val="restart"/>
                  <w:vAlign w:val="center"/>
                </w:tcPr>
                <w:p w14:paraId="21DCCD9B">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en-US"/>
                      <w14:textFill>
                        <w14:solidFill>
                          <w14:schemeClr w14:val="tx1"/>
                        </w14:solidFill>
                      </w14:textFill>
                    </w:rPr>
                    <w:t>距室内边界距离/m</w:t>
                  </w:r>
                </w:p>
              </w:tc>
              <w:tc>
                <w:tcPr>
                  <w:tcW w:w="484" w:type="pct"/>
                  <w:vMerge w:val="restart"/>
                  <w:vAlign w:val="center"/>
                </w:tcPr>
                <w:p w14:paraId="7D6FA390">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室内边界声级/dB（A）</w:t>
                  </w:r>
                </w:p>
              </w:tc>
              <w:tc>
                <w:tcPr>
                  <w:tcW w:w="391" w:type="pct"/>
                  <w:vMerge w:val="restart"/>
                  <w:vAlign w:val="center"/>
                </w:tcPr>
                <w:p w14:paraId="7BEE2A02">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运行时段h/a</w:t>
                  </w:r>
                </w:p>
              </w:tc>
              <w:tc>
                <w:tcPr>
                  <w:tcW w:w="434" w:type="pct"/>
                  <w:vMerge w:val="restart"/>
                  <w:vAlign w:val="center"/>
                </w:tcPr>
                <w:p w14:paraId="6782A98F">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建筑物插入损失/dB（A）</w:t>
                  </w:r>
                </w:p>
              </w:tc>
              <w:tc>
                <w:tcPr>
                  <w:tcW w:w="751" w:type="pct"/>
                  <w:gridSpan w:val="2"/>
                  <w:vAlign w:val="center"/>
                </w:tcPr>
                <w:p w14:paraId="4DADA069">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eastAsia="en-US"/>
                      <w14:textFill>
                        <w14:solidFill>
                          <w14:schemeClr w14:val="tx1"/>
                        </w14:solidFill>
                      </w14:textFill>
                    </w:rPr>
                  </w:pPr>
                  <w:r>
                    <w:rPr>
                      <w:rFonts w:hint="default" w:ascii="Times New Roman" w:hAnsi="Times New Roman" w:eastAsia="宋体" w:cs="Times New Roman"/>
                      <w:color w:val="000000" w:themeColor="text1"/>
                      <w:sz w:val="21"/>
                      <w:szCs w:val="21"/>
                      <w:lang w:eastAsia="en-US"/>
                      <w14:textFill>
                        <w14:solidFill>
                          <w14:schemeClr w14:val="tx1"/>
                        </w14:solidFill>
                      </w14:textFill>
                    </w:rPr>
                    <w:t>建筑物外噪声</w:t>
                  </w:r>
                </w:p>
              </w:tc>
            </w:tr>
            <w:tr w14:paraId="13C196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53" w:type="pct"/>
                  <w:vMerge w:val="continue"/>
                  <w:vAlign w:val="center"/>
                </w:tcPr>
                <w:p w14:paraId="227F556A">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4" w:type="pct"/>
                  <w:vMerge w:val="continue"/>
                  <w:vAlign w:val="center"/>
                </w:tcPr>
                <w:p w14:paraId="2354EB2A">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30" w:type="pct"/>
                  <w:vMerge w:val="continue"/>
                  <w:vAlign w:val="center"/>
                </w:tcPr>
                <w:p w14:paraId="49408B41">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76" w:type="pct"/>
                  <w:vAlign w:val="center"/>
                </w:tcPr>
                <w:p w14:paraId="0D4F93A0">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X，Y，Z</w:t>
                  </w:r>
                </w:p>
              </w:tc>
              <w:tc>
                <w:tcPr>
                  <w:tcW w:w="448" w:type="pct"/>
                  <w:vAlign w:val="center"/>
                </w:tcPr>
                <w:p w14:paraId="62C325CF">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en-US"/>
                      <w14:textFill>
                        <w14:solidFill>
                          <w14:schemeClr w14:val="tx1"/>
                        </w14:solidFill>
                      </w14:textFill>
                    </w:rPr>
                    <w:t>声功率级/dB</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eastAsia="en-US"/>
                      <w14:textFill>
                        <w14:solidFill>
                          <w14:schemeClr w14:val="tx1"/>
                        </w14:solidFill>
                      </w14:textFill>
                    </w:rPr>
                    <w:t>A</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394" w:type="pct"/>
                  <w:vMerge w:val="continue"/>
                  <w:vAlign w:val="center"/>
                </w:tcPr>
                <w:p w14:paraId="32E88CF4">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eastAsia="en-US"/>
                      <w14:textFill>
                        <w14:solidFill>
                          <w14:schemeClr w14:val="tx1"/>
                        </w14:solidFill>
                      </w14:textFill>
                    </w:rPr>
                  </w:pPr>
                </w:p>
              </w:tc>
              <w:tc>
                <w:tcPr>
                  <w:tcW w:w="268" w:type="pct"/>
                  <w:vMerge w:val="continue"/>
                  <w:vAlign w:val="center"/>
                </w:tcPr>
                <w:p w14:paraId="355299B2">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84" w:type="pct"/>
                  <w:vMerge w:val="continue"/>
                  <w:vAlign w:val="center"/>
                </w:tcPr>
                <w:p w14:paraId="22A5364C">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91" w:type="pct"/>
                  <w:vMerge w:val="continue"/>
                  <w:vAlign w:val="center"/>
                </w:tcPr>
                <w:p w14:paraId="2771012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34" w:type="pct"/>
                  <w:vMerge w:val="continue"/>
                  <w:vAlign w:val="center"/>
                </w:tcPr>
                <w:p w14:paraId="49AA58C3">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86" w:type="pct"/>
                  <w:vAlign w:val="center"/>
                </w:tcPr>
                <w:p w14:paraId="3BB143F0">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en-US"/>
                      <w14:textFill>
                        <w14:solidFill>
                          <w14:schemeClr w14:val="tx1"/>
                        </w14:solidFill>
                      </w14:textFill>
                    </w:rPr>
                    <w:t>声压级/dB</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eastAsia="en-US"/>
                      <w14:textFill>
                        <w14:solidFill>
                          <w14:schemeClr w14:val="tx1"/>
                        </w14:solidFill>
                      </w14:textFill>
                    </w:rPr>
                    <w:t>A</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265" w:type="pct"/>
                  <w:vAlign w:val="center"/>
                </w:tcPr>
                <w:p w14:paraId="6AE9C9C4">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en-US"/>
                      <w14:textFill>
                        <w14:solidFill>
                          <w14:schemeClr w14:val="tx1"/>
                        </w14:solidFill>
                      </w14:textFill>
                    </w:rPr>
                    <w:t>建筑物外</w:t>
                  </w:r>
                  <w:r>
                    <w:rPr>
                      <w:rFonts w:hint="default" w:ascii="Times New Roman" w:hAnsi="Times New Roman" w:eastAsia="宋体" w:cs="Times New Roman"/>
                      <w:color w:val="000000" w:themeColor="text1"/>
                      <w:sz w:val="21"/>
                      <w:szCs w:val="21"/>
                      <w14:textFill>
                        <w14:solidFill>
                          <w14:schemeClr w14:val="tx1"/>
                        </w14:solidFill>
                      </w14:textFill>
                    </w:rPr>
                    <w:t>距离</w:t>
                  </w:r>
                </w:p>
              </w:tc>
            </w:tr>
            <w:tr w14:paraId="017C67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53" w:type="pct"/>
                  <w:vAlign w:val="center"/>
                </w:tcPr>
                <w:p w14:paraId="1FD64A8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64" w:type="pct"/>
                  <w:vAlign w:val="center"/>
                </w:tcPr>
                <w:p w14:paraId="3FB71E1E">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生产车间</w:t>
                  </w:r>
                </w:p>
              </w:tc>
              <w:tc>
                <w:tcPr>
                  <w:tcW w:w="630" w:type="pct"/>
                  <w:vAlign w:val="center"/>
                </w:tcPr>
                <w:p w14:paraId="39236DF9">
                  <w:pPr>
                    <w:pStyle w:val="129"/>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有机废气治理设施</w:t>
                  </w:r>
                  <w:r>
                    <w:rPr>
                      <w:rFonts w:hint="default" w:ascii="Times New Roman" w:hAnsi="Times New Roman" w:eastAsia="宋体" w:cs="Times New Roman"/>
                      <w:color w:val="000000" w:themeColor="text1"/>
                      <w:sz w:val="21"/>
                      <w:szCs w:val="21"/>
                      <w:lang w:eastAsia="zh-CN"/>
                      <w14:textFill>
                        <w14:solidFill>
                          <w14:schemeClr w14:val="tx1"/>
                        </w14:solidFill>
                      </w14:textFill>
                    </w:rPr>
                    <w:t>风机</w:t>
                  </w:r>
                </w:p>
              </w:tc>
              <w:tc>
                <w:tcPr>
                  <w:tcW w:w="576" w:type="pct"/>
                  <w:vAlign w:val="center"/>
                </w:tcPr>
                <w:p w14:paraId="2B5FC2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96.95,29.66,1</w:t>
                  </w:r>
                </w:p>
              </w:tc>
              <w:tc>
                <w:tcPr>
                  <w:tcW w:w="448" w:type="pct"/>
                  <w:vAlign w:val="center"/>
                </w:tcPr>
                <w:p w14:paraId="3A728019">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w:t>
                  </w:r>
                  <w:r>
                    <w:rPr>
                      <w:rFonts w:hint="eastAsia" w:cs="Times New Roman"/>
                      <w:color w:val="000000" w:themeColor="text1"/>
                      <w:sz w:val="21"/>
                      <w:szCs w:val="21"/>
                      <w:lang w:val="en-US" w:eastAsia="zh-CN"/>
                      <w14:textFill>
                        <w14:solidFill>
                          <w14:schemeClr w14:val="tx1"/>
                        </w14:solidFill>
                      </w14:textFill>
                    </w:rPr>
                    <w:t>5</w:t>
                  </w:r>
                </w:p>
              </w:tc>
              <w:tc>
                <w:tcPr>
                  <w:tcW w:w="394" w:type="pct"/>
                  <w:vAlign w:val="center"/>
                </w:tcPr>
                <w:p w14:paraId="2B8CDFA4">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厂房隔声、减震、消声器</w:t>
                  </w:r>
                </w:p>
              </w:tc>
              <w:tc>
                <w:tcPr>
                  <w:tcW w:w="268" w:type="pct"/>
                  <w:vAlign w:val="center"/>
                </w:tcPr>
                <w:p w14:paraId="067A9711">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w:t>
                  </w:r>
                </w:p>
              </w:tc>
              <w:tc>
                <w:tcPr>
                  <w:tcW w:w="484" w:type="pct"/>
                  <w:vAlign w:val="center"/>
                </w:tcPr>
                <w:p w14:paraId="086C48A3">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hint="eastAsia" w:cs="Times New Roman"/>
                      <w:color w:val="000000" w:themeColor="text1"/>
                      <w:sz w:val="21"/>
                      <w:szCs w:val="21"/>
                      <w:lang w:val="en-US" w:eastAsia="zh-CN"/>
                      <w14:textFill>
                        <w14:solidFill>
                          <w14:schemeClr w14:val="tx1"/>
                        </w14:solidFill>
                      </w14:textFill>
                    </w:rPr>
                    <w:t>9</w:t>
                  </w:r>
                  <w:r>
                    <w:rPr>
                      <w:rFonts w:hint="eastAsia" w:ascii="Times New Roman" w:hAnsi="Times New Roman" w:cs="Times New Roman"/>
                      <w:color w:val="000000" w:themeColor="text1"/>
                      <w:sz w:val="21"/>
                      <w:szCs w:val="21"/>
                      <w:lang w:val="en-US" w:eastAsia="zh-CN"/>
                      <w14:textFill>
                        <w14:solidFill>
                          <w14:schemeClr w14:val="tx1"/>
                        </w14:solidFill>
                      </w14:textFill>
                    </w:rPr>
                    <w:t>.96</w:t>
                  </w:r>
                </w:p>
              </w:tc>
              <w:tc>
                <w:tcPr>
                  <w:tcW w:w="391" w:type="pct"/>
                  <w:vAlign w:val="center"/>
                </w:tcPr>
                <w:p w14:paraId="5F9D4A3A">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2400</w:t>
                  </w:r>
                </w:p>
              </w:tc>
              <w:tc>
                <w:tcPr>
                  <w:tcW w:w="434" w:type="pct"/>
                  <w:vAlign w:val="center"/>
                </w:tcPr>
                <w:p w14:paraId="2A13BF4B">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15</w:t>
                  </w:r>
                </w:p>
              </w:tc>
              <w:tc>
                <w:tcPr>
                  <w:tcW w:w="486" w:type="pct"/>
                  <w:vAlign w:val="center"/>
                </w:tcPr>
                <w:p w14:paraId="51D357A5">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44</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.96</w:t>
                  </w:r>
                </w:p>
              </w:tc>
              <w:tc>
                <w:tcPr>
                  <w:tcW w:w="265" w:type="pct"/>
                  <w:vAlign w:val="center"/>
                </w:tcPr>
                <w:p w14:paraId="0F1CFF1F">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2FAFB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353" w:type="pct"/>
                  <w:vAlign w:val="center"/>
                </w:tcPr>
                <w:p w14:paraId="2CE15CDE">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264" w:type="pct"/>
                  <w:vMerge w:val="restart"/>
                  <w:vAlign w:val="center"/>
                </w:tcPr>
                <w:p w14:paraId="46E5B267">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锅炉房</w:t>
                  </w:r>
                </w:p>
              </w:tc>
              <w:tc>
                <w:tcPr>
                  <w:tcW w:w="630" w:type="pct"/>
                  <w:vAlign w:val="center"/>
                </w:tcPr>
                <w:p w14:paraId="1CE0D8C2">
                  <w:pPr>
                    <w:pStyle w:val="129"/>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生物质锅炉</w:t>
                  </w:r>
                </w:p>
              </w:tc>
              <w:tc>
                <w:tcPr>
                  <w:tcW w:w="576" w:type="pct"/>
                  <w:vAlign w:val="center"/>
                </w:tcPr>
                <w:p w14:paraId="608FB5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120.3,29.86,1</w:t>
                  </w:r>
                </w:p>
              </w:tc>
              <w:tc>
                <w:tcPr>
                  <w:tcW w:w="448" w:type="pct"/>
                  <w:vAlign w:val="center"/>
                </w:tcPr>
                <w:p w14:paraId="2C62D39A">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85</w:t>
                  </w:r>
                </w:p>
              </w:tc>
              <w:tc>
                <w:tcPr>
                  <w:tcW w:w="394" w:type="pct"/>
                  <w:vMerge w:val="restart"/>
                  <w:vAlign w:val="center"/>
                </w:tcPr>
                <w:p w14:paraId="7B2B7185">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厂房隔声、减震、消声器</w:t>
                  </w:r>
                </w:p>
              </w:tc>
              <w:tc>
                <w:tcPr>
                  <w:tcW w:w="268" w:type="pct"/>
                  <w:vAlign w:val="center"/>
                </w:tcPr>
                <w:p w14:paraId="2F58E777">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p>
              </w:tc>
              <w:tc>
                <w:tcPr>
                  <w:tcW w:w="484" w:type="pct"/>
                  <w:vAlign w:val="center"/>
                </w:tcPr>
                <w:p w14:paraId="06C7411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68..93</w:t>
                  </w:r>
                </w:p>
              </w:tc>
              <w:tc>
                <w:tcPr>
                  <w:tcW w:w="391" w:type="pct"/>
                  <w:vMerge w:val="restart"/>
                  <w:vAlign w:val="center"/>
                </w:tcPr>
                <w:p w14:paraId="6B6AE3D4">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2184</w:t>
                  </w:r>
                </w:p>
              </w:tc>
              <w:tc>
                <w:tcPr>
                  <w:tcW w:w="434" w:type="pct"/>
                  <w:vAlign w:val="center"/>
                </w:tcPr>
                <w:p w14:paraId="45209A5F">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15</w:t>
                  </w:r>
                </w:p>
              </w:tc>
              <w:tc>
                <w:tcPr>
                  <w:tcW w:w="486" w:type="pct"/>
                  <w:vAlign w:val="center"/>
                </w:tcPr>
                <w:p w14:paraId="6C07DD01">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93</w:t>
                  </w:r>
                </w:p>
              </w:tc>
              <w:tc>
                <w:tcPr>
                  <w:tcW w:w="265" w:type="pct"/>
                  <w:vAlign w:val="center"/>
                </w:tcPr>
                <w:p w14:paraId="3850D2CC">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39E961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353" w:type="pct"/>
                  <w:vAlign w:val="center"/>
                </w:tcPr>
                <w:p w14:paraId="11ED7030">
                  <w:pPr>
                    <w:keepNext w:val="0"/>
                    <w:keepLines w:val="0"/>
                    <w:pageBreakBefore w:val="0"/>
                    <w:widowControl w:val="0"/>
                    <w:kinsoku/>
                    <w:wordWrap w:val="0"/>
                    <w:overflowPunct/>
                    <w:topLinePunct/>
                    <w:autoSpaceDE/>
                    <w:autoSpaceDN/>
                    <w:bidi w:val="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264" w:type="pct"/>
                  <w:vMerge w:val="continue"/>
                  <w:vAlign w:val="center"/>
                </w:tcPr>
                <w:p w14:paraId="2058633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30" w:type="pct"/>
                  <w:vAlign w:val="center"/>
                </w:tcPr>
                <w:p w14:paraId="50C17928">
                  <w:pPr>
                    <w:pStyle w:val="129"/>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锅炉</w:t>
                  </w:r>
                  <w:r>
                    <w:rPr>
                      <w:rFonts w:hint="eastAsia" w:cs="Times New Roman"/>
                      <w:color w:val="000000" w:themeColor="text1"/>
                      <w:sz w:val="21"/>
                      <w:szCs w:val="21"/>
                      <w:lang w:val="en-US" w:eastAsia="zh-CN"/>
                      <w14:textFill>
                        <w14:solidFill>
                          <w14:schemeClr w14:val="tx1"/>
                        </w14:solidFill>
                      </w14:textFill>
                    </w:rPr>
                    <w:t>鼓风机</w:t>
                  </w:r>
                </w:p>
              </w:tc>
              <w:tc>
                <w:tcPr>
                  <w:tcW w:w="576" w:type="pct"/>
                  <w:vAlign w:val="center"/>
                </w:tcPr>
                <w:p w14:paraId="6A52F1B4">
                  <w:pPr>
                    <w:pStyle w:val="129"/>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119.84,29.93,1</w:t>
                  </w:r>
                </w:p>
              </w:tc>
              <w:tc>
                <w:tcPr>
                  <w:tcW w:w="735" w:type="dxa"/>
                  <w:vAlign w:val="center"/>
                </w:tcPr>
                <w:p w14:paraId="1E44439D">
                  <w:pPr>
                    <w:keepNext w:val="0"/>
                    <w:keepLines w:val="0"/>
                    <w:pageBreakBefore w:val="0"/>
                    <w:widowControl w:val="0"/>
                    <w:kinsoku/>
                    <w:wordWrap w:val="0"/>
                    <w:overflowPunct/>
                    <w:topLinePunct/>
                    <w:autoSpaceDE/>
                    <w:autoSpaceDN/>
                    <w:bidi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75</w:t>
                  </w:r>
                </w:p>
              </w:tc>
              <w:tc>
                <w:tcPr>
                  <w:tcW w:w="394" w:type="pct"/>
                  <w:vMerge w:val="continue"/>
                  <w:vAlign w:val="center"/>
                </w:tcPr>
                <w:p w14:paraId="0808D997">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zh-CN"/>
                      <w14:textFill>
                        <w14:solidFill>
                          <w14:schemeClr w14:val="tx1"/>
                        </w14:solidFill>
                      </w14:textFill>
                    </w:rPr>
                  </w:pPr>
                </w:p>
              </w:tc>
              <w:tc>
                <w:tcPr>
                  <w:tcW w:w="268" w:type="pct"/>
                  <w:vAlign w:val="center"/>
                </w:tcPr>
                <w:p w14:paraId="34F55834">
                  <w:pPr>
                    <w:keepNext w:val="0"/>
                    <w:keepLines w:val="0"/>
                    <w:pageBreakBefore w:val="0"/>
                    <w:widowControl w:val="0"/>
                    <w:kinsoku/>
                    <w:wordWrap w:val="0"/>
                    <w:overflowPunct/>
                    <w:topLinePunct/>
                    <w:autoSpaceDE/>
                    <w:autoSpaceDN/>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w:t>
                  </w:r>
                </w:p>
              </w:tc>
              <w:tc>
                <w:tcPr>
                  <w:tcW w:w="484" w:type="pct"/>
                  <w:vAlign w:val="center"/>
                </w:tcPr>
                <w:p w14:paraId="1581F3A5">
                  <w:pPr>
                    <w:keepNext w:val="0"/>
                    <w:keepLines w:val="0"/>
                    <w:pageBreakBefore w:val="0"/>
                    <w:widowControl w:val="0"/>
                    <w:kinsoku/>
                    <w:wordWrap w:val="0"/>
                    <w:overflowPunct/>
                    <w:topLinePunct/>
                    <w:autoSpaceDE/>
                    <w:autoSpaceDN/>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58.82</w:t>
                  </w:r>
                </w:p>
              </w:tc>
              <w:tc>
                <w:tcPr>
                  <w:tcW w:w="391" w:type="pct"/>
                  <w:vMerge w:val="continue"/>
                  <w:vAlign w:val="center"/>
                </w:tcPr>
                <w:p w14:paraId="720EEF3C">
                  <w:pPr>
                    <w:keepNext w:val="0"/>
                    <w:keepLines w:val="0"/>
                    <w:pageBreakBefore w:val="0"/>
                    <w:widowControl w:val="0"/>
                    <w:kinsoku/>
                    <w:wordWrap w:val="0"/>
                    <w:overflowPunct/>
                    <w:topLinePunct/>
                    <w:autoSpaceDE/>
                    <w:autoSpaceDN/>
                    <w:bidi w:val="0"/>
                    <w:jc w:val="center"/>
                    <w:rPr>
                      <w:rFonts w:hint="eastAsia" w:cs="Times New Roman"/>
                      <w:color w:val="000000" w:themeColor="text1"/>
                      <w:sz w:val="21"/>
                      <w:szCs w:val="21"/>
                      <w:lang w:val="en-US" w:eastAsia="zh-CN"/>
                      <w14:textFill>
                        <w14:solidFill>
                          <w14:schemeClr w14:val="tx1"/>
                        </w14:solidFill>
                      </w14:textFill>
                    </w:rPr>
                  </w:pPr>
                </w:p>
              </w:tc>
              <w:tc>
                <w:tcPr>
                  <w:tcW w:w="434" w:type="pct"/>
                  <w:vAlign w:val="center"/>
                </w:tcPr>
                <w:p w14:paraId="732AABA4">
                  <w:pPr>
                    <w:keepNext w:val="0"/>
                    <w:keepLines w:val="0"/>
                    <w:pageBreakBefore w:val="0"/>
                    <w:widowControl w:val="0"/>
                    <w:kinsoku/>
                    <w:wordWrap w:val="0"/>
                    <w:overflowPunct/>
                    <w:topLinePunct/>
                    <w:autoSpaceDE/>
                    <w:autoSpaceDN/>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w:t>
                  </w:r>
                </w:p>
              </w:tc>
              <w:tc>
                <w:tcPr>
                  <w:tcW w:w="486" w:type="pct"/>
                  <w:vAlign w:val="center"/>
                </w:tcPr>
                <w:p w14:paraId="4CC76B3C">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43.82</w:t>
                  </w:r>
                </w:p>
              </w:tc>
              <w:tc>
                <w:tcPr>
                  <w:tcW w:w="265" w:type="pct"/>
                  <w:vAlign w:val="center"/>
                </w:tcPr>
                <w:p w14:paraId="04A8AA29">
                  <w:pPr>
                    <w:keepNext w:val="0"/>
                    <w:keepLines w:val="0"/>
                    <w:pageBreakBefore w:val="0"/>
                    <w:widowControl w:val="0"/>
                    <w:kinsoku/>
                    <w:wordWrap w:val="0"/>
                    <w:overflowPunct/>
                    <w:topLinePunct/>
                    <w:autoSpaceDE/>
                    <w:autoSpaceDN/>
                    <w:bidi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14:paraId="52E7E6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353" w:type="pct"/>
                  <w:vAlign w:val="center"/>
                </w:tcPr>
                <w:p w14:paraId="566E9536">
                  <w:pPr>
                    <w:keepNext w:val="0"/>
                    <w:keepLines w:val="0"/>
                    <w:pageBreakBefore w:val="0"/>
                    <w:widowControl w:val="0"/>
                    <w:kinsoku/>
                    <w:wordWrap w:val="0"/>
                    <w:overflowPunct/>
                    <w:topLinePunct/>
                    <w:autoSpaceDE/>
                    <w:autoSpaceDN/>
                    <w:bidi w:val="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c>
                <w:tcPr>
                  <w:tcW w:w="264" w:type="pct"/>
                  <w:vMerge w:val="continue"/>
                  <w:vAlign w:val="center"/>
                </w:tcPr>
                <w:p w14:paraId="0FD2F2D9">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30" w:type="pct"/>
                  <w:vAlign w:val="center"/>
                </w:tcPr>
                <w:p w14:paraId="57A53CD8">
                  <w:pPr>
                    <w:pStyle w:val="129"/>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锅炉</w:t>
                  </w:r>
                  <w:r>
                    <w:rPr>
                      <w:rFonts w:hint="eastAsia" w:cs="Times New Roman"/>
                      <w:color w:val="000000" w:themeColor="text1"/>
                      <w:sz w:val="21"/>
                      <w:szCs w:val="21"/>
                      <w:lang w:val="en-US" w:eastAsia="zh-CN"/>
                      <w14:textFill>
                        <w14:solidFill>
                          <w14:schemeClr w14:val="tx1"/>
                        </w14:solidFill>
                      </w14:textFill>
                    </w:rPr>
                    <w:t>二次风机</w:t>
                  </w:r>
                </w:p>
              </w:tc>
              <w:tc>
                <w:tcPr>
                  <w:tcW w:w="576" w:type="pct"/>
                  <w:vAlign w:val="center"/>
                </w:tcPr>
                <w:p w14:paraId="219ACB6B">
                  <w:pPr>
                    <w:pStyle w:val="129"/>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120.01,29.54,1</w:t>
                  </w:r>
                </w:p>
              </w:tc>
              <w:tc>
                <w:tcPr>
                  <w:tcW w:w="735" w:type="dxa"/>
                  <w:vAlign w:val="center"/>
                </w:tcPr>
                <w:p w14:paraId="5807477F">
                  <w:pPr>
                    <w:keepNext w:val="0"/>
                    <w:keepLines w:val="0"/>
                    <w:pageBreakBefore w:val="0"/>
                    <w:widowControl w:val="0"/>
                    <w:kinsoku/>
                    <w:wordWrap w:val="0"/>
                    <w:overflowPunct/>
                    <w:topLinePunct/>
                    <w:autoSpaceDE/>
                    <w:autoSpaceDN/>
                    <w:bidi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75</w:t>
                  </w:r>
                </w:p>
              </w:tc>
              <w:tc>
                <w:tcPr>
                  <w:tcW w:w="394" w:type="pct"/>
                  <w:vMerge w:val="continue"/>
                  <w:vAlign w:val="center"/>
                </w:tcPr>
                <w:p w14:paraId="49B5A7C7">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zh-CN"/>
                      <w14:textFill>
                        <w14:solidFill>
                          <w14:schemeClr w14:val="tx1"/>
                        </w14:solidFill>
                      </w14:textFill>
                    </w:rPr>
                  </w:pPr>
                </w:p>
              </w:tc>
              <w:tc>
                <w:tcPr>
                  <w:tcW w:w="268" w:type="pct"/>
                  <w:vAlign w:val="center"/>
                </w:tcPr>
                <w:p w14:paraId="381054D9">
                  <w:pPr>
                    <w:keepNext w:val="0"/>
                    <w:keepLines w:val="0"/>
                    <w:pageBreakBefore w:val="0"/>
                    <w:widowControl w:val="0"/>
                    <w:kinsoku/>
                    <w:wordWrap w:val="0"/>
                    <w:overflowPunct/>
                    <w:topLinePunct/>
                    <w:autoSpaceDE/>
                    <w:autoSpaceDN/>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w:t>
                  </w:r>
                </w:p>
              </w:tc>
              <w:tc>
                <w:tcPr>
                  <w:tcW w:w="484" w:type="pct"/>
                  <w:vAlign w:val="center"/>
                </w:tcPr>
                <w:p w14:paraId="47CC16CD">
                  <w:pPr>
                    <w:keepNext w:val="0"/>
                    <w:keepLines w:val="0"/>
                    <w:pageBreakBefore w:val="0"/>
                    <w:widowControl w:val="0"/>
                    <w:kinsoku/>
                    <w:wordWrap w:val="0"/>
                    <w:overflowPunct/>
                    <w:topLinePunct/>
                    <w:autoSpaceDE/>
                    <w:autoSpaceDN/>
                    <w:bidi w:val="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58.82</w:t>
                  </w:r>
                </w:p>
              </w:tc>
              <w:tc>
                <w:tcPr>
                  <w:tcW w:w="391" w:type="pct"/>
                  <w:vMerge w:val="continue"/>
                  <w:vAlign w:val="center"/>
                </w:tcPr>
                <w:p w14:paraId="4F6B9315">
                  <w:pPr>
                    <w:keepNext w:val="0"/>
                    <w:keepLines w:val="0"/>
                    <w:pageBreakBefore w:val="0"/>
                    <w:widowControl w:val="0"/>
                    <w:kinsoku/>
                    <w:wordWrap w:val="0"/>
                    <w:overflowPunct/>
                    <w:topLinePunct/>
                    <w:autoSpaceDE/>
                    <w:autoSpaceDN/>
                    <w:bidi w:val="0"/>
                    <w:jc w:val="center"/>
                    <w:rPr>
                      <w:rFonts w:hint="eastAsia" w:cs="Times New Roman"/>
                      <w:color w:val="000000" w:themeColor="text1"/>
                      <w:sz w:val="21"/>
                      <w:szCs w:val="21"/>
                      <w:lang w:val="en-US" w:eastAsia="zh-CN"/>
                      <w14:textFill>
                        <w14:solidFill>
                          <w14:schemeClr w14:val="tx1"/>
                        </w14:solidFill>
                      </w14:textFill>
                    </w:rPr>
                  </w:pPr>
                </w:p>
              </w:tc>
              <w:tc>
                <w:tcPr>
                  <w:tcW w:w="434" w:type="pct"/>
                  <w:vAlign w:val="center"/>
                </w:tcPr>
                <w:p w14:paraId="3340FFB5">
                  <w:pPr>
                    <w:keepNext w:val="0"/>
                    <w:keepLines w:val="0"/>
                    <w:pageBreakBefore w:val="0"/>
                    <w:widowControl w:val="0"/>
                    <w:kinsoku/>
                    <w:wordWrap w:val="0"/>
                    <w:overflowPunct/>
                    <w:topLinePunct/>
                    <w:autoSpaceDE/>
                    <w:autoSpaceDN/>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w:t>
                  </w:r>
                </w:p>
              </w:tc>
              <w:tc>
                <w:tcPr>
                  <w:tcW w:w="486" w:type="pct"/>
                  <w:vAlign w:val="center"/>
                </w:tcPr>
                <w:p w14:paraId="362BEA1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43.82</w:t>
                  </w:r>
                </w:p>
              </w:tc>
              <w:tc>
                <w:tcPr>
                  <w:tcW w:w="265" w:type="pct"/>
                  <w:vAlign w:val="center"/>
                </w:tcPr>
                <w:p w14:paraId="656EBB34">
                  <w:pPr>
                    <w:keepNext w:val="0"/>
                    <w:keepLines w:val="0"/>
                    <w:pageBreakBefore w:val="0"/>
                    <w:widowControl w:val="0"/>
                    <w:kinsoku/>
                    <w:wordWrap w:val="0"/>
                    <w:overflowPunct/>
                    <w:topLinePunct/>
                    <w:autoSpaceDE/>
                    <w:autoSpaceDN/>
                    <w:bidi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14:paraId="223068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353" w:type="pct"/>
                  <w:vAlign w:val="center"/>
                </w:tcPr>
                <w:p w14:paraId="2C2E0160">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264" w:type="pct"/>
                  <w:vMerge w:val="continue"/>
                  <w:vAlign w:val="center"/>
                </w:tcPr>
                <w:p w14:paraId="06809BB8">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30" w:type="pct"/>
                  <w:vAlign w:val="center"/>
                </w:tcPr>
                <w:p w14:paraId="341AFFEB">
                  <w:pPr>
                    <w:pStyle w:val="129"/>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锅炉</w:t>
                  </w:r>
                  <w:r>
                    <w:rPr>
                      <w:rFonts w:hint="eastAsia" w:cs="Times New Roman"/>
                      <w:color w:val="000000" w:themeColor="text1"/>
                      <w:sz w:val="21"/>
                      <w:szCs w:val="21"/>
                      <w:lang w:val="en-US" w:eastAsia="zh-CN"/>
                      <w14:textFill>
                        <w14:solidFill>
                          <w14:schemeClr w14:val="tx1"/>
                        </w14:solidFill>
                      </w14:textFill>
                    </w:rPr>
                    <w:t>引风机</w:t>
                  </w:r>
                </w:p>
              </w:tc>
              <w:tc>
                <w:tcPr>
                  <w:tcW w:w="576" w:type="pct"/>
                  <w:vAlign w:val="center"/>
                </w:tcPr>
                <w:p w14:paraId="40678F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114.63,27.59,1</w:t>
                  </w:r>
                </w:p>
              </w:tc>
              <w:tc>
                <w:tcPr>
                  <w:tcW w:w="735" w:type="dxa"/>
                  <w:vAlign w:val="center"/>
                </w:tcPr>
                <w:p w14:paraId="19FF3389">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75</w:t>
                  </w:r>
                </w:p>
              </w:tc>
              <w:tc>
                <w:tcPr>
                  <w:tcW w:w="394" w:type="pct"/>
                  <w:vMerge w:val="continue"/>
                  <w:vAlign w:val="center"/>
                </w:tcPr>
                <w:p w14:paraId="16CE1CE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8" w:type="pct"/>
                  <w:vAlign w:val="center"/>
                </w:tcPr>
                <w:p w14:paraId="15D90D66">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484" w:type="pct"/>
                  <w:vAlign w:val="center"/>
                </w:tcPr>
                <w:p w14:paraId="52B52E9C">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59.10</w:t>
                  </w:r>
                </w:p>
              </w:tc>
              <w:tc>
                <w:tcPr>
                  <w:tcW w:w="391" w:type="pct"/>
                  <w:vMerge w:val="continue"/>
                  <w:vAlign w:val="center"/>
                </w:tcPr>
                <w:p w14:paraId="4A0BA65A">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34" w:type="pct"/>
                  <w:vAlign w:val="center"/>
                </w:tcPr>
                <w:p w14:paraId="3CDF691E">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15</w:t>
                  </w:r>
                </w:p>
              </w:tc>
              <w:tc>
                <w:tcPr>
                  <w:tcW w:w="486" w:type="pct"/>
                  <w:vAlign w:val="center"/>
                </w:tcPr>
                <w:p w14:paraId="2D3ED862">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44.10</w:t>
                  </w:r>
                </w:p>
              </w:tc>
              <w:tc>
                <w:tcPr>
                  <w:tcW w:w="265" w:type="pct"/>
                  <w:vAlign w:val="center"/>
                </w:tcPr>
                <w:p w14:paraId="0FF92BE2">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655DA9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353" w:type="pct"/>
                  <w:vAlign w:val="center"/>
                </w:tcPr>
                <w:p w14:paraId="35597E5F">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p>
              </w:tc>
              <w:tc>
                <w:tcPr>
                  <w:tcW w:w="264" w:type="pct"/>
                  <w:vMerge w:val="continue"/>
                  <w:vAlign w:val="center"/>
                </w:tcPr>
                <w:p w14:paraId="6471497E">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30" w:type="pct"/>
                  <w:vAlign w:val="center"/>
                </w:tcPr>
                <w:p w14:paraId="5CC0B5D6">
                  <w:pPr>
                    <w:pStyle w:val="129"/>
                    <w:keepNext w:val="0"/>
                    <w:keepLines w:val="0"/>
                    <w:pageBreakBefore w:val="0"/>
                    <w:widowControl w:val="0"/>
                    <w:kinsoku/>
                    <w:wordWrap w:val="0"/>
                    <w:overflowPunct/>
                    <w:topLinePunct/>
                    <w:autoSpaceDE/>
                    <w:autoSpaceDN/>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软水设备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水泵</w:t>
                  </w:r>
                </w:p>
              </w:tc>
              <w:tc>
                <w:tcPr>
                  <w:tcW w:w="576" w:type="pct"/>
                  <w:vAlign w:val="center"/>
                </w:tcPr>
                <w:p w14:paraId="62F5B1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微软雅黑" w:cs="Times New Roman"/>
                      <w:i w:val="0"/>
                      <w:iCs w:val="0"/>
                      <w:caps w:val="0"/>
                      <w:color w:val="000000" w:themeColor="text1"/>
                      <w:spacing w:val="0"/>
                      <w:kern w:val="0"/>
                      <w:sz w:val="21"/>
                      <w:szCs w:val="21"/>
                      <w:lang w:val="en-US" w:eastAsia="zh-CN" w:bidi="ar"/>
                      <w14:textFill>
                        <w14:solidFill>
                          <w14:schemeClr w14:val="tx1"/>
                        </w14:solidFill>
                      </w14:textFill>
                    </w:rPr>
                    <w:t>118.84,25.48,1</w:t>
                  </w:r>
                </w:p>
              </w:tc>
              <w:tc>
                <w:tcPr>
                  <w:tcW w:w="735" w:type="dxa"/>
                  <w:vAlign w:val="center"/>
                </w:tcPr>
                <w:p w14:paraId="68E550F2">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75</w:t>
                  </w:r>
                </w:p>
              </w:tc>
              <w:tc>
                <w:tcPr>
                  <w:tcW w:w="394" w:type="pct"/>
                  <w:vMerge w:val="continue"/>
                  <w:vAlign w:val="center"/>
                </w:tcPr>
                <w:p w14:paraId="0BF8AE08">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8" w:type="pct"/>
                  <w:vAlign w:val="center"/>
                </w:tcPr>
                <w:p w14:paraId="24B129BB">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c>
                <w:tcPr>
                  <w:tcW w:w="484" w:type="pct"/>
                  <w:vAlign w:val="center"/>
                </w:tcPr>
                <w:p w14:paraId="401AA284">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59.39</w:t>
                  </w:r>
                </w:p>
              </w:tc>
              <w:tc>
                <w:tcPr>
                  <w:tcW w:w="391" w:type="pct"/>
                  <w:vMerge w:val="continue"/>
                  <w:vAlign w:val="center"/>
                </w:tcPr>
                <w:p w14:paraId="32B0A64A">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34" w:type="pct"/>
                  <w:vAlign w:val="center"/>
                </w:tcPr>
                <w:p w14:paraId="048A5043">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15</w:t>
                  </w:r>
                </w:p>
              </w:tc>
              <w:tc>
                <w:tcPr>
                  <w:tcW w:w="486" w:type="pct"/>
                  <w:vAlign w:val="center"/>
                </w:tcPr>
                <w:p w14:paraId="143BD885">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45.39</w:t>
                  </w:r>
                </w:p>
              </w:tc>
              <w:tc>
                <w:tcPr>
                  <w:tcW w:w="265" w:type="pct"/>
                  <w:vAlign w:val="center"/>
                </w:tcPr>
                <w:p w14:paraId="33C090BE">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bl>
          <w:p w14:paraId="32E7AA61">
            <w:pPr>
              <w:pStyle w:val="32"/>
              <w:keepNext w:val="0"/>
              <w:keepLines/>
              <w:pageBreakBefore w:val="0"/>
              <w:widowControl w:val="0"/>
              <w:kinsoku/>
              <w:wordWrap/>
              <w:overflowPunct/>
              <w:topLinePunct w:val="0"/>
              <w:autoSpaceDE/>
              <w:autoSpaceDN/>
              <w:bidi w:val="0"/>
              <w:adjustRightInd/>
              <w:snapToGrid/>
              <w:spacing w:after="0" w:line="360" w:lineRule="auto"/>
              <w:ind w:left="0" w:leftChars="0" w:firstLine="482" w:firstLineChars="200"/>
              <w:jc w:val="left"/>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（2）噪声预测分析</w:t>
            </w:r>
          </w:p>
          <w:p w14:paraId="4F34AB79">
            <w:pPr>
              <w:pStyle w:val="32"/>
              <w:keepNext w:val="0"/>
              <w:keepLines/>
              <w:pageBreakBefore w:val="0"/>
              <w:widowControl w:val="0"/>
              <w:kinsoku/>
              <w:wordWrap/>
              <w:overflowPunct/>
              <w:topLinePunct w:val="0"/>
              <w:autoSpaceDE/>
              <w:autoSpaceDN/>
              <w:bidi w:val="0"/>
              <w:adjustRightInd/>
              <w:snapToGrid/>
              <w:spacing w:after="0" w:line="360" w:lineRule="auto"/>
              <w:ind w:left="0" w:leftChars="0" w:firstLine="482" w:firstLineChars="200"/>
              <w:jc w:val="left"/>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1）预测模式</w:t>
            </w:r>
          </w:p>
          <w:p w14:paraId="7F075DC5">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采用《环境影响评价技术导则—声环境》（HJ2.4-2021）中工业噪声预测模式。 </w:t>
            </w:r>
          </w:p>
          <w:p w14:paraId="19034C92">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①单个室外点声源在预测点产生的声级计算基本公式 </w:t>
            </w:r>
          </w:p>
          <w:p w14:paraId="514C9604">
            <w:pPr>
              <w:keepNext w:val="0"/>
              <w:keepLines/>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如已知声源的倍频带声功率级，预测点位置的倍频带声压级Lp（r）可按公式计算：</w:t>
            </w:r>
          </w:p>
          <w:p w14:paraId="46A4C972">
            <w:pPr>
              <w:keepNext w:val="0"/>
              <w:keepLines/>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p>
          <w:p w14:paraId="34471BCA">
            <w:pPr>
              <w:keepNext w:val="0"/>
              <w:keepLines/>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2686050" cy="942975"/>
                  <wp:effectExtent l="0" t="0" r="0" b="9525"/>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37"/>
                          <a:stretch>
                            <a:fillRect/>
                          </a:stretch>
                        </pic:blipFill>
                        <pic:spPr>
                          <a:xfrm>
                            <a:off x="0" y="0"/>
                            <a:ext cx="2686050" cy="942975"/>
                          </a:xfrm>
                          <a:prstGeom prst="rect">
                            <a:avLst/>
                          </a:prstGeom>
                          <a:noFill/>
                          <a:ln>
                            <a:noFill/>
                          </a:ln>
                        </pic:spPr>
                      </pic:pic>
                    </a:graphicData>
                  </a:graphic>
                </wp:inline>
              </w:drawing>
            </w:r>
          </w:p>
          <w:p w14:paraId="3A4321D1">
            <w:pPr>
              <w:keepNext w:val="0"/>
              <w:keepLines/>
              <w:pageBreakBefore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式中：</w:t>
            </w:r>
          </w:p>
          <w:p w14:paraId="7D0A1A52">
            <w:pPr>
              <w:keepNext w:val="0"/>
              <w:keepLines/>
              <w:pageBreakBefore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Lw—倍频带声功率级，dB；</w:t>
            </w:r>
          </w:p>
          <w:p w14:paraId="12CEE361">
            <w:pPr>
              <w:keepNext w:val="0"/>
              <w:keepLines/>
              <w:pageBreakBefore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Dc—指向性校正，dB，对辐射到自由空间的全向点声源，为0；倍频带衰减，dB；</w:t>
            </w:r>
          </w:p>
          <w:p w14:paraId="26D80F42">
            <w:pPr>
              <w:keepNext w:val="0"/>
              <w:keepLines/>
              <w:pageBreakBefore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Adiv—几何发散引起的倍频带衰减，dB； </w:t>
            </w:r>
          </w:p>
          <w:p w14:paraId="6D110F4C">
            <w:pPr>
              <w:keepNext w:val="0"/>
              <w:keepLines/>
              <w:pageBreakBefore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Aatm—大气吸收引起的倍频带衰减，dB； </w:t>
            </w:r>
          </w:p>
          <w:p w14:paraId="1489C474">
            <w:pPr>
              <w:keepNext w:val="0"/>
              <w:keepLines/>
              <w:pageBreakBefore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Agr—地面效应吸收引起的倍频带衰减，dB； </w:t>
            </w:r>
          </w:p>
          <w:p w14:paraId="3695D0AC">
            <w:pPr>
              <w:keepNext w:val="0"/>
              <w:keepLines/>
              <w:pageBreakBefore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Abar—声屏障引起的倍频带衰减，dB； </w:t>
            </w:r>
          </w:p>
          <w:p w14:paraId="52F44952">
            <w:pPr>
              <w:keepNext w:val="0"/>
              <w:keepLines/>
              <w:pageBreakBefore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Amisc—其他多方面效应引起的倍频带衰减，dB。</w:t>
            </w:r>
          </w:p>
          <w:p w14:paraId="33BB84EC">
            <w:pPr>
              <w:keepNext w:val="0"/>
              <w:keepLines/>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如已知靠近声源处某点的倍频带声压级Lp（r0）时，相同方向预测点位置的倍频带声压级Lp（r）可按公式（2）计算：</w:t>
            </w:r>
          </w:p>
          <w:p w14:paraId="42EDED4D">
            <w:pPr>
              <w:keepNext w:val="0"/>
              <w:keepLines/>
              <w:pageBreakBefore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drawing>
                <wp:inline distT="0" distB="0" distL="114300" distR="114300">
                  <wp:extent cx="3733800" cy="295275"/>
                  <wp:effectExtent l="0" t="0" r="0" b="9525"/>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38"/>
                          <a:stretch>
                            <a:fillRect/>
                          </a:stretch>
                        </pic:blipFill>
                        <pic:spPr>
                          <a:xfrm>
                            <a:off x="0" y="0"/>
                            <a:ext cx="3733800" cy="295275"/>
                          </a:xfrm>
                          <a:prstGeom prst="rect">
                            <a:avLst/>
                          </a:prstGeom>
                          <a:noFill/>
                          <a:ln>
                            <a:noFill/>
                          </a:ln>
                        </pic:spPr>
                      </pic:pic>
                    </a:graphicData>
                  </a:graphic>
                </wp:inline>
              </w:drawing>
            </w:r>
          </w:p>
          <w:p w14:paraId="00AB7EC7">
            <w:pPr>
              <w:keepNext w:val="0"/>
              <w:keepLines/>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在只考虑几何发散衰减时，可按</w:t>
            </w:r>
            <w:r>
              <w:rPr>
                <w:rFonts w:hint="default" w:ascii="Times New Roman" w:hAnsi="Times New Roman" w:cs="Times New Roman"/>
                <w:color w:val="000000" w:themeColor="text1"/>
                <w:sz w:val="24"/>
                <w:lang w:eastAsia="zh-CN"/>
                <w14:textFill>
                  <w14:solidFill>
                    <w14:schemeClr w14:val="tx1"/>
                  </w14:solidFill>
                </w14:textFill>
              </w:rPr>
              <w:t>下式</w:t>
            </w:r>
            <w:r>
              <w:rPr>
                <w:rFonts w:hint="default" w:ascii="Times New Roman" w:hAnsi="Times New Roman" w:cs="Times New Roman"/>
                <w:color w:val="000000" w:themeColor="text1"/>
                <w:sz w:val="24"/>
                <w14:textFill>
                  <w14:solidFill>
                    <w14:schemeClr w14:val="tx1"/>
                  </w14:solidFill>
                </w14:textFill>
              </w:rPr>
              <w:t xml:space="preserve">做近似计算： </w:t>
            </w:r>
          </w:p>
          <w:p w14:paraId="1B1022FB">
            <w:pPr>
              <w:keepNext w:val="0"/>
              <w:keepLines/>
              <w:pageBreakBefore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drawing>
                <wp:inline distT="0" distB="0" distL="114300" distR="114300">
                  <wp:extent cx="1476375" cy="361950"/>
                  <wp:effectExtent l="0" t="0" r="9525" b="0"/>
                  <wp:docPr id="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
                          <pic:cNvPicPr>
                            <a:picLocks noChangeAspect="1"/>
                          </pic:cNvPicPr>
                        </pic:nvPicPr>
                        <pic:blipFill>
                          <a:blip r:embed="rId39"/>
                          <a:stretch>
                            <a:fillRect/>
                          </a:stretch>
                        </pic:blipFill>
                        <pic:spPr>
                          <a:xfrm>
                            <a:off x="0" y="0"/>
                            <a:ext cx="1476375" cy="361950"/>
                          </a:xfrm>
                          <a:prstGeom prst="rect">
                            <a:avLst/>
                          </a:prstGeom>
                          <a:noFill/>
                          <a:ln>
                            <a:noFill/>
                          </a:ln>
                        </pic:spPr>
                      </pic:pic>
                    </a:graphicData>
                  </a:graphic>
                </wp:inline>
              </w:drawing>
            </w:r>
          </w:p>
          <w:p w14:paraId="5DE73E78">
            <w:pPr>
              <w:keepNext w:val="0"/>
              <w:keepLines/>
              <w:pageBreakBefore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式中： </w:t>
            </w:r>
          </w:p>
          <w:p w14:paraId="0EEED7D6">
            <w:pPr>
              <w:keepNext w:val="0"/>
              <w:keepLines/>
              <w:pageBreakBefore w:val="0"/>
              <w:kinsoku/>
              <w:wordWrap/>
              <w:overflowPunct/>
              <w:topLinePunct w:val="0"/>
              <w:autoSpaceDE/>
              <w:autoSpaceDN/>
              <w:bidi w:val="0"/>
              <w:adjustRightInd/>
              <w:snapToGrid/>
              <w:spacing w:line="360" w:lineRule="auto"/>
              <w:ind w:firstLine="1680" w:firstLineChars="7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LA（r）—距声源 r 处的 A 声级，dB（A）； </w:t>
            </w:r>
          </w:p>
          <w:p w14:paraId="4A8EFFBF">
            <w:pPr>
              <w:keepNext w:val="0"/>
              <w:keepLines/>
              <w:pageBreakBefore w:val="0"/>
              <w:kinsoku/>
              <w:wordWrap/>
              <w:overflowPunct/>
              <w:topLinePunct w:val="0"/>
              <w:autoSpaceDE/>
              <w:autoSpaceDN/>
              <w:bidi w:val="0"/>
              <w:adjustRightInd/>
              <w:snapToGrid/>
              <w:spacing w:line="360" w:lineRule="auto"/>
              <w:ind w:firstLine="1680" w:firstLineChars="7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LA（r0）—，参考位置 r0 处的 A 声级 dB（A）。 </w:t>
            </w:r>
          </w:p>
          <w:p w14:paraId="000DF02E">
            <w:pPr>
              <w:keepNext w:val="0"/>
              <w:keepLines/>
              <w:pageBreakBefore w:val="0"/>
              <w:kinsoku/>
              <w:wordWrap/>
              <w:overflowPunct/>
              <w:topLinePunct w:val="0"/>
              <w:autoSpaceDE/>
              <w:autoSpaceDN/>
              <w:bidi w:val="0"/>
              <w:adjustRightInd/>
              <w:snapToGrid/>
              <w:spacing w:line="360" w:lineRule="auto"/>
              <w:ind w:firstLine="1680" w:firstLineChars="7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Adiv—几何发散引起的衰减，dB。 </w:t>
            </w:r>
          </w:p>
          <w:p w14:paraId="76218FCF">
            <w:pPr>
              <w:keepNext w:val="0"/>
              <w:keepLines/>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②室内声源等效室外声源声功率级计算方法 </w:t>
            </w:r>
          </w:p>
          <w:p w14:paraId="020AE83E">
            <w:pPr>
              <w:pStyle w:val="67"/>
              <w:keepNext w:val="0"/>
              <w:keepLines w:val="0"/>
              <w:pageBreakBefore w:val="0"/>
              <w:widowControl/>
              <w:tabs>
                <w:tab w:val="bar" w:pos="9540"/>
              </w:tabs>
              <w:kinsoku/>
              <w:wordWrap/>
              <w:overflowPunct/>
              <w:topLinePunct w:val="0"/>
              <w:autoSpaceDE w:val="0"/>
              <w:autoSpaceDN w:val="0"/>
              <w:bidi w:val="0"/>
              <w:adjustRightInd/>
              <w:snapToGrid/>
              <w:spacing w:before="0"/>
              <w:ind w:left="0" w:leftChars="0" w:right="0" w:firstLine="480" w:firstLineChars="200"/>
              <w:jc w:val="left"/>
              <w:textAlignment w:val="baseline"/>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声源位于室内，室内声源可采用等效室外声源声功率级法进行计算。设靠近开口处（或窗户）室内、室外某倍频带的声压级或 A 声级分别为Lp1和Lp2。若声源所在室内声场为近似扩散声场，则室外的倍频带声压级可按式下近似求出。</w:t>
            </w:r>
          </w:p>
          <w:p w14:paraId="61E1EE05">
            <w:pPr>
              <w:keepNext w:val="0"/>
              <w:keepLines/>
              <w:pageBreakBefore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1800225" cy="352425"/>
                  <wp:effectExtent l="0" t="0" r="952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0"/>
                          <a:stretch>
                            <a:fillRect/>
                          </a:stretch>
                        </pic:blipFill>
                        <pic:spPr>
                          <a:xfrm>
                            <a:off x="0" y="0"/>
                            <a:ext cx="1800225" cy="352425"/>
                          </a:xfrm>
                          <a:prstGeom prst="rect">
                            <a:avLst/>
                          </a:prstGeom>
                          <a:noFill/>
                          <a:ln>
                            <a:noFill/>
                          </a:ln>
                        </pic:spPr>
                      </pic:pic>
                    </a:graphicData>
                  </a:graphic>
                </wp:inline>
              </w:drawing>
            </w:r>
          </w:p>
          <w:p w14:paraId="15786827">
            <w:pPr>
              <w:pStyle w:val="67"/>
              <w:keepNext w:val="0"/>
              <w:keepLines w:val="0"/>
              <w:pageBreakBefore w:val="0"/>
              <w:widowControl/>
              <w:tabs>
                <w:tab w:val="bar" w:pos="9540"/>
              </w:tabs>
              <w:kinsoku/>
              <w:wordWrap/>
              <w:overflowPunct/>
              <w:topLinePunct w:val="0"/>
              <w:autoSpaceDE w:val="0"/>
              <w:autoSpaceDN w:val="0"/>
              <w:bidi w:val="0"/>
              <w:adjustRightInd/>
              <w:snapToGrid/>
              <w:spacing w:before="0" w:line="360" w:lineRule="auto"/>
              <w:ind w:left="0" w:leftChars="0" w:right="0" w:firstLine="480" w:firstLineChars="200"/>
              <w:jc w:val="left"/>
              <w:textAlignment w:val="baseline"/>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式中：</w:t>
            </w:r>
            <w:r>
              <w:rPr>
                <w:rFonts w:hint="default" w:ascii="Times New Roman" w:hAnsi="Times New Roman" w:eastAsia="宋体" w:cs="Times New Roman"/>
                <w:color w:val="000000" w:themeColor="text1"/>
                <w:sz w:val="24"/>
                <w:lang w:val="en-US" w:eastAsia="zh-CN"/>
                <w14:textFill>
                  <w14:solidFill>
                    <w14:schemeClr w14:val="tx1"/>
                  </w14:solidFill>
                </w14:textFill>
              </w:rPr>
              <w:t>Lp1——靠近开口处（或窗户）室内某倍频带的声压级或 A 声级，dB；</w:t>
            </w:r>
          </w:p>
          <w:p w14:paraId="6A8F1449">
            <w:pPr>
              <w:keepNext w:val="0"/>
              <w:keepLines/>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Lp2——靠近开口处（或窗户）室外某倍频带的声压级或 A 声级，dB；</w:t>
            </w:r>
          </w:p>
          <w:p w14:paraId="6779E242">
            <w:pPr>
              <w:keepNext w:val="0"/>
              <w:keepLines/>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TL—隔墙或窗户倍频带的隔声量，dB。 </w:t>
            </w:r>
          </w:p>
          <w:p w14:paraId="329CD41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也可按下式计算某一室内声源靠近围护结构处产生的倍频带声压级或A声级</w:t>
            </w:r>
          </w:p>
          <w:p w14:paraId="747872CF">
            <w:pPr>
              <w:pStyle w:val="150"/>
              <w:keepNext w:val="0"/>
              <w:keepLines/>
              <w:pageBreakBefore w:val="0"/>
              <w:kinsoku/>
              <w:wordWrap/>
              <w:overflowPunct/>
              <w:topLinePunct w:val="0"/>
              <w:autoSpaceDE/>
              <w:autoSpaceDN/>
              <w:bidi w:val="0"/>
              <w:adjustRightInd/>
              <w:snapToGrid/>
              <w:spacing w:before="0" w:beforeLines="0" w:after="0" w:afterLines="0" w:line="360" w:lineRule="auto"/>
              <w:ind w:left="0" w:leftChars="0" w:firstLine="0" w:firstLineChars="0"/>
              <w:jc w:val="center"/>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drawing>
                <wp:inline distT="0" distB="0" distL="114300" distR="114300">
                  <wp:extent cx="3028950" cy="781050"/>
                  <wp:effectExtent l="0" t="0" r="0" b="0"/>
                  <wp:docPr id="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pic:cNvPicPr>
                            <a:picLocks noChangeAspect="1"/>
                          </pic:cNvPicPr>
                        </pic:nvPicPr>
                        <pic:blipFill>
                          <a:blip r:embed="rId41"/>
                          <a:stretch>
                            <a:fillRect/>
                          </a:stretch>
                        </pic:blipFill>
                        <pic:spPr>
                          <a:xfrm>
                            <a:off x="0" y="0"/>
                            <a:ext cx="3028950" cy="781050"/>
                          </a:xfrm>
                          <a:prstGeom prst="rect">
                            <a:avLst/>
                          </a:prstGeom>
                          <a:noFill/>
                          <a:ln>
                            <a:noFill/>
                          </a:ln>
                        </pic:spPr>
                      </pic:pic>
                    </a:graphicData>
                  </a:graphic>
                </wp:inline>
              </w:drawing>
            </w:r>
          </w:p>
          <w:p w14:paraId="2D299C22">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式中：Lp1——靠近开口处（或窗户）室内某倍频带的声压级或A声级，dB；</w:t>
            </w:r>
          </w:p>
          <w:p w14:paraId="5B94BC4D">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Lw——点声源声功率级（A计权或倍频带），dB；</w:t>
            </w:r>
          </w:p>
          <w:p w14:paraId="1803572D">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Q——指向性因数；通常对无指向性声源，当声源放在房间中心时，Q=1；当放在一面墙的中心时，Q=2；当放在两面墙夹角处时，Q=4；当放在三面墙夹角处时，Q=8；</w:t>
            </w:r>
          </w:p>
          <w:p w14:paraId="6CDD3FBA">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R——房间常数；R=Sα/（1-α），</w:t>
            </w:r>
            <w:r>
              <w:rPr>
                <w:rFonts w:hint="eastAsia" w:ascii="Times New Roman" w:hAnsi="Times New Roman" w:eastAsia="宋体" w:cs="Times New Roman"/>
                <w:color w:val="000000" w:themeColor="text1"/>
                <w:sz w:val="24"/>
                <w:lang w:val="en-US" w:eastAsia="zh-CN"/>
                <w14:textFill>
                  <w14:solidFill>
                    <w14:schemeClr w14:val="tx1"/>
                  </w14:solidFill>
                </w14:textFill>
              </w:rPr>
              <w:t>S</w:t>
            </w:r>
            <w:r>
              <w:rPr>
                <w:rFonts w:hint="default" w:ascii="Times New Roman" w:hAnsi="Times New Roman" w:eastAsia="宋体" w:cs="Times New Roman"/>
                <w:color w:val="000000" w:themeColor="text1"/>
                <w:sz w:val="24"/>
                <w:lang w:val="en-US" w:eastAsia="zh-CN"/>
                <w14:textFill>
                  <w14:solidFill>
                    <w14:schemeClr w14:val="tx1"/>
                  </w14:solidFill>
                </w14:textFill>
              </w:rPr>
              <w:t>为房间内表面面积，m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；α为平均吸声系数；</w:t>
            </w:r>
            <w:r>
              <w:rPr>
                <w:rFonts w:hint="eastAsia" w:ascii="Times New Roman" w:hAnsi="Times New Roman" w:eastAsia="宋体" w:cs="Times New Roman"/>
                <w:color w:val="000000" w:themeColor="text1"/>
                <w:sz w:val="24"/>
                <w:lang w:val="en-US" w:eastAsia="zh-CN"/>
                <w14:textFill>
                  <w14:solidFill>
                    <w14:schemeClr w14:val="tx1"/>
                  </w14:solidFill>
                </w14:textFill>
              </w:rPr>
              <w:t>现有</w:t>
            </w:r>
            <w:r>
              <w:rPr>
                <w:rFonts w:hint="eastAsia" w:cs="Times New Roman"/>
                <w:color w:val="000000" w:themeColor="text1"/>
                <w:sz w:val="24"/>
                <w:lang w:val="en-US" w:eastAsia="zh-CN"/>
                <w14:textFill>
                  <w14:solidFill>
                    <w14:schemeClr w14:val="tx1"/>
                  </w14:solidFill>
                </w14:textFill>
              </w:rPr>
              <w:t>生产车间、锅炉房</w:t>
            </w:r>
            <w:r>
              <w:rPr>
                <w:rFonts w:hint="eastAsia" w:ascii="Times New Roman" w:hAnsi="Times New Roman" w:eastAsia="宋体" w:cs="Times New Roman"/>
                <w:color w:val="000000" w:themeColor="text1"/>
                <w:sz w:val="24"/>
                <w:lang w:val="en-US" w:eastAsia="zh-CN"/>
                <w14:textFill>
                  <w14:solidFill>
                    <w14:schemeClr w14:val="tx1"/>
                  </w14:solidFill>
                </w14:textFill>
              </w:rPr>
              <w:t>为</w:t>
            </w:r>
            <w:r>
              <w:rPr>
                <w:rFonts w:hint="eastAsia" w:cs="Times New Roman"/>
                <w:color w:val="000000" w:themeColor="text1"/>
                <w:sz w:val="24"/>
                <w:lang w:val="en-US" w:eastAsia="zh-CN"/>
                <w14:textFill>
                  <w14:solidFill>
                    <w14:schemeClr w14:val="tx1"/>
                  </w14:solidFill>
                </w14:textFill>
              </w:rPr>
              <w:t>彩钢瓦</w:t>
            </w:r>
            <w:r>
              <w:rPr>
                <w:rFonts w:hint="eastAsia" w:ascii="Times New Roman" w:hAnsi="Times New Roman" w:eastAsia="宋体" w:cs="Times New Roman"/>
                <w:color w:val="000000" w:themeColor="text1"/>
                <w:sz w:val="24"/>
                <w:lang w:val="en-US" w:eastAsia="zh-CN"/>
                <w14:textFill>
                  <w14:solidFill>
                    <w14:schemeClr w14:val="tx1"/>
                  </w14:solidFill>
                </w14:textFill>
              </w:rPr>
              <w:t>结构，</w:t>
            </w:r>
            <w:r>
              <w:rPr>
                <w:rFonts w:hint="eastAsia" w:cs="Times New Roman"/>
                <w:color w:val="000000" w:themeColor="text1"/>
                <w:sz w:val="24"/>
                <w:lang w:val="en-US" w:eastAsia="zh-CN"/>
                <w14:textFill>
                  <w14:solidFill>
                    <w14:schemeClr w14:val="tx1"/>
                  </w14:solidFill>
                </w14:textFill>
              </w:rPr>
              <w:t>彩钢瓦</w:t>
            </w:r>
            <w:r>
              <w:rPr>
                <w:rFonts w:hint="default" w:ascii="Times New Roman" w:hAnsi="Times New Roman" w:eastAsia="宋体" w:cs="Times New Roman"/>
                <w:color w:val="000000" w:themeColor="text1"/>
                <w:sz w:val="24"/>
                <w:lang w:val="en-US" w:eastAsia="zh-CN"/>
                <w14:textFill>
                  <w14:solidFill>
                    <w14:schemeClr w14:val="tx1"/>
                  </w14:solidFill>
                </w14:textFill>
              </w:rPr>
              <w:t>吸声系数为0</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生产车间</w:t>
            </w:r>
            <w:r>
              <w:rPr>
                <w:rFonts w:hint="eastAsia" w:ascii="Times New Roman" w:hAnsi="Times New Roman" w:eastAsia="宋体" w:cs="Times New Roman"/>
                <w:color w:val="000000" w:themeColor="text1"/>
                <w:sz w:val="24"/>
                <w:lang w:val="en-US" w:eastAsia="zh-CN"/>
                <w14:textFill>
                  <w14:solidFill>
                    <w14:schemeClr w14:val="tx1"/>
                  </w14:solidFill>
                </w14:textFill>
              </w:rPr>
              <w:t>总</w:t>
            </w:r>
            <w:r>
              <w:rPr>
                <w:rFonts w:hint="default" w:ascii="Times New Roman" w:hAnsi="Times New Roman" w:eastAsia="宋体" w:cs="Times New Roman"/>
                <w:color w:val="000000" w:themeColor="text1"/>
                <w:sz w:val="24"/>
                <w:lang w:val="en-US" w:eastAsia="zh-CN"/>
                <w14:textFill>
                  <w14:solidFill>
                    <w14:schemeClr w14:val="tx1"/>
                  </w14:solidFill>
                </w14:textFill>
              </w:rPr>
              <w:t>表面积约</w:t>
            </w:r>
            <w:r>
              <w:rPr>
                <w:rFonts w:hint="eastAsia" w:ascii="Times New Roman" w:hAnsi="Times New Roman" w:cs="Times New Roman"/>
                <w:color w:val="000000" w:themeColor="text1"/>
                <w:sz w:val="24"/>
                <w:lang w:val="en-US" w:eastAsia="zh-CN"/>
                <w14:textFill>
                  <w14:solidFill>
                    <w14:schemeClr w14:val="tx1"/>
                  </w14:solidFill>
                </w14:textFill>
              </w:rPr>
              <w:t>1600</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车间</w:t>
            </w:r>
            <w:r>
              <w:rPr>
                <w:rFonts w:hint="default" w:ascii="Times New Roman" w:hAnsi="Times New Roman" w:eastAsia="宋体" w:cs="Times New Roman"/>
                <w:color w:val="000000" w:themeColor="text1"/>
                <w:sz w:val="24"/>
                <w:lang w:val="en-US" w:eastAsia="zh-CN"/>
                <w14:textFill>
                  <w14:solidFill>
                    <w14:schemeClr w14:val="tx1"/>
                  </w14:solidFill>
                </w14:textFill>
              </w:rPr>
              <w:t>周长</w:t>
            </w:r>
            <w:r>
              <w:rPr>
                <w:rFonts w:hint="eastAsia" w:ascii="Times New Roman" w:hAnsi="Times New Roman" w:cs="Times New Roman"/>
                <w:color w:val="000000" w:themeColor="text1"/>
                <w:sz w:val="24"/>
                <w:lang w:val="en-US" w:eastAsia="zh-CN"/>
                <w14:textFill>
                  <w14:solidFill>
                    <w14:schemeClr w14:val="tx1"/>
                  </w14:solidFill>
                </w14:textFill>
              </w:rPr>
              <w:t>200</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lang w:val="en-US" w:eastAsia="zh-CN"/>
                <w14:textFill>
                  <w14:solidFill>
                    <w14:schemeClr w14:val="tx1"/>
                  </w14:solidFill>
                </w14:textFill>
              </w:rPr>
              <w:t>*高度</w:t>
            </w:r>
            <w:r>
              <w:rPr>
                <w:rFonts w:hint="eastAsia" w:ascii="Times New Roman" w:hAnsi="Times New Roman" w:eastAsia="宋体" w:cs="Times New Roman"/>
                <w:color w:val="000000" w:themeColor="text1"/>
                <w:sz w:val="24"/>
                <w:lang w:val="en-US" w:eastAsia="zh-CN"/>
                <w14:textFill>
                  <w14:solidFill>
                    <w14:schemeClr w14:val="tx1"/>
                  </w14:solidFill>
                </w14:textFill>
              </w:rPr>
              <w:t>约</w:t>
            </w:r>
            <w:r>
              <w:rPr>
                <w:rFonts w:hint="eastAsia" w:cs="Times New Roman"/>
                <w:color w:val="000000" w:themeColor="text1"/>
                <w:sz w:val="24"/>
                <w:lang w:val="en-US" w:eastAsia="zh-CN"/>
                <w14:textFill>
                  <w14:solidFill>
                    <w14:schemeClr w14:val="tx1"/>
                  </w14:solidFill>
                </w14:textFill>
              </w:rPr>
              <w:t>8</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锅炉房</w:t>
            </w:r>
            <w:r>
              <w:rPr>
                <w:rFonts w:hint="eastAsia" w:ascii="Times New Roman" w:hAnsi="Times New Roman" w:eastAsia="宋体" w:cs="Times New Roman"/>
                <w:color w:val="000000" w:themeColor="text1"/>
                <w:sz w:val="24"/>
                <w:lang w:val="en-US" w:eastAsia="zh-CN"/>
                <w14:textFill>
                  <w14:solidFill>
                    <w14:schemeClr w14:val="tx1"/>
                  </w14:solidFill>
                </w14:textFill>
              </w:rPr>
              <w:t>总</w:t>
            </w:r>
            <w:r>
              <w:rPr>
                <w:rFonts w:hint="default" w:ascii="Times New Roman" w:hAnsi="Times New Roman" w:eastAsia="宋体" w:cs="Times New Roman"/>
                <w:color w:val="000000" w:themeColor="text1"/>
                <w:sz w:val="24"/>
                <w:lang w:val="en-US" w:eastAsia="zh-CN"/>
                <w14:textFill>
                  <w14:solidFill>
                    <w14:schemeClr w14:val="tx1"/>
                  </w14:solidFill>
                </w14:textFill>
              </w:rPr>
              <w:t>表面积约</w:t>
            </w:r>
            <w:r>
              <w:rPr>
                <w:rFonts w:hint="eastAsia" w:ascii="Times New Roman" w:hAnsi="Times New Roman" w:cs="Times New Roman"/>
                <w:color w:val="000000" w:themeColor="text1"/>
                <w:sz w:val="24"/>
                <w:lang w:val="en-US" w:eastAsia="zh-CN"/>
                <w14:textFill>
                  <w14:solidFill>
                    <w14:schemeClr w14:val="tx1"/>
                  </w14:solidFill>
                </w14:textFill>
              </w:rPr>
              <w:t>400</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车间</w:t>
            </w:r>
            <w:r>
              <w:rPr>
                <w:rFonts w:hint="default" w:ascii="Times New Roman" w:hAnsi="Times New Roman" w:eastAsia="宋体" w:cs="Times New Roman"/>
                <w:color w:val="000000" w:themeColor="text1"/>
                <w:sz w:val="24"/>
                <w:lang w:val="en-US" w:eastAsia="zh-CN"/>
                <w14:textFill>
                  <w14:solidFill>
                    <w14:schemeClr w14:val="tx1"/>
                  </w14:solidFill>
                </w14:textFill>
              </w:rPr>
              <w:t>周长</w:t>
            </w:r>
            <w:r>
              <w:rPr>
                <w:rFonts w:hint="eastAsia" w:ascii="Times New Roman" w:hAnsi="Times New Roman" w:cs="Times New Roman"/>
                <w:color w:val="000000" w:themeColor="text1"/>
                <w:sz w:val="24"/>
                <w:lang w:val="en-US" w:eastAsia="zh-CN"/>
                <w14:textFill>
                  <w14:solidFill>
                    <w14:schemeClr w14:val="tx1"/>
                  </w14:solidFill>
                </w14:textFill>
              </w:rPr>
              <w:t>50</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lang w:val="en-US" w:eastAsia="zh-CN"/>
                <w14:textFill>
                  <w14:solidFill>
                    <w14:schemeClr w14:val="tx1"/>
                  </w14:solidFill>
                </w14:textFill>
              </w:rPr>
              <w:t>*高度</w:t>
            </w:r>
            <w:r>
              <w:rPr>
                <w:rFonts w:hint="eastAsia" w:ascii="Times New Roman" w:hAnsi="Times New Roman" w:eastAsia="宋体" w:cs="Times New Roman"/>
                <w:color w:val="000000" w:themeColor="text1"/>
                <w:sz w:val="24"/>
                <w:lang w:val="en-US" w:eastAsia="zh-CN"/>
                <w14:textFill>
                  <w14:solidFill>
                    <w14:schemeClr w14:val="tx1"/>
                  </w14:solidFill>
                </w14:textFill>
              </w:rPr>
              <w:t>约</w:t>
            </w:r>
            <w:r>
              <w:rPr>
                <w:rFonts w:hint="eastAsia" w:cs="Times New Roman"/>
                <w:color w:val="000000" w:themeColor="text1"/>
                <w:sz w:val="24"/>
                <w:lang w:val="en-US" w:eastAsia="zh-CN"/>
                <w14:textFill>
                  <w14:solidFill>
                    <w14:schemeClr w14:val="tx1"/>
                  </w14:solidFill>
                </w14:textFill>
              </w:rPr>
              <w:t>8</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w:t>
            </w:r>
          </w:p>
          <w:p w14:paraId="436CEDFE">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r——声源到靠近围护结构某点处的距离，m。</w:t>
            </w:r>
          </w:p>
          <w:p w14:paraId="75BAF76A">
            <w:pPr>
              <w:keepNext w:val="0"/>
              <w:keepLines/>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③噪声贡献值计算</w:t>
            </w:r>
          </w:p>
          <w:p w14:paraId="6730225B">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设第i个室外声源在预测点产生的A声级为LAi，在T时间内该声源工作时间为ti；第j个等效室外声源在预测点产生的A声级为LAj，在T时间内该声源工作时间为tj；则拟建工程声源对预测点产生的贡献值为（Leqg）： </w:t>
            </w:r>
          </w:p>
          <w:p w14:paraId="3C274BB7">
            <w:pPr>
              <w:keepNext w:val="0"/>
              <w:keepLines/>
              <w:pageBreakBefore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3257550" cy="704850"/>
                  <wp:effectExtent l="0" t="0" r="0" b="0"/>
                  <wp:docPr id="5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
                          <pic:cNvPicPr>
                            <a:picLocks noChangeAspect="1"/>
                          </pic:cNvPicPr>
                        </pic:nvPicPr>
                        <pic:blipFill>
                          <a:blip r:embed="rId42"/>
                          <a:stretch>
                            <a:fillRect/>
                          </a:stretch>
                        </pic:blipFill>
                        <pic:spPr>
                          <a:xfrm>
                            <a:off x="0" y="0"/>
                            <a:ext cx="3257550" cy="704850"/>
                          </a:xfrm>
                          <a:prstGeom prst="rect">
                            <a:avLst/>
                          </a:prstGeom>
                          <a:noFill/>
                          <a:ln>
                            <a:noFill/>
                          </a:ln>
                        </pic:spPr>
                      </pic:pic>
                    </a:graphicData>
                  </a:graphic>
                </wp:inline>
              </w:drawing>
            </w:r>
          </w:p>
          <w:p w14:paraId="5EC7746E">
            <w:pPr>
              <w:pStyle w:val="32"/>
              <w:keepNext w:val="0"/>
              <w:keepLines/>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式中： </w:t>
            </w:r>
          </w:p>
          <w:p w14:paraId="34647FF3">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tj—在 T 时间内 j 声源工作时间，s；ti—在 T 时间内 i 声源工作时间，s； </w:t>
            </w:r>
          </w:p>
          <w:p w14:paraId="58F16C89">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T—用于计算等效声级的时间，s； </w:t>
            </w:r>
          </w:p>
          <w:p w14:paraId="56667DCE">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N—室外声源个数；</w:t>
            </w:r>
          </w:p>
          <w:p w14:paraId="136B3CCC">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M—等效室外声源个数。 </w:t>
            </w:r>
          </w:p>
          <w:p w14:paraId="283BD325">
            <w:pPr>
              <w:pStyle w:val="67"/>
              <w:tabs>
                <w:tab w:val="bar" w:pos="9540"/>
              </w:tabs>
              <w:snapToGrid w:val="0"/>
              <w:ind w:firstLine="482" w:firstLineChars="200"/>
              <w:jc w:val="left"/>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sz w:val="24"/>
                <w:szCs w:val="24"/>
                <w:lang w:eastAsia="zh-CN"/>
                <w14:textFill>
                  <w14:solidFill>
                    <w14:schemeClr w14:val="tx1"/>
                  </w14:solidFill>
                </w14:textFill>
              </w:rPr>
              <w:t>④</w:t>
            </w:r>
            <w:r>
              <w:rPr>
                <w:rFonts w:hint="default" w:ascii="Times New Roman" w:hAnsi="Times New Roman" w:cs="Times New Roman"/>
                <w:b/>
                <w:bCs/>
                <w:color w:val="000000" w:themeColor="text1"/>
                <w14:textFill>
                  <w14:solidFill>
                    <w14:schemeClr w14:val="tx1"/>
                  </w14:solidFill>
                </w14:textFill>
              </w:rPr>
              <w:t>声源的几何发散衰减公式：</w:t>
            </w:r>
          </w:p>
          <w:p w14:paraId="62E86403">
            <w:pPr>
              <w:pStyle w:val="16"/>
              <w:spacing w:after="0" w:line="360" w:lineRule="auto"/>
              <w:ind w:left="0" w:leftChars="0" w:right="0" w:right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A</w:t>
            </w:r>
            <w:r>
              <w:rPr>
                <w:rFonts w:hint="default" w:ascii="Times New Roman" w:hAnsi="Times New Roman" w:cs="Times New Roman"/>
                <w:color w:val="000000" w:themeColor="text1"/>
                <w:sz w:val="24"/>
                <w:vertAlign w:val="subscript"/>
                <w14:textFill>
                  <w14:solidFill>
                    <w14:schemeClr w14:val="tx1"/>
                  </w14:solidFill>
                </w14:textFill>
              </w:rPr>
              <w:t>div</w:t>
            </w:r>
            <w:r>
              <w:rPr>
                <w:rFonts w:hint="default" w:ascii="Times New Roman" w:hAnsi="Times New Roman" w:cs="Times New Roman"/>
                <w:color w:val="000000" w:themeColor="text1"/>
                <w:sz w:val="24"/>
                <w14:textFill>
                  <w14:solidFill>
                    <w14:schemeClr w14:val="tx1"/>
                  </w14:solidFill>
                </w14:textFill>
              </w:rPr>
              <w:t>=20lg（r/r</w:t>
            </w:r>
            <w:r>
              <w:rPr>
                <w:rFonts w:hint="default" w:ascii="Times New Roman" w:hAnsi="Times New Roman" w:cs="Times New Roman"/>
                <w:color w:val="000000" w:themeColor="text1"/>
                <w:sz w:val="24"/>
                <w:vertAlign w:val="subscript"/>
                <w14:textFill>
                  <w14:solidFill>
                    <w14:schemeClr w14:val="tx1"/>
                  </w14:solidFill>
                </w14:textFill>
              </w:rPr>
              <w:t>0</w:t>
            </w:r>
            <w:r>
              <w:rPr>
                <w:rFonts w:hint="default" w:ascii="Times New Roman" w:hAnsi="Times New Roman" w:cs="Times New Roman"/>
                <w:color w:val="000000" w:themeColor="text1"/>
                <w:sz w:val="24"/>
                <w14:textFill>
                  <w14:solidFill>
                    <w14:schemeClr w14:val="tx1"/>
                  </w14:solidFill>
                </w14:textFill>
              </w:rPr>
              <w:t>）</w:t>
            </w:r>
          </w:p>
          <w:p w14:paraId="167D405F">
            <w:pPr>
              <w:pStyle w:val="16"/>
              <w:adjustRightInd w:val="0"/>
              <w:snapToGrid w:val="0"/>
              <w:spacing w:after="0" w:line="360" w:lineRule="auto"/>
              <w:ind w:left="0" w:leftChars="0" w:right="0" w:rightChars="0"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式中：A</w:t>
            </w:r>
            <w:r>
              <w:rPr>
                <w:rFonts w:hint="default" w:ascii="Times New Roman" w:hAnsi="Times New Roman" w:cs="Times New Roman"/>
                <w:color w:val="000000" w:themeColor="text1"/>
                <w:sz w:val="24"/>
                <w:vertAlign w:val="subscript"/>
                <w14:textFill>
                  <w14:solidFill>
                    <w14:schemeClr w14:val="tx1"/>
                  </w14:solidFill>
                </w14:textFill>
              </w:rPr>
              <w:t>div</w:t>
            </w:r>
            <w:r>
              <w:rPr>
                <w:rFonts w:hint="default" w:ascii="Times New Roman" w:hAnsi="Times New Roman" w:cs="Times New Roman"/>
                <w:color w:val="000000" w:themeColor="text1"/>
                <w:sz w:val="24"/>
                <w14:textFill>
                  <w14:solidFill>
                    <w14:schemeClr w14:val="tx1"/>
                  </w14:solidFill>
                </w14:textFill>
              </w:rPr>
              <w:t>——几何发散引起的衰减，dB；</w:t>
            </w:r>
          </w:p>
          <w:p w14:paraId="7B54EFE1">
            <w:pPr>
              <w:pStyle w:val="67"/>
              <w:tabs>
                <w:tab w:val="bar" w:pos="9540"/>
              </w:tabs>
              <w:snapToGrid w:val="0"/>
              <w:ind w:firstLine="1200" w:firstLineChars="5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r——预测点距声源的距离；</w:t>
            </w:r>
          </w:p>
          <w:p w14:paraId="3D769553">
            <w:pPr>
              <w:pStyle w:val="67"/>
              <w:tabs>
                <w:tab w:val="bar" w:pos="9540"/>
              </w:tabs>
              <w:snapToGrid w:val="0"/>
              <w:ind w:firstLine="1200" w:firstLineChars="5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r</w:t>
            </w:r>
            <w:r>
              <w:rPr>
                <w:rFonts w:hint="default" w:ascii="Times New Roman" w:hAnsi="Times New Roman" w:cs="Times New Roman"/>
                <w:color w:val="000000" w:themeColor="text1"/>
                <w:sz w:val="24"/>
                <w:vertAlign w:val="subscript"/>
                <w14:textFill>
                  <w14:solidFill>
                    <w14:schemeClr w14:val="tx1"/>
                  </w14:solidFill>
                </w14:textFill>
              </w:rPr>
              <w:t>0</w:t>
            </w:r>
            <w:r>
              <w:rPr>
                <w:rFonts w:hint="default" w:ascii="Times New Roman" w:hAnsi="Times New Roman" w:cs="Times New Roman"/>
                <w:color w:val="000000" w:themeColor="text1"/>
                <w:sz w:val="24"/>
                <w14:textFill>
                  <w14:solidFill>
                    <w14:schemeClr w14:val="tx1"/>
                  </w14:solidFill>
                </w14:textFill>
              </w:rPr>
              <w:t>——参考位置距声源的距离；</w:t>
            </w:r>
          </w:p>
          <w:p w14:paraId="274C4DFA">
            <w:pPr>
              <w:pStyle w:val="150"/>
              <w:keepLines/>
              <w:adjustRightInd/>
              <w:snapToGrid/>
              <w:spacing w:beforeLines="0" w:after="0" w:line="360" w:lineRule="auto"/>
              <w:ind w:firstLine="482"/>
              <w:rPr>
                <w:rFonts w:hint="default" w:ascii="Times New Roman" w:hAnsi="Times New Roman" w:cs="Times New Roman"/>
                <w:b/>
                <w:bCs/>
                <w:color w:val="000000" w:themeColor="text1"/>
                <w:sz w:val="24"/>
                <w:szCs w:val="32"/>
                <w14:textFill>
                  <w14:solidFill>
                    <w14:schemeClr w14:val="tx1"/>
                  </w14:solidFill>
                </w14:textFill>
              </w:rPr>
            </w:pPr>
            <w:r>
              <w:rPr>
                <w:rFonts w:hint="default" w:ascii="Times New Roman" w:hAnsi="Times New Roman" w:cs="Times New Roman"/>
                <w:b/>
                <w:bCs/>
                <w:color w:val="000000" w:themeColor="text1"/>
                <w:sz w:val="24"/>
                <w:szCs w:val="32"/>
                <w14:textFill>
                  <w14:solidFill>
                    <w14:schemeClr w14:val="tx1"/>
                  </w14:solidFill>
                </w14:textFill>
              </w:rPr>
              <w:t>2）本项目厂界预测结果及评价</w:t>
            </w:r>
          </w:p>
          <w:p w14:paraId="348D2065">
            <w:pPr>
              <w:keepLine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本次环评中为了更准确、快速地进行噪声预测分析，采用了石家庄环安科技有限公司开发的NoiseSystemV4.0噪声预测评价软件。</w:t>
            </w:r>
          </w:p>
          <w:p w14:paraId="0692AAE6">
            <w:pPr>
              <w:keepLines/>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eastAsia="zh-CN"/>
                <w14:textFill>
                  <w14:solidFill>
                    <w14:schemeClr w14:val="tx1"/>
                  </w14:solidFill>
                </w14:textFill>
              </w:rPr>
              <w:t>厂界噪声现状值详见表</w:t>
            </w:r>
            <w:r>
              <w:rPr>
                <w:rFonts w:hint="eastAsia" w:cs="Times New Roman"/>
                <w:color w:val="000000" w:themeColor="text1"/>
                <w:sz w:val="24"/>
                <w:lang w:val="en-US" w:eastAsia="zh-CN"/>
                <w14:textFill>
                  <w14:solidFill>
                    <w14:schemeClr w14:val="tx1"/>
                  </w14:solidFill>
                </w14:textFill>
              </w:rPr>
              <w:t>2-16，本次现状值以最大值计。敏感点噪声现状值详见表3-4。</w:t>
            </w:r>
          </w:p>
          <w:p w14:paraId="1A58C135">
            <w:pPr>
              <w:keepLine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坐标原点为厂区边界西南处，原点以东方向为X轴正方向，原点以北方向为Y轴正方向。预测结果如下。</w:t>
            </w:r>
          </w:p>
          <w:p w14:paraId="167DC875">
            <w:pPr>
              <w:keepLines/>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表4-</w:t>
            </w:r>
            <w:r>
              <w:rPr>
                <w:rFonts w:hint="eastAsia" w:ascii="Times New Roman" w:hAnsi="Times New Roman" w:cs="Times New Roman"/>
                <w:b/>
                <w:bCs/>
                <w:color w:val="000000" w:themeColor="text1"/>
                <w:szCs w:val="21"/>
                <w:lang w:val="en-US" w:eastAsia="zh-CN"/>
                <w14:textFill>
                  <w14:solidFill>
                    <w14:schemeClr w14:val="tx1"/>
                  </w14:solidFill>
                </w14:textFill>
              </w:rPr>
              <w:t>1</w:t>
            </w:r>
            <w:r>
              <w:rPr>
                <w:rFonts w:hint="eastAsia" w:cs="Times New Roman"/>
                <w:b/>
                <w:bCs/>
                <w:color w:val="000000" w:themeColor="text1"/>
                <w:szCs w:val="21"/>
                <w:lang w:val="en-US" w:eastAsia="zh-CN"/>
                <w14:textFill>
                  <w14:solidFill>
                    <w14:schemeClr w14:val="tx1"/>
                  </w14:solidFill>
                </w14:textFill>
              </w:rPr>
              <w:t xml:space="preserve">9 </w:t>
            </w:r>
            <w:r>
              <w:rPr>
                <w:rFonts w:hint="default" w:ascii="Times New Roman" w:hAnsi="Times New Roman" w:cs="Times New Roman"/>
                <w:b/>
                <w:bCs/>
                <w:color w:val="000000" w:themeColor="text1"/>
                <w:szCs w:val="21"/>
                <w14:textFill>
                  <w14:solidFill>
                    <w14:schemeClr w14:val="tx1"/>
                  </w14:solidFill>
                </w14:textFill>
              </w:rPr>
              <w:t>厂界</w:t>
            </w:r>
            <w:r>
              <w:rPr>
                <w:rFonts w:hint="eastAsia" w:ascii="Times New Roman" w:hAnsi="Times New Roman" w:cs="Times New Roman"/>
                <w:b/>
                <w:bCs/>
                <w:color w:val="000000" w:themeColor="text1"/>
                <w:szCs w:val="21"/>
                <w:lang w:eastAsia="zh-CN"/>
                <w14:textFill>
                  <w14:solidFill>
                    <w14:schemeClr w14:val="tx1"/>
                  </w14:solidFill>
                </w14:textFill>
              </w:rPr>
              <w:t>及周边敏感点</w:t>
            </w:r>
            <w:r>
              <w:rPr>
                <w:rFonts w:hint="default" w:ascii="Times New Roman" w:hAnsi="Times New Roman" w:cs="Times New Roman"/>
                <w:b/>
                <w:bCs/>
                <w:color w:val="000000" w:themeColor="text1"/>
                <w:szCs w:val="21"/>
                <w14:textFill>
                  <w14:solidFill>
                    <w14:schemeClr w14:val="tx1"/>
                  </w14:solidFill>
                </w14:textFill>
              </w:rPr>
              <w:t>噪声贡献值一览表单位：dB（A）</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815"/>
              <w:gridCol w:w="1162"/>
              <w:gridCol w:w="1091"/>
              <w:gridCol w:w="1091"/>
              <w:gridCol w:w="1091"/>
              <w:gridCol w:w="1158"/>
            </w:tblGrid>
            <w:tr w14:paraId="0C8BF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590" w:type="pct"/>
                  <w:gridSpan w:val="2"/>
                  <w:vMerge w:val="restart"/>
                  <w:vAlign w:val="center"/>
                </w:tcPr>
                <w:p w14:paraId="2409558C">
                  <w:pPr>
                    <w:keepLines/>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预测点</w:t>
                  </w:r>
                </w:p>
              </w:tc>
              <w:tc>
                <w:tcPr>
                  <w:tcW w:w="708" w:type="pct"/>
                  <w:vMerge w:val="restart"/>
                  <w:vAlign w:val="center"/>
                </w:tcPr>
                <w:p w14:paraId="71C3E9D1">
                  <w:pPr>
                    <w:keepLines/>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贡献值</w:t>
                  </w:r>
                </w:p>
              </w:tc>
              <w:tc>
                <w:tcPr>
                  <w:tcW w:w="665" w:type="pct"/>
                  <w:vMerge w:val="restart"/>
                  <w:vAlign w:val="center"/>
                </w:tcPr>
                <w:p w14:paraId="389EDA23">
                  <w:pPr>
                    <w:keepLines/>
                    <w:jc w:val="center"/>
                    <w:rPr>
                      <w:rFonts w:hint="eastAsia" w:ascii="Times New Roman" w:hAnsi="Times New Roman" w:eastAsia="宋体" w:cs="Times New Roman"/>
                      <w:b/>
                      <w:bCs/>
                      <w:color w:val="000000" w:themeColor="text1"/>
                      <w:szCs w:val="21"/>
                      <w:lang w:eastAsia="zh-CN"/>
                      <w14:textFill>
                        <w14:solidFill>
                          <w14:schemeClr w14:val="tx1"/>
                        </w14:solidFill>
                      </w14:textFill>
                    </w:rPr>
                  </w:pPr>
                  <w:r>
                    <w:rPr>
                      <w:rFonts w:hint="eastAsia" w:cs="Times New Roman"/>
                      <w:b/>
                      <w:bCs/>
                      <w:color w:val="000000" w:themeColor="text1"/>
                      <w:szCs w:val="21"/>
                      <w:lang w:eastAsia="zh-CN"/>
                      <w14:textFill>
                        <w14:solidFill>
                          <w14:schemeClr w14:val="tx1"/>
                        </w14:solidFill>
                      </w14:textFill>
                    </w:rPr>
                    <w:t>现状值</w:t>
                  </w:r>
                </w:p>
              </w:tc>
              <w:tc>
                <w:tcPr>
                  <w:tcW w:w="665" w:type="pct"/>
                  <w:vMerge w:val="restart"/>
                  <w:vAlign w:val="center"/>
                </w:tcPr>
                <w:p w14:paraId="57885519">
                  <w:pPr>
                    <w:keepLines/>
                    <w:jc w:val="center"/>
                    <w:rPr>
                      <w:rFonts w:hint="eastAsia" w:ascii="Times New Roman" w:hAnsi="Times New Roman" w:eastAsia="宋体" w:cs="Times New Roman"/>
                      <w:b/>
                      <w:bCs/>
                      <w:color w:val="000000" w:themeColor="text1"/>
                      <w:szCs w:val="21"/>
                      <w:lang w:eastAsia="zh-CN"/>
                      <w14:textFill>
                        <w14:solidFill>
                          <w14:schemeClr w14:val="tx1"/>
                        </w14:solidFill>
                      </w14:textFill>
                    </w:rPr>
                  </w:pPr>
                  <w:r>
                    <w:rPr>
                      <w:rFonts w:hint="eastAsia" w:cs="Times New Roman"/>
                      <w:b/>
                      <w:bCs/>
                      <w:color w:val="000000" w:themeColor="text1"/>
                      <w:szCs w:val="21"/>
                      <w:lang w:eastAsia="zh-CN"/>
                      <w14:textFill>
                        <w14:solidFill>
                          <w14:schemeClr w14:val="tx1"/>
                        </w14:solidFill>
                      </w14:textFill>
                    </w:rPr>
                    <w:t>预测值</w:t>
                  </w:r>
                </w:p>
              </w:tc>
              <w:tc>
                <w:tcPr>
                  <w:tcW w:w="665" w:type="pct"/>
                  <w:vAlign w:val="center"/>
                </w:tcPr>
                <w:p w14:paraId="15F7A708">
                  <w:pPr>
                    <w:keepLines/>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执行标准</w:t>
                  </w:r>
                </w:p>
              </w:tc>
              <w:tc>
                <w:tcPr>
                  <w:tcW w:w="706" w:type="pct"/>
                  <w:vMerge w:val="restart"/>
                  <w:vAlign w:val="center"/>
                </w:tcPr>
                <w:p w14:paraId="34E3DCCB">
                  <w:pPr>
                    <w:keepLines/>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达标分析</w:t>
                  </w:r>
                </w:p>
              </w:tc>
            </w:tr>
            <w:tr w14:paraId="46B3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590" w:type="pct"/>
                  <w:gridSpan w:val="2"/>
                  <w:vMerge w:val="continue"/>
                  <w:vAlign w:val="center"/>
                </w:tcPr>
                <w:p w14:paraId="51B2C0FB">
                  <w:pPr>
                    <w:keepLines/>
                    <w:jc w:val="center"/>
                    <w:rPr>
                      <w:color w:val="000000" w:themeColor="text1"/>
                      <w14:textFill>
                        <w14:solidFill>
                          <w14:schemeClr w14:val="tx1"/>
                        </w14:solidFill>
                      </w14:textFill>
                    </w:rPr>
                  </w:pPr>
                </w:p>
              </w:tc>
              <w:tc>
                <w:tcPr>
                  <w:tcW w:w="708" w:type="pct"/>
                  <w:vMerge w:val="continue"/>
                  <w:vAlign w:val="center"/>
                </w:tcPr>
                <w:p w14:paraId="287F5163">
                  <w:pPr>
                    <w:keepLines/>
                    <w:jc w:val="center"/>
                    <w:rPr>
                      <w:color w:val="000000" w:themeColor="text1"/>
                      <w14:textFill>
                        <w14:solidFill>
                          <w14:schemeClr w14:val="tx1"/>
                        </w14:solidFill>
                      </w14:textFill>
                    </w:rPr>
                  </w:pPr>
                </w:p>
              </w:tc>
              <w:tc>
                <w:tcPr>
                  <w:tcW w:w="665" w:type="pct"/>
                  <w:vMerge w:val="continue"/>
                  <w:shd w:val="clear" w:color="auto" w:fill="auto"/>
                  <w:vAlign w:val="center"/>
                </w:tcPr>
                <w:p w14:paraId="5D25464E">
                  <w:pPr>
                    <w:keepLines/>
                    <w:jc w:val="center"/>
                    <w:rPr>
                      <w:color w:val="000000" w:themeColor="text1"/>
                      <w14:textFill>
                        <w14:solidFill>
                          <w14:schemeClr w14:val="tx1"/>
                        </w14:solidFill>
                      </w14:textFill>
                    </w:rPr>
                  </w:pPr>
                </w:p>
              </w:tc>
              <w:tc>
                <w:tcPr>
                  <w:tcW w:w="665" w:type="pct"/>
                  <w:vMerge w:val="continue"/>
                  <w:shd w:val="clear" w:color="auto" w:fill="auto"/>
                  <w:vAlign w:val="center"/>
                </w:tcPr>
                <w:p w14:paraId="662E9094">
                  <w:pPr>
                    <w:keepLines/>
                    <w:jc w:val="center"/>
                    <w:rPr>
                      <w:color w:val="000000" w:themeColor="text1"/>
                      <w14:textFill>
                        <w14:solidFill>
                          <w14:schemeClr w14:val="tx1"/>
                        </w14:solidFill>
                      </w14:textFill>
                    </w:rPr>
                  </w:pPr>
                </w:p>
              </w:tc>
              <w:tc>
                <w:tcPr>
                  <w:tcW w:w="665" w:type="pct"/>
                  <w:shd w:val="clear" w:color="auto" w:fill="auto"/>
                  <w:vAlign w:val="center"/>
                </w:tcPr>
                <w:p w14:paraId="3B5FB9A5">
                  <w:pPr>
                    <w:keepLines/>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昼间</w:t>
                  </w:r>
                </w:p>
              </w:tc>
              <w:tc>
                <w:tcPr>
                  <w:tcW w:w="706" w:type="pct"/>
                  <w:vMerge w:val="continue"/>
                  <w:vAlign w:val="center"/>
                </w:tcPr>
                <w:p w14:paraId="0A911CE7">
                  <w:pPr>
                    <w:keepLines/>
                    <w:jc w:val="center"/>
                    <w:rPr>
                      <w:rFonts w:hint="default" w:ascii="Times New Roman" w:hAnsi="Times New Roman" w:cs="Times New Roman"/>
                      <w:b/>
                      <w:bCs/>
                      <w:color w:val="000000" w:themeColor="text1"/>
                      <w:szCs w:val="21"/>
                      <w14:textFill>
                        <w14:solidFill>
                          <w14:schemeClr w14:val="tx1"/>
                        </w14:solidFill>
                      </w14:textFill>
                    </w:rPr>
                  </w:pPr>
                </w:p>
              </w:tc>
            </w:tr>
            <w:tr w14:paraId="0B424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pct"/>
                  <w:gridSpan w:val="2"/>
                  <w:vAlign w:val="center"/>
                </w:tcPr>
                <w:p w14:paraId="6513B099">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东侧边界</w:t>
                  </w:r>
                </w:p>
              </w:tc>
              <w:tc>
                <w:tcPr>
                  <w:tcW w:w="708" w:type="pct"/>
                  <w:vAlign w:val="center"/>
                </w:tcPr>
                <w:p w14:paraId="6B0436C3">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57.73</w:t>
                  </w:r>
                </w:p>
              </w:tc>
              <w:tc>
                <w:tcPr>
                  <w:tcW w:w="665" w:type="pct"/>
                  <w:vAlign w:val="center"/>
                </w:tcPr>
                <w:p w14:paraId="11994D83">
                  <w:pPr>
                    <w:keepLines/>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59.4</w:t>
                  </w:r>
                </w:p>
              </w:tc>
              <w:tc>
                <w:tcPr>
                  <w:tcW w:w="665" w:type="pct"/>
                  <w:vAlign w:val="center"/>
                </w:tcPr>
                <w:p w14:paraId="3958F828">
                  <w:pPr>
                    <w:keepLines/>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61.66</w:t>
                  </w:r>
                </w:p>
              </w:tc>
              <w:tc>
                <w:tcPr>
                  <w:tcW w:w="665" w:type="pct"/>
                  <w:vAlign w:val="center"/>
                </w:tcPr>
                <w:p w14:paraId="0838E9E2">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70</w:t>
                  </w:r>
                </w:p>
              </w:tc>
              <w:tc>
                <w:tcPr>
                  <w:tcW w:w="706" w:type="pct"/>
                  <w:vAlign w:val="center"/>
                </w:tcPr>
                <w:p w14:paraId="59D67617">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2DF6B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pct"/>
                  <w:gridSpan w:val="2"/>
                  <w:vAlign w:val="center"/>
                </w:tcPr>
                <w:p w14:paraId="09DFB386">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南侧边界</w:t>
                  </w:r>
                </w:p>
              </w:tc>
              <w:tc>
                <w:tcPr>
                  <w:tcW w:w="708" w:type="pct"/>
                  <w:vAlign w:val="center"/>
                </w:tcPr>
                <w:p w14:paraId="0FFD8196">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60.75</w:t>
                  </w:r>
                </w:p>
              </w:tc>
              <w:tc>
                <w:tcPr>
                  <w:tcW w:w="665" w:type="pct"/>
                  <w:vAlign w:val="center"/>
                </w:tcPr>
                <w:p w14:paraId="39B58B69">
                  <w:pPr>
                    <w:keepLines/>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56.5</w:t>
                  </w:r>
                </w:p>
              </w:tc>
              <w:tc>
                <w:tcPr>
                  <w:tcW w:w="665" w:type="pct"/>
                  <w:vAlign w:val="center"/>
                </w:tcPr>
                <w:p w14:paraId="12BF18D9">
                  <w:pPr>
                    <w:keepLines/>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62.14</w:t>
                  </w:r>
                </w:p>
              </w:tc>
              <w:tc>
                <w:tcPr>
                  <w:tcW w:w="665" w:type="pct"/>
                  <w:vAlign w:val="center"/>
                </w:tcPr>
                <w:p w14:paraId="3A6E6393">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w:t>
                  </w:r>
                </w:p>
              </w:tc>
              <w:tc>
                <w:tcPr>
                  <w:tcW w:w="706" w:type="pct"/>
                  <w:vAlign w:val="center"/>
                </w:tcPr>
                <w:p w14:paraId="1FC0E1C5">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08E31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pct"/>
                  <w:gridSpan w:val="2"/>
                  <w:vAlign w:val="center"/>
                </w:tcPr>
                <w:p w14:paraId="24612A94">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西侧边界</w:t>
                  </w:r>
                </w:p>
              </w:tc>
              <w:tc>
                <w:tcPr>
                  <w:tcW w:w="708" w:type="pct"/>
                  <w:vAlign w:val="center"/>
                </w:tcPr>
                <w:p w14:paraId="5692716F">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33.26</w:t>
                  </w:r>
                </w:p>
              </w:tc>
              <w:tc>
                <w:tcPr>
                  <w:tcW w:w="665" w:type="pct"/>
                  <w:vAlign w:val="center"/>
                </w:tcPr>
                <w:p w14:paraId="4B65A236">
                  <w:pPr>
                    <w:keepLines/>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57.1</w:t>
                  </w:r>
                </w:p>
              </w:tc>
              <w:tc>
                <w:tcPr>
                  <w:tcW w:w="665" w:type="pct"/>
                  <w:vAlign w:val="center"/>
                </w:tcPr>
                <w:p w14:paraId="32535788">
                  <w:pPr>
                    <w:keepLines/>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57.12</w:t>
                  </w:r>
                </w:p>
              </w:tc>
              <w:tc>
                <w:tcPr>
                  <w:tcW w:w="665" w:type="pct"/>
                  <w:vAlign w:val="center"/>
                </w:tcPr>
                <w:p w14:paraId="52932000">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w:t>
                  </w:r>
                </w:p>
              </w:tc>
              <w:tc>
                <w:tcPr>
                  <w:tcW w:w="706" w:type="pct"/>
                  <w:vAlign w:val="center"/>
                </w:tcPr>
                <w:p w14:paraId="1E4C9E11">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203B0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pct"/>
                  <w:gridSpan w:val="2"/>
                  <w:vAlign w:val="center"/>
                </w:tcPr>
                <w:p w14:paraId="73CB8EC8">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北侧边界</w:t>
                  </w:r>
                </w:p>
              </w:tc>
              <w:tc>
                <w:tcPr>
                  <w:tcW w:w="708" w:type="pct"/>
                  <w:vAlign w:val="center"/>
                </w:tcPr>
                <w:p w14:paraId="3023BD58">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51.24</w:t>
                  </w:r>
                </w:p>
              </w:tc>
              <w:tc>
                <w:tcPr>
                  <w:tcW w:w="665" w:type="pct"/>
                  <w:vAlign w:val="center"/>
                </w:tcPr>
                <w:p w14:paraId="47637AA6">
                  <w:pPr>
                    <w:keepLines/>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58.7</w:t>
                  </w:r>
                </w:p>
              </w:tc>
              <w:tc>
                <w:tcPr>
                  <w:tcW w:w="665" w:type="pct"/>
                  <w:vAlign w:val="center"/>
                </w:tcPr>
                <w:p w14:paraId="46D62672">
                  <w:pPr>
                    <w:keepLines/>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59.42</w:t>
                  </w:r>
                </w:p>
              </w:tc>
              <w:tc>
                <w:tcPr>
                  <w:tcW w:w="665" w:type="pct"/>
                  <w:vAlign w:val="center"/>
                </w:tcPr>
                <w:p w14:paraId="71134BCB">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w:t>
                  </w:r>
                </w:p>
              </w:tc>
              <w:tc>
                <w:tcPr>
                  <w:tcW w:w="706" w:type="pct"/>
                  <w:vAlign w:val="center"/>
                </w:tcPr>
                <w:p w14:paraId="3A66F5A9">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102D4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restart"/>
                  <w:vAlign w:val="center"/>
                </w:tcPr>
                <w:p w14:paraId="4CCAF25B">
                  <w:pPr>
                    <w:keepLines/>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周边敏感点</w:t>
                  </w:r>
                </w:p>
              </w:tc>
              <w:tc>
                <w:tcPr>
                  <w:tcW w:w="1106" w:type="pct"/>
                  <w:vAlign w:val="center"/>
                </w:tcPr>
                <w:p w14:paraId="3AB95793">
                  <w:pPr>
                    <w:keepLine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石花村居民点</w:t>
                  </w:r>
                  <w:r>
                    <w:rPr>
                      <w:rFonts w:hint="eastAsia" w:cs="Times New Roman"/>
                      <w:color w:val="000000" w:themeColor="text1"/>
                      <w:szCs w:val="21"/>
                      <w:lang w:val="en-US" w:eastAsia="zh-CN"/>
                      <w14:textFill>
                        <w14:solidFill>
                          <w14:schemeClr w14:val="tx1"/>
                        </w14:solidFill>
                      </w14:textFill>
                    </w:rPr>
                    <w:t>N1</w:t>
                  </w:r>
                </w:p>
              </w:tc>
              <w:tc>
                <w:tcPr>
                  <w:tcW w:w="708" w:type="pct"/>
                  <w:vAlign w:val="center"/>
                </w:tcPr>
                <w:p w14:paraId="51FA2E8D">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36.08</w:t>
                  </w:r>
                </w:p>
              </w:tc>
              <w:tc>
                <w:tcPr>
                  <w:tcW w:w="665" w:type="pct"/>
                  <w:vAlign w:val="center"/>
                </w:tcPr>
                <w:p w14:paraId="57347578">
                  <w:pPr>
                    <w:pageBreakBefore w:val="0"/>
                    <w:kinsoku/>
                    <w:overflowPunct/>
                    <w:topLinePunct w:val="0"/>
                    <w:bidi w:val="0"/>
                    <w:ind w:left="0" w:leftChars="0" w:right="0" w:rightChars="0"/>
                    <w:jc w:val="center"/>
                    <w:rPr>
                      <w:rFonts w:hint="eastAsia"/>
                      <w:color w:val="000000" w:themeColor="text1"/>
                      <w14:textFill>
                        <w14:solidFill>
                          <w14:schemeClr w14:val="tx1"/>
                        </w14:solidFill>
                      </w14:textFill>
                    </w:rPr>
                  </w:pPr>
                  <w:r>
                    <w:rPr>
                      <w:rFonts w:hint="eastAsia"/>
                      <w:color w:val="000000" w:themeColor="text1"/>
                      <w:szCs w:val="21"/>
                      <w:lang w:val="en-US" w:eastAsia="zh-CN"/>
                      <w14:textFill>
                        <w14:solidFill>
                          <w14:schemeClr w14:val="tx1"/>
                        </w14:solidFill>
                      </w14:textFill>
                    </w:rPr>
                    <w:t>56.6</w:t>
                  </w:r>
                </w:p>
              </w:tc>
              <w:tc>
                <w:tcPr>
                  <w:tcW w:w="665" w:type="pct"/>
                  <w:vAlign w:val="center"/>
                </w:tcPr>
                <w:p w14:paraId="16AAD1FC">
                  <w:pPr>
                    <w:keepLines/>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56.64</w:t>
                  </w:r>
                </w:p>
              </w:tc>
              <w:tc>
                <w:tcPr>
                  <w:tcW w:w="665" w:type="pct"/>
                  <w:vAlign w:val="center"/>
                </w:tcPr>
                <w:p w14:paraId="376ECEB5">
                  <w:pPr>
                    <w:keepLine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70</w:t>
                  </w:r>
                </w:p>
              </w:tc>
              <w:tc>
                <w:tcPr>
                  <w:tcW w:w="706" w:type="pct"/>
                  <w:vAlign w:val="center"/>
                </w:tcPr>
                <w:p w14:paraId="2FC49C64">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0598F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06ADCDD8">
                  <w:pPr>
                    <w:keepLines/>
                    <w:jc w:val="center"/>
                    <w:rPr>
                      <w:rFonts w:hint="eastAsia" w:ascii="Times New Roman" w:hAnsi="Times New Roman" w:cs="Times New Roman"/>
                      <w:color w:val="000000" w:themeColor="text1"/>
                      <w:szCs w:val="21"/>
                      <w:lang w:eastAsia="zh-CN"/>
                      <w14:textFill>
                        <w14:solidFill>
                          <w14:schemeClr w14:val="tx1"/>
                        </w14:solidFill>
                      </w14:textFill>
                    </w:rPr>
                  </w:pPr>
                </w:p>
              </w:tc>
              <w:tc>
                <w:tcPr>
                  <w:tcW w:w="1106" w:type="pct"/>
                  <w:vAlign w:val="center"/>
                </w:tcPr>
                <w:p w14:paraId="59B70C16">
                  <w:pPr>
                    <w:keepLine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石花村居民点</w:t>
                  </w:r>
                  <w:r>
                    <w:rPr>
                      <w:rFonts w:hint="eastAsia" w:cs="Times New Roman"/>
                      <w:color w:val="000000" w:themeColor="text1"/>
                      <w:szCs w:val="21"/>
                      <w:lang w:val="en-US" w:eastAsia="zh-CN"/>
                      <w14:textFill>
                        <w14:solidFill>
                          <w14:schemeClr w14:val="tx1"/>
                        </w14:solidFill>
                      </w14:textFill>
                    </w:rPr>
                    <w:t>N2</w:t>
                  </w:r>
                </w:p>
              </w:tc>
              <w:tc>
                <w:tcPr>
                  <w:tcW w:w="708" w:type="pct"/>
                  <w:vAlign w:val="center"/>
                </w:tcPr>
                <w:p w14:paraId="4FF7FEF4">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34.76</w:t>
                  </w:r>
                </w:p>
              </w:tc>
              <w:tc>
                <w:tcPr>
                  <w:tcW w:w="665" w:type="pct"/>
                  <w:vAlign w:val="center"/>
                </w:tcPr>
                <w:p w14:paraId="268981AE">
                  <w:pPr>
                    <w:pageBreakBefore w:val="0"/>
                    <w:kinsoku/>
                    <w:overflowPunct/>
                    <w:topLinePunct w:val="0"/>
                    <w:bidi w:val="0"/>
                    <w:ind w:left="0" w:leftChars="0" w:right="0" w:rightChars="0"/>
                    <w:jc w:val="center"/>
                    <w:rPr>
                      <w:rFonts w:hint="eastAsia"/>
                      <w:color w:val="000000" w:themeColor="text1"/>
                      <w14:textFill>
                        <w14:solidFill>
                          <w14:schemeClr w14:val="tx1"/>
                        </w14:solidFill>
                      </w14:textFill>
                    </w:rPr>
                  </w:pPr>
                  <w:r>
                    <w:rPr>
                      <w:rFonts w:hint="eastAsia"/>
                      <w:color w:val="000000" w:themeColor="text1"/>
                      <w:szCs w:val="21"/>
                      <w:lang w:val="en-US" w:eastAsia="zh-CN"/>
                      <w14:textFill>
                        <w14:solidFill>
                          <w14:schemeClr w14:val="tx1"/>
                        </w14:solidFill>
                      </w14:textFill>
                    </w:rPr>
                    <w:t>55.7</w:t>
                  </w:r>
                </w:p>
              </w:tc>
              <w:tc>
                <w:tcPr>
                  <w:tcW w:w="665" w:type="pct"/>
                  <w:vAlign w:val="center"/>
                </w:tcPr>
                <w:p w14:paraId="6748925F">
                  <w:pPr>
                    <w:keepLines/>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55.73</w:t>
                  </w:r>
                </w:p>
              </w:tc>
              <w:tc>
                <w:tcPr>
                  <w:tcW w:w="665" w:type="pct"/>
                  <w:vAlign w:val="center"/>
                </w:tcPr>
                <w:p w14:paraId="04CA81D3">
                  <w:pPr>
                    <w:keepLine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70</w:t>
                  </w:r>
                </w:p>
              </w:tc>
              <w:tc>
                <w:tcPr>
                  <w:tcW w:w="706" w:type="pct"/>
                  <w:vAlign w:val="center"/>
                </w:tcPr>
                <w:p w14:paraId="0EFC9089">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529B0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3" w:type="pct"/>
                  <w:vMerge w:val="continue"/>
                  <w:vAlign w:val="center"/>
                </w:tcPr>
                <w:p w14:paraId="089FAC2A">
                  <w:pPr>
                    <w:keepLines/>
                    <w:jc w:val="center"/>
                    <w:rPr>
                      <w:rFonts w:hint="eastAsia" w:ascii="Times New Roman" w:hAnsi="Times New Roman" w:cs="Times New Roman"/>
                      <w:color w:val="000000" w:themeColor="text1"/>
                      <w:szCs w:val="21"/>
                      <w:lang w:eastAsia="zh-CN"/>
                      <w14:textFill>
                        <w14:solidFill>
                          <w14:schemeClr w14:val="tx1"/>
                        </w14:solidFill>
                      </w14:textFill>
                    </w:rPr>
                  </w:pPr>
                </w:p>
              </w:tc>
              <w:tc>
                <w:tcPr>
                  <w:tcW w:w="1106" w:type="pct"/>
                  <w:vAlign w:val="center"/>
                </w:tcPr>
                <w:p w14:paraId="0504B16A">
                  <w:pPr>
                    <w:keepLine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石花村居民点</w:t>
                  </w:r>
                  <w:r>
                    <w:rPr>
                      <w:rFonts w:hint="eastAsia" w:cs="Times New Roman"/>
                      <w:color w:val="000000" w:themeColor="text1"/>
                      <w:szCs w:val="21"/>
                      <w:lang w:val="en-US" w:eastAsia="zh-CN"/>
                      <w14:textFill>
                        <w14:solidFill>
                          <w14:schemeClr w14:val="tx1"/>
                        </w14:solidFill>
                      </w14:textFill>
                    </w:rPr>
                    <w:t>N3</w:t>
                  </w:r>
                </w:p>
              </w:tc>
              <w:tc>
                <w:tcPr>
                  <w:tcW w:w="708" w:type="pct"/>
                  <w:vAlign w:val="center"/>
                </w:tcPr>
                <w:p w14:paraId="00A288CC">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36.2</w:t>
                  </w:r>
                </w:p>
              </w:tc>
              <w:tc>
                <w:tcPr>
                  <w:tcW w:w="665" w:type="pct"/>
                  <w:vAlign w:val="center"/>
                </w:tcPr>
                <w:p w14:paraId="17C59384">
                  <w:pPr>
                    <w:pageBreakBefore w:val="0"/>
                    <w:kinsoku/>
                    <w:overflowPunct/>
                    <w:topLinePunct w:val="0"/>
                    <w:bidi w:val="0"/>
                    <w:ind w:left="0" w:leftChars="0" w:right="0" w:rightChars="0"/>
                    <w:jc w:val="center"/>
                    <w:rPr>
                      <w:rFonts w:hint="eastAsia"/>
                      <w:color w:val="000000" w:themeColor="text1"/>
                      <w14:textFill>
                        <w14:solidFill>
                          <w14:schemeClr w14:val="tx1"/>
                        </w14:solidFill>
                      </w14:textFill>
                    </w:rPr>
                  </w:pPr>
                  <w:r>
                    <w:rPr>
                      <w:rFonts w:hint="eastAsia"/>
                      <w:color w:val="000000" w:themeColor="text1"/>
                      <w:szCs w:val="21"/>
                      <w:lang w:val="en-US" w:eastAsia="zh-CN"/>
                      <w14:textFill>
                        <w14:solidFill>
                          <w14:schemeClr w14:val="tx1"/>
                        </w14:solidFill>
                      </w14:textFill>
                    </w:rPr>
                    <w:t>57.0</w:t>
                  </w:r>
                </w:p>
              </w:tc>
              <w:tc>
                <w:tcPr>
                  <w:tcW w:w="665" w:type="pct"/>
                  <w:vAlign w:val="center"/>
                </w:tcPr>
                <w:p w14:paraId="42580E2B">
                  <w:pPr>
                    <w:keepLines/>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57.04</w:t>
                  </w:r>
                </w:p>
              </w:tc>
              <w:tc>
                <w:tcPr>
                  <w:tcW w:w="665" w:type="pct"/>
                  <w:vAlign w:val="center"/>
                </w:tcPr>
                <w:p w14:paraId="5B4F10AE">
                  <w:pPr>
                    <w:keepLines/>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70</w:t>
                  </w:r>
                </w:p>
              </w:tc>
              <w:tc>
                <w:tcPr>
                  <w:tcW w:w="706" w:type="pct"/>
                  <w:vAlign w:val="center"/>
                </w:tcPr>
                <w:p w14:paraId="25DA7CCE">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bl>
          <w:p w14:paraId="32AFF3DE">
            <w:pPr>
              <w:keepLines/>
              <w:spacing w:line="360" w:lineRule="auto"/>
              <w:ind w:firstLine="480" w:firstLineChars="200"/>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预测结果趋势图中，</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y轴坐标为分贝值dB（A），x轴坐标为拐点。</w:t>
            </w:r>
            <w:r>
              <w:rPr>
                <w:rFonts w:hint="default" w:ascii="Times New Roman" w:hAnsi="Times New Roman" w:cs="Times New Roman"/>
                <w:b w:val="0"/>
                <w:bCs w:val="0"/>
                <w:color w:val="000000" w:themeColor="text1"/>
                <w:sz w:val="24"/>
                <w:szCs w:val="24"/>
                <w14:textFill>
                  <w14:solidFill>
                    <w14:schemeClr w14:val="tx1"/>
                  </w14:solidFill>
                </w14:textFill>
              </w:rPr>
              <w:t>预测结果趋势图</w:t>
            </w:r>
            <w:r>
              <w:rPr>
                <w:rFonts w:hint="eastAsia" w:ascii="Times New Roman" w:hAnsi="Times New Roman" w:cs="Times New Roman"/>
                <w:b w:val="0"/>
                <w:bCs w:val="0"/>
                <w:color w:val="000000" w:themeColor="text1"/>
                <w:sz w:val="24"/>
                <w:szCs w:val="24"/>
                <w:lang w:eastAsia="zh-CN"/>
                <w14:textFill>
                  <w14:solidFill>
                    <w14:schemeClr w14:val="tx1"/>
                  </w14:solidFill>
                </w14:textFill>
              </w:rPr>
              <w:t>如下：</w:t>
            </w:r>
          </w:p>
          <w:p w14:paraId="7CA87E92">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3987165" cy="3900170"/>
                  <wp:effectExtent l="12700" t="12700" r="19685" b="3048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43"/>
                          <a:stretch>
                            <a:fillRect/>
                          </a:stretch>
                        </pic:blipFill>
                        <pic:spPr>
                          <a:xfrm>
                            <a:off x="0" y="0"/>
                            <a:ext cx="3987165" cy="3900170"/>
                          </a:xfrm>
                          <a:prstGeom prst="rect">
                            <a:avLst/>
                          </a:prstGeom>
                          <a:noFill/>
                          <a:ln w="12700">
                            <a:solidFill>
                              <a:schemeClr val="tx1"/>
                            </a:solidFill>
                          </a:ln>
                        </pic:spPr>
                      </pic:pic>
                    </a:graphicData>
                  </a:graphic>
                </wp:inline>
              </w:drawing>
            </w:r>
          </w:p>
          <w:p w14:paraId="5BD5C2B9">
            <w:pPr>
              <w:pStyle w:val="31"/>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图4-</w:t>
            </w:r>
            <w:r>
              <w:rPr>
                <w:rFonts w:hint="eastAsia" w:cs="Times New Roman"/>
                <w:b/>
                <w:bCs/>
                <w:color w:val="000000" w:themeColor="text1"/>
                <w:sz w:val="21"/>
                <w:szCs w:val="21"/>
                <w:lang w:val="en-US" w:eastAsia="zh-CN"/>
                <w14:textFill>
                  <w14:solidFill>
                    <w14:schemeClr w14:val="tx1"/>
                  </w14:solidFill>
                </w14:textFill>
              </w:rPr>
              <w:t>2新增设备</w:t>
            </w:r>
            <w:r>
              <w:rPr>
                <w:rFonts w:hint="default" w:ascii="Times New Roman" w:hAnsi="Times New Roman" w:cs="Times New Roman"/>
                <w:b/>
                <w:bCs/>
                <w:color w:val="000000" w:themeColor="text1"/>
                <w:sz w:val="21"/>
                <w:szCs w:val="21"/>
                <w14:textFill>
                  <w14:solidFill>
                    <w14:schemeClr w14:val="tx1"/>
                  </w14:solidFill>
                </w14:textFill>
              </w:rPr>
              <w:t>噪声</w:t>
            </w:r>
            <w:r>
              <w:rPr>
                <w:rFonts w:hint="eastAsia" w:cs="Times New Roman"/>
                <w:b/>
                <w:bCs/>
                <w:color w:val="000000" w:themeColor="text1"/>
                <w:sz w:val="21"/>
                <w:szCs w:val="21"/>
                <w:lang w:eastAsia="zh-CN"/>
                <w14:textFill>
                  <w14:solidFill>
                    <w14:schemeClr w14:val="tx1"/>
                  </w14:solidFill>
                </w14:textFill>
              </w:rPr>
              <w:t>贡献值</w:t>
            </w:r>
            <w:r>
              <w:rPr>
                <w:rFonts w:hint="default" w:ascii="Times New Roman" w:hAnsi="Times New Roman" w:cs="Times New Roman"/>
                <w:b/>
                <w:bCs/>
                <w:color w:val="000000" w:themeColor="text1"/>
                <w:sz w:val="21"/>
                <w:szCs w:val="21"/>
                <w14:textFill>
                  <w14:solidFill>
                    <w14:schemeClr w14:val="tx1"/>
                  </w14:solidFill>
                </w14:textFill>
              </w:rPr>
              <w:t>预测图</w:t>
            </w: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设备序号同表4-</w:t>
            </w:r>
            <w:r>
              <w:rPr>
                <w:rFonts w:hint="eastAsia" w:cs="Times New Roman"/>
                <w:b/>
                <w:bCs/>
                <w:color w:val="000000" w:themeColor="text1"/>
                <w:sz w:val="21"/>
                <w:szCs w:val="21"/>
                <w:lang w:val="en-US" w:eastAsia="zh-CN"/>
                <w14:textFill>
                  <w14:solidFill>
                    <w14:schemeClr w14:val="tx1"/>
                  </w14:solidFill>
                </w14:textFill>
              </w:rPr>
              <w:t>17、4-18</w:t>
            </w:r>
            <w:r>
              <w:rPr>
                <w:rFonts w:hint="default" w:ascii="Times New Roman" w:hAnsi="Times New Roman" w:cs="Times New Roman"/>
                <w:b/>
                <w:bCs/>
                <w:color w:val="000000" w:themeColor="text1"/>
                <w:sz w:val="21"/>
                <w:szCs w:val="21"/>
                <w:lang w:val="en-US" w:eastAsia="zh-CN"/>
                <w14:textFill>
                  <w14:solidFill>
                    <w14:schemeClr w14:val="tx1"/>
                  </w14:solidFill>
                </w14:textFill>
              </w:rPr>
              <w:t>一致</w:t>
            </w:r>
            <w:r>
              <w:rPr>
                <w:rFonts w:hint="default" w:ascii="Times New Roman" w:hAnsi="Times New Roman" w:cs="Times New Roman"/>
                <w:b/>
                <w:bCs/>
                <w:color w:val="000000" w:themeColor="text1"/>
                <w:sz w:val="21"/>
                <w:szCs w:val="21"/>
                <w14:textFill>
                  <w14:solidFill>
                    <w14:schemeClr w14:val="tx1"/>
                  </w14:solidFill>
                </w14:textFill>
              </w:rPr>
              <w:t xml:space="preserve"> </w:t>
            </w:r>
          </w:p>
          <w:p w14:paraId="111B3F1F">
            <w:pPr>
              <w:keepNext w:val="0"/>
              <w:keepLines w:val="0"/>
              <w:pageBreakBefore w:val="0"/>
              <w:widowControl w:val="0"/>
              <w:kinsoku/>
              <w:wordWrap w:val="0"/>
              <w:overflowPunct/>
              <w:topLinePunct/>
              <w:autoSpaceDE/>
              <w:autoSpaceDN/>
              <w:bidi w:val="0"/>
              <w:adjustRightInd/>
              <w:spacing w:line="36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14:paraId="08E79891">
            <w:pPr>
              <w:keepNext w:val="0"/>
              <w:keepLines w:val="0"/>
              <w:pageBreakBefore w:val="0"/>
              <w:widowControl w:val="0"/>
              <w:kinsoku/>
              <w:wordWrap w:val="0"/>
              <w:overflowPunct/>
              <w:topLinePunct/>
              <w:autoSpaceDE/>
              <w:autoSpaceDN/>
              <w:bidi w:val="0"/>
              <w:adjustRightInd/>
              <w:spacing w:line="360" w:lineRule="auto"/>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4166235" cy="868045"/>
                  <wp:effectExtent l="0" t="0" r="5715"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4"/>
                          <a:stretch>
                            <a:fillRect/>
                          </a:stretch>
                        </pic:blipFill>
                        <pic:spPr>
                          <a:xfrm>
                            <a:off x="0" y="0"/>
                            <a:ext cx="4166235" cy="868045"/>
                          </a:xfrm>
                          <a:prstGeom prst="rect">
                            <a:avLst/>
                          </a:prstGeom>
                          <a:noFill/>
                          <a:ln>
                            <a:noFill/>
                          </a:ln>
                        </pic:spPr>
                      </pic:pic>
                    </a:graphicData>
                  </a:graphic>
                </wp:inline>
              </w:drawing>
            </w:r>
          </w:p>
          <w:p w14:paraId="1146A84E">
            <w:pPr>
              <w:pStyle w:val="31"/>
              <w:snapToGrid/>
              <w:spacing w:before="0" w:after="0" w:line="240" w:lineRule="auto"/>
              <w:ind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图4-</w:t>
            </w:r>
            <w:r>
              <w:rPr>
                <w:rFonts w:hint="eastAsia" w:cs="Times New Roman"/>
                <w:b/>
                <w:bCs/>
                <w:color w:val="000000" w:themeColor="text1"/>
                <w:sz w:val="21"/>
                <w:szCs w:val="21"/>
                <w:lang w:val="en-US" w:eastAsia="zh-CN"/>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厂界东侧</w:t>
            </w:r>
            <w:r>
              <w:rPr>
                <w:rFonts w:hint="eastAsia" w:cs="Times New Roman"/>
                <w:b/>
                <w:bCs/>
                <w:color w:val="000000" w:themeColor="text1"/>
                <w:sz w:val="21"/>
                <w:szCs w:val="21"/>
                <w:lang w:eastAsia="zh-CN"/>
                <w14:textFill>
                  <w14:solidFill>
                    <w14:schemeClr w14:val="tx1"/>
                  </w14:solidFill>
                </w14:textFill>
              </w:rPr>
              <w:t>贡献值</w:t>
            </w:r>
            <w:r>
              <w:rPr>
                <w:rFonts w:hint="default" w:ascii="Times New Roman" w:hAnsi="Times New Roman" w:cs="Times New Roman"/>
                <w:b/>
                <w:bCs/>
                <w:color w:val="000000" w:themeColor="text1"/>
                <w:sz w:val="21"/>
                <w:szCs w:val="21"/>
                <w14:textFill>
                  <w14:solidFill>
                    <w14:schemeClr w14:val="tx1"/>
                  </w14:solidFill>
                </w14:textFill>
              </w:rPr>
              <w:t>结果趋势图</w:t>
            </w:r>
          </w:p>
          <w:p w14:paraId="79EAC226">
            <w:pPr>
              <w:pStyle w:val="31"/>
              <w:snapToGrid/>
              <w:spacing w:before="0" w:after="0" w:line="240" w:lineRule="auto"/>
              <w:ind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4287520" cy="898525"/>
                  <wp:effectExtent l="0" t="0" r="17780" b="1587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45"/>
                          <a:stretch>
                            <a:fillRect/>
                          </a:stretch>
                        </pic:blipFill>
                        <pic:spPr>
                          <a:xfrm>
                            <a:off x="0" y="0"/>
                            <a:ext cx="4287520" cy="898525"/>
                          </a:xfrm>
                          <a:prstGeom prst="rect">
                            <a:avLst/>
                          </a:prstGeom>
                          <a:noFill/>
                          <a:ln>
                            <a:noFill/>
                          </a:ln>
                        </pic:spPr>
                      </pic:pic>
                    </a:graphicData>
                  </a:graphic>
                </wp:inline>
              </w:drawing>
            </w:r>
          </w:p>
          <w:p w14:paraId="55FB7603">
            <w:pPr>
              <w:pStyle w:val="31"/>
              <w:snapToGrid/>
              <w:spacing w:before="0" w:after="0" w:line="240" w:lineRule="auto"/>
              <w:ind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图4-</w:t>
            </w:r>
            <w:r>
              <w:rPr>
                <w:rFonts w:hint="eastAsia" w:cs="Times New Roman"/>
                <w:b/>
                <w:bCs/>
                <w:color w:val="000000" w:themeColor="text1"/>
                <w:sz w:val="21"/>
                <w:szCs w:val="21"/>
                <w:lang w:val="en-US" w:eastAsia="zh-CN"/>
                <w14:textFill>
                  <w14:solidFill>
                    <w14:schemeClr w14:val="tx1"/>
                  </w14:solidFill>
                </w14:textFill>
              </w:rPr>
              <w:t>4</w:t>
            </w:r>
            <w:r>
              <w:rPr>
                <w:rFonts w:hint="default" w:ascii="Times New Roman" w:hAnsi="Times New Roman" w:cs="Times New Roman"/>
                <w:b/>
                <w:bCs/>
                <w:color w:val="000000" w:themeColor="text1"/>
                <w:sz w:val="21"/>
                <w:szCs w:val="21"/>
                <w14:textFill>
                  <w14:solidFill>
                    <w14:schemeClr w14:val="tx1"/>
                  </w14:solidFill>
                </w14:textFill>
              </w:rPr>
              <w:t>厂界北侧</w:t>
            </w:r>
            <w:r>
              <w:rPr>
                <w:rFonts w:hint="eastAsia" w:cs="Times New Roman"/>
                <w:b/>
                <w:bCs/>
                <w:color w:val="000000" w:themeColor="text1"/>
                <w:sz w:val="21"/>
                <w:szCs w:val="21"/>
                <w:lang w:eastAsia="zh-CN"/>
                <w14:textFill>
                  <w14:solidFill>
                    <w14:schemeClr w14:val="tx1"/>
                  </w14:solidFill>
                </w14:textFill>
              </w:rPr>
              <w:t>贡献值</w:t>
            </w:r>
            <w:r>
              <w:rPr>
                <w:rFonts w:hint="default" w:ascii="Times New Roman" w:hAnsi="Times New Roman" w:cs="Times New Roman"/>
                <w:b/>
                <w:bCs/>
                <w:color w:val="000000" w:themeColor="text1"/>
                <w:sz w:val="21"/>
                <w:szCs w:val="21"/>
                <w14:textFill>
                  <w14:solidFill>
                    <w14:schemeClr w14:val="tx1"/>
                  </w14:solidFill>
                </w14:textFill>
              </w:rPr>
              <w:t>结果趋势图</w:t>
            </w:r>
          </w:p>
          <w:p w14:paraId="1373CC42">
            <w:pPr>
              <w:pStyle w:val="31"/>
              <w:snapToGrid/>
              <w:spacing w:before="0" w:after="0" w:line="240" w:lineRule="auto"/>
              <w:ind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4433570" cy="904875"/>
                  <wp:effectExtent l="0" t="0" r="5080" b="952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46"/>
                          <a:stretch>
                            <a:fillRect/>
                          </a:stretch>
                        </pic:blipFill>
                        <pic:spPr>
                          <a:xfrm>
                            <a:off x="0" y="0"/>
                            <a:ext cx="4433570" cy="904875"/>
                          </a:xfrm>
                          <a:prstGeom prst="rect">
                            <a:avLst/>
                          </a:prstGeom>
                          <a:noFill/>
                          <a:ln>
                            <a:noFill/>
                          </a:ln>
                        </pic:spPr>
                      </pic:pic>
                    </a:graphicData>
                  </a:graphic>
                </wp:inline>
              </w:drawing>
            </w:r>
          </w:p>
          <w:p w14:paraId="3C399E7B">
            <w:pPr>
              <w:pStyle w:val="31"/>
              <w:snapToGrid/>
              <w:spacing w:before="0" w:after="0" w:line="240" w:lineRule="auto"/>
              <w:ind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图4-</w:t>
            </w:r>
            <w:r>
              <w:rPr>
                <w:rFonts w:hint="eastAsia" w:cs="Times New Roman"/>
                <w:b/>
                <w:bCs/>
                <w:color w:val="000000" w:themeColor="text1"/>
                <w:sz w:val="21"/>
                <w:szCs w:val="21"/>
                <w:lang w:val="en-US" w:eastAsia="zh-CN"/>
                <w14:textFill>
                  <w14:solidFill>
                    <w14:schemeClr w14:val="tx1"/>
                  </w14:solidFill>
                </w14:textFill>
              </w:rPr>
              <w:t>5</w:t>
            </w:r>
            <w:r>
              <w:rPr>
                <w:rFonts w:hint="default" w:ascii="Times New Roman" w:hAnsi="Times New Roman" w:cs="Times New Roman"/>
                <w:b/>
                <w:bCs/>
                <w:color w:val="000000" w:themeColor="text1"/>
                <w:sz w:val="21"/>
                <w:szCs w:val="21"/>
                <w14:textFill>
                  <w14:solidFill>
                    <w14:schemeClr w14:val="tx1"/>
                  </w14:solidFill>
                </w14:textFill>
              </w:rPr>
              <w:t>厂界南侧</w:t>
            </w:r>
            <w:r>
              <w:rPr>
                <w:rFonts w:hint="eastAsia" w:cs="Times New Roman"/>
                <w:b/>
                <w:bCs/>
                <w:color w:val="000000" w:themeColor="text1"/>
                <w:sz w:val="21"/>
                <w:szCs w:val="21"/>
                <w:lang w:eastAsia="zh-CN"/>
                <w14:textFill>
                  <w14:solidFill>
                    <w14:schemeClr w14:val="tx1"/>
                  </w14:solidFill>
                </w14:textFill>
              </w:rPr>
              <w:t>贡献值</w:t>
            </w:r>
            <w:r>
              <w:rPr>
                <w:rFonts w:hint="default" w:ascii="Times New Roman" w:hAnsi="Times New Roman" w:cs="Times New Roman"/>
                <w:b/>
                <w:bCs/>
                <w:color w:val="000000" w:themeColor="text1"/>
                <w:sz w:val="21"/>
                <w:szCs w:val="21"/>
                <w14:textFill>
                  <w14:solidFill>
                    <w14:schemeClr w14:val="tx1"/>
                  </w14:solidFill>
                </w14:textFill>
              </w:rPr>
              <w:t>结果趋势图</w:t>
            </w:r>
          </w:p>
          <w:p w14:paraId="21D23665">
            <w:pPr>
              <w:pStyle w:val="31"/>
              <w:snapToGrid/>
              <w:spacing w:before="0" w:after="0" w:line="240" w:lineRule="auto"/>
              <w:ind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4489450" cy="901065"/>
                  <wp:effectExtent l="0" t="0" r="6350" b="1333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47"/>
                          <a:stretch>
                            <a:fillRect/>
                          </a:stretch>
                        </pic:blipFill>
                        <pic:spPr>
                          <a:xfrm>
                            <a:off x="0" y="0"/>
                            <a:ext cx="4489450" cy="901065"/>
                          </a:xfrm>
                          <a:prstGeom prst="rect">
                            <a:avLst/>
                          </a:prstGeom>
                          <a:noFill/>
                          <a:ln>
                            <a:noFill/>
                          </a:ln>
                        </pic:spPr>
                      </pic:pic>
                    </a:graphicData>
                  </a:graphic>
                </wp:inline>
              </w:drawing>
            </w:r>
          </w:p>
          <w:p w14:paraId="48EB4B3D">
            <w:pPr>
              <w:pStyle w:val="31"/>
              <w:snapToGrid/>
              <w:spacing w:before="0" w:after="0" w:line="240" w:lineRule="auto"/>
              <w:ind w:right="0" w:firstLine="0" w:firstLineChars="0"/>
              <w:jc w:val="center"/>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图4-</w:t>
            </w:r>
            <w:r>
              <w:rPr>
                <w:rFonts w:hint="eastAsia" w:cs="Times New Roman"/>
                <w:b/>
                <w:bCs/>
                <w:color w:val="000000" w:themeColor="text1"/>
                <w:sz w:val="21"/>
                <w:szCs w:val="21"/>
                <w:lang w:val="en-US" w:eastAsia="zh-CN"/>
                <w14:textFill>
                  <w14:solidFill>
                    <w14:schemeClr w14:val="tx1"/>
                  </w14:solidFill>
                </w14:textFill>
              </w:rPr>
              <w:t>6</w:t>
            </w:r>
            <w:r>
              <w:rPr>
                <w:rFonts w:hint="default" w:ascii="Times New Roman" w:hAnsi="Times New Roman" w:cs="Times New Roman"/>
                <w:b/>
                <w:bCs/>
                <w:color w:val="000000" w:themeColor="text1"/>
                <w:sz w:val="21"/>
                <w:szCs w:val="21"/>
                <w14:textFill>
                  <w14:solidFill>
                    <w14:schemeClr w14:val="tx1"/>
                  </w14:solidFill>
                </w14:textFill>
              </w:rPr>
              <w:t>厂界西侧</w:t>
            </w:r>
            <w:r>
              <w:rPr>
                <w:rFonts w:hint="eastAsia" w:cs="Times New Roman"/>
                <w:b/>
                <w:bCs/>
                <w:color w:val="000000" w:themeColor="text1"/>
                <w:sz w:val="21"/>
                <w:szCs w:val="21"/>
                <w:lang w:eastAsia="zh-CN"/>
                <w14:textFill>
                  <w14:solidFill>
                    <w14:schemeClr w14:val="tx1"/>
                  </w14:solidFill>
                </w14:textFill>
              </w:rPr>
              <w:t>贡献值</w:t>
            </w:r>
            <w:r>
              <w:rPr>
                <w:rFonts w:hint="default" w:ascii="Times New Roman" w:hAnsi="Times New Roman" w:cs="Times New Roman"/>
                <w:b/>
                <w:bCs/>
                <w:color w:val="000000" w:themeColor="text1"/>
                <w:sz w:val="21"/>
                <w:szCs w:val="21"/>
                <w14:textFill>
                  <w14:solidFill>
                    <w14:schemeClr w14:val="tx1"/>
                  </w14:solidFill>
                </w14:textFill>
              </w:rPr>
              <w:t>结果趋势图</w:t>
            </w:r>
            <w:r>
              <w:rPr>
                <w:rFonts w:hint="eastAsia" w:cs="Times New Roman"/>
                <w:b/>
                <w:bCs/>
                <w:color w:val="000000" w:themeColor="text1"/>
                <w:sz w:val="21"/>
                <w:szCs w:val="21"/>
                <w:lang w:val="en-US" w:eastAsia="zh-CN"/>
                <w14:textFill>
                  <w14:solidFill>
                    <w14:schemeClr w14:val="tx1"/>
                  </w14:solidFill>
                </w14:textFill>
              </w:rPr>
              <w:t xml:space="preserve">  </w:t>
            </w:r>
          </w:p>
          <w:p w14:paraId="4EA8F977">
            <w:pPr>
              <w:keepLines/>
              <w:autoSpaceDE w:val="0"/>
              <w:autoSpaceDN w:val="0"/>
              <w:spacing w:line="360" w:lineRule="auto"/>
              <w:ind w:firstLine="480" w:firstLineChars="200"/>
              <w:rPr>
                <w:rFonts w:hint="default" w:ascii="Times New Roman" w:hAnsi="Times New Roman" w:eastAsia="宋体" w:cs="Times New Roman"/>
                <w:color w:val="000000" w:themeColor="text1"/>
                <w:sz w:val="24"/>
                <w:szCs w:val="22"/>
                <w:lang w:eastAsia="zh-CN"/>
                <w14:textFill>
                  <w14:solidFill>
                    <w14:schemeClr w14:val="tx1"/>
                  </w14:solidFill>
                </w14:textFill>
              </w:rPr>
            </w:pPr>
            <w:r>
              <w:rPr>
                <w:rFonts w:hint="default" w:ascii="Times New Roman" w:hAnsi="Times New Roman" w:cs="Times New Roman"/>
                <w:color w:val="000000" w:themeColor="text1"/>
                <w:sz w:val="24"/>
                <w:szCs w:val="22"/>
                <w14:textFill>
                  <w14:solidFill>
                    <w14:schemeClr w14:val="tx1"/>
                  </w14:solidFill>
                </w14:textFill>
              </w:rPr>
              <w:t>根据上表可知，本项目在</w:t>
            </w:r>
            <w:r>
              <w:rPr>
                <w:rFonts w:hint="eastAsia" w:cs="Times New Roman"/>
                <w:color w:val="000000" w:themeColor="text1"/>
                <w:sz w:val="24"/>
                <w:szCs w:val="22"/>
                <w:lang w:eastAsia="zh-CN"/>
                <w14:textFill>
                  <w14:solidFill>
                    <w14:schemeClr w14:val="tx1"/>
                  </w14:solidFill>
                </w14:textFill>
              </w:rPr>
              <w:t>西侧、南侧、北侧</w:t>
            </w:r>
            <w:r>
              <w:rPr>
                <w:rFonts w:hint="default" w:ascii="Times New Roman" w:hAnsi="Times New Roman" w:cs="Times New Roman"/>
                <w:color w:val="000000" w:themeColor="text1"/>
                <w:sz w:val="24"/>
                <w:szCs w:val="22"/>
                <w14:textFill>
                  <w14:solidFill>
                    <w14:schemeClr w14:val="tx1"/>
                  </w14:solidFill>
                </w14:textFill>
              </w:rPr>
              <w:t>厂界均能达到《工业企业厂界环境噪声排放标准》（GB12348-2008）中</w:t>
            </w:r>
            <w:r>
              <w:rPr>
                <w:rFonts w:hint="default" w:ascii="Times New Roman" w:hAnsi="Times New Roman" w:cs="Times New Roman"/>
                <w:color w:val="000000" w:themeColor="text1"/>
                <w:sz w:val="24"/>
                <w:szCs w:val="22"/>
                <w:lang w:val="en-US" w:eastAsia="zh-CN"/>
                <w14:textFill>
                  <w14:solidFill>
                    <w14:schemeClr w14:val="tx1"/>
                  </w14:solidFill>
                </w14:textFill>
              </w:rPr>
              <w:t>3</w:t>
            </w:r>
            <w:r>
              <w:rPr>
                <w:rFonts w:hint="default" w:ascii="Times New Roman" w:hAnsi="Times New Roman" w:cs="Times New Roman"/>
                <w:color w:val="000000" w:themeColor="text1"/>
                <w:sz w:val="24"/>
                <w:szCs w:val="22"/>
                <w14:textFill>
                  <w14:solidFill>
                    <w14:schemeClr w14:val="tx1"/>
                  </w14:solidFill>
                </w14:textFill>
              </w:rPr>
              <w:t>类标准限值要求</w:t>
            </w:r>
            <w:r>
              <w:rPr>
                <w:rFonts w:hint="eastAsia" w:ascii="Times New Roman" w:hAnsi="Times New Roman" w:cs="Times New Roman"/>
                <w:color w:val="000000" w:themeColor="text1"/>
                <w:sz w:val="24"/>
                <w:szCs w:val="22"/>
                <w:lang w:eastAsia="zh-CN"/>
                <w14:textFill>
                  <w14:solidFill>
                    <w14:schemeClr w14:val="tx1"/>
                  </w14:solidFill>
                </w14:textFill>
              </w:rPr>
              <w:t>，</w:t>
            </w:r>
            <w:r>
              <w:rPr>
                <w:rFonts w:hint="eastAsia" w:cs="Times New Roman"/>
                <w:color w:val="000000" w:themeColor="text1"/>
                <w:sz w:val="24"/>
                <w:szCs w:val="22"/>
                <w:lang w:eastAsia="zh-CN"/>
                <w14:textFill>
                  <w14:solidFill>
                    <w14:schemeClr w14:val="tx1"/>
                  </w14:solidFill>
                </w14:textFill>
              </w:rPr>
              <w:t>东侧厂界能够满足</w:t>
            </w:r>
            <w:r>
              <w:rPr>
                <w:rFonts w:hint="default" w:ascii="Times New Roman" w:hAnsi="Times New Roman" w:cs="Times New Roman"/>
                <w:color w:val="000000" w:themeColor="text1"/>
                <w:sz w:val="24"/>
                <w:szCs w:val="22"/>
                <w14:textFill>
                  <w14:solidFill>
                    <w14:schemeClr w14:val="tx1"/>
                  </w14:solidFill>
                </w14:textFill>
              </w:rPr>
              <w:t>《工业企业厂界环境噪声排放标准》（GB12348-2008）中</w:t>
            </w:r>
            <w:r>
              <w:rPr>
                <w:rFonts w:hint="eastAsia" w:cs="Times New Roman"/>
                <w:color w:val="000000" w:themeColor="text1"/>
                <w:sz w:val="24"/>
                <w:szCs w:val="22"/>
                <w:lang w:val="en-US" w:eastAsia="zh-CN"/>
                <w14:textFill>
                  <w14:solidFill>
                    <w14:schemeClr w14:val="tx1"/>
                  </w14:solidFill>
                </w14:textFill>
              </w:rPr>
              <w:t>4</w:t>
            </w:r>
            <w:r>
              <w:rPr>
                <w:rFonts w:hint="default" w:ascii="Times New Roman" w:hAnsi="Times New Roman" w:cs="Times New Roman"/>
                <w:color w:val="000000" w:themeColor="text1"/>
                <w:sz w:val="24"/>
                <w:szCs w:val="22"/>
                <w14:textFill>
                  <w14:solidFill>
                    <w14:schemeClr w14:val="tx1"/>
                  </w14:solidFill>
                </w14:textFill>
              </w:rPr>
              <w:t>类标准限值要求</w:t>
            </w:r>
            <w:r>
              <w:rPr>
                <w:rFonts w:hint="eastAsia" w:cs="Times New Roman"/>
                <w:color w:val="000000" w:themeColor="text1"/>
                <w:sz w:val="24"/>
                <w:szCs w:val="22"/>
                <w:lang w:eastAsia="zh-CN"/>
                <w14:textFill>
                  <w14:solidFill>
                    <w14:schemeClr w14:val="tx1"/>
                  </w14:solidFill>
                </w14:textFill>
              </w:rPr>
              <w:t>，</w:t>
            </w:r>
            <w:r>
              <w:rPr>
                <w:rFonts w:hint="eastAsia" w:ascii="Times New Roman" w:hAnsi="Times New Roman" w:cs="Times New Roman"/>
                <w:color w:val="000000" w:themeColor="text1"/>
                <w:sz w:val="24"/>
                <w:szCs w:val="22"/>
                <w:lang w:eastAsia="zh-CN"/>
                <w14:textFill>
                  <w14:solidFill>
                    <w14:schemeClr w14:val="tx1"/>
                  </w14:solidFill>
                </w14:textFill>
              </w:rPr>
              <w:t>关心点贡献值能够满足《声环境质量标准》（</w:t>
            </w:r>
            <w:r>
              <w:rPr>
                <w:rFonts w:hint="eastAsia" w:ascii="Times New Roman" w:hAnsi="Times New Roman" w:cs="Times New Roman"/>
                <w:color w:val="000000" w:themeColor="text1"/>
                <w:sz w:val="24"/>
                <w:szCs w:val="22"/>
                <w:lang w:val="en-US" w:eastAsia="zh-CN"/>
                <w14:textFill>
                  <w14:solidFill>
                    <w14:schemeClr w14:val="tx1"/>
                  </w14:solidFill>
                </w14:textFill>
              </w:rPr>
              <w:t>GB3096-2008</w:t>
            </w:r>
            <w:r>
              <w:rPr>
                <w:rFonts w:hint="eastAsia" w:ascii="Times New Roman" w:hAnsi="Times New Roman" w:cs="Times New Roman"/>
                <w:color w:val="000000" w:themeColor="text1"/>
                <w:sz w:val="24"/>
                <w:szCs w:val="22"/>
                <w:lang w:eastAsia="zh-CN"/>
                <w14:textFill>
                  <w14:solidFill>
                    <w14:schemeClr w14:val="tx1"/>
                  </w14:solidFill>
                </w14:textFill>
              </w:rPr>
              <w:t>）中</w:t>
            </w:r>
            <w:r>
              <w:rPr>
                <w:rFonts w:hint="eastAsia" w:cs="Times New Roman"/>
                <w:color w:val="000000" w:themeColor="text1"/>
                <w:sz w:val="24"/>
                <w:szCs w:val="22"/>
                <w:lang w:val="en-US" w:eastAsia="zh-CN"/>
                <w14:textFill>
                  <w14:solidFill>
                    <w14:schemeClr w14:val="tx1"/>
                  </w14:solidFill>
                </w14:textFill>
              </w:rPr>
              <w:t>4a</w:t>
            </w:r>
            <w:r>
              <w:rPr>
                <w:rFonts w:hint="eastAsia" w:ascii="Times New Roman" w:hAnsi="Times New Roman" w:cs="Times New Roman"/>
                <w:color w:val="000000" w:themeColor="text1"/>
                <w:sz w:val="24"/>
                <w:szCs w:val="22"/>
                <w:lang w:val="en-US" w:eastAsia="zh-CN"/>
                <w14:textFill>
                  <w14:solidFill>
                    <w14:schemeClr w14:val="tx1"/>
                  </w14:solidFill>
                </w14:textFill>
              </w:rPr>
              <w:t>类标准要求</w:t>
            </w:r>
            <w:r>
              <w:rPr>
                <w:rFonts w:hint="default" w:ascii="Times New Roman" w:hAnsi="Times New Roman" w:cs="Times New Roman"/>
                <w:color w:val="000000" w:themeColor="text1"/>
                <w:sz w:val="24"/>
                <w:szCs w:val="22"/>
                <w:lang w:eastAsia="zh-CN"/>
                <w14:textFill>
                  <w14:solidFill>
                    <w14:schemeClr w14:val="tx1"/>
                  </w14:solidFill>
                </w14:textFill>
              </w:rPr>
              <w:t>。</w:t>
            </w:r>
          </w:p>
          <w:p w14:paraId="725A18A5">
            <w:pPr>
              <w:keepLines/>
              <w:autoSpaceDE w:val="0"/>
              <w:autoSpaceDN w:val="0"/>
              <w:spacing w:line="360" w:lineRule="auto"/>
              <w:ind w:firstLine="480" w:firstLineChars="200"/>
              <w:rPr>
                <w:rFonts w:hint="default" w:ascii="Times New Roman" w:hAnsi="Times New Roman" w:cs="Times New Roman"/>
                <w:color w:val="000000" w:themeColor="text1"/>
                <w:sz w:val="24"/>
                <w:szCs w:val="22"/>
                <w14:textFill>
                  <w14:solidFill>
                    <w14:schemeClr w14:val="tx1"/>
                  </w14:solidFill>
                </w14:textFill>
              </w:rPr>
            </w:pPr>
            <w:r>
              <w:rPr>
                <w:rFonts w:hint="default" w:ascii="Times New Roman" w:hAnsi="Times New Roman" w:cs="Times New Roman"/>
                <w:color w:val="000000" w:themeColor="text1"/>
                <w:sz w:val="24"/>
                <w:szCs w:val="22"/>
                <w:lang w:eastAsia="zh-CN"/>
                <w14:textFill>
                  <w14:solidFill>
                    <w14:schemeClr w14:val="tx1"/>
                  </w14:solidFill>
                </w14:textFill>
              </w:rPr>
              <w:t>故</w:t>
            </w:r>
            <w:r>
              <w:rPr>
                <w:rFonts w:hint="default" w:ascii="Times New Roman" w:hAnsi="Times New Roman" w:cs="Times New Roman"/>
                <w:color w:val="000000" w:themeColor="text1"/>
                <w:sz w:val="24"/>
                <w:szCs w:val="22"/>
                <w14:textFill>
                  <w14:solidFill>
                    <w14:schemeClr w14:val="tx1"/>
                  </w14:solidFill>
                </w14:textFill>
              </w:rPr>
              <w:t>为进一步减少项目噪声对周围环境的影响，环评要求噪声防治应采取以下对策措施：</w:t>
            </w:r>
          </w:p>
          <w:p w14:paraId="6F00D302">
            <w:pPr>
              <w:keepLines/>
              <w:autoSpaceDE w:val="0"/>
              <w:autoSpaceDN w:val="0"/>
              <w:spacing w:line="360" w:lineRule="auto"/>
              <w:ind w:firstLine="480" w:firstLineChars="200"/>
              <w:rPr>
                <w:rFonts w:hint="default" w:ascii="Times New Roman" w:hAnsi="Times New Roman" w:cs="Times New Roman"/>
                <w:color w:val="000000" w:themeColor="text1"/>
                <w:sz w:val="24"/>
                <w:szCs w:val="22"/>
                <w14:textFill>
                  <w14:solidFill>
                    <w14:schemeClr w14:val="tx1"/>
                  </w14:solidFill>
                </w14:textFill>
              </w:rPr>
            </w:pPr>
            <w:r>
              <w:rPr>
                <w:rFonts w:hint="default" w:ascii="Times New Roman" w:hAnsi="Times New Roman" w:cs="Times New Roman"/>
                <w:color w:val="000000" w:themeColor="text1"/>
                <w:sz w:val="24"/>
                <w:szCs w:val="22"/>
                <w14:textFill>
                  <w14:solidFill>
                    <w14:schemeClr w14:val="tx1"/>
                  </w14:solidFill>
                </w14:textFill>
              </w:rPr>
              <w:t>①合理安排设备安放位置，尽可能利用距离进行声级衰减。</w:t>
            </w:r>
          </w:p>
          <w:p w14:paraId="32621B15">
            <w:pPr>
              <w:keepLines/>
              <w:autoSpaceDE w:val="0"/>
              <w:autoSpaceDN w:val="0"/>
              <w:spacing w:line="360" w:lineRule="auto"/>
              <w:ind w:firstLine="480" w:firstLineChars="200"/>
              <w:rPr>
                <w:rFonts w:hint="default" w:ascii="Times New Roman" w:hAnsi="Times New Roman" w:cs="Times New Roman"/>
                <w:color w:val="000000" w:themeColor="text1"/>
                <w:sz w:val="24"/>
                <w:szCs w:val="22"/>
                <w14:textFill>
                  <w14:solidFill>
                    <w14:schemeClr w14:val="tx1"/>
                  </w14:solidFill>
                </w14:textFill>
              </w:rPr>
            </w:pPr>
            <w:r>
              <w:rPr>
                <w:rFonts w:hint="default" w:ascii="Times New Roman" w:hAnsi="Times New Roman" w:cs="Times New Roman"/>
                <w:color w:val="000000" w:themeColor="text1"/>
                <w:sz w:val="24"/>
                <w:szCs w:val="22"/>
                <w14:textFill>
                  <w14:solidFill>
                    <w14:schemeClr w14:val="tx1"/>
                  </w14:solidFill>
                </w14:textFill>
              </w:rPr>
              <w:t>②选用低噪声设备，高噪声设备必须安装在加有减振垫的隔振基础上，同时设备之间保持间距，避免噪声叠加影响。</w:t>
            </w:r>
          </w:p>
          <w:p w14:paraId="5BE4A57D">
            <w:pPr>
              <w:keepLines/>
              <w:autoSpaceDE w:val="0"/>
              <w:autoSpaceDN w:val="0"/>
              <w:spacing w:line="360" w:lineRule="auto"/>
              <w:ind w:firstLine="480" w:firstLineChars="200"/>
              <w:rPr>
                <w:rFonts w:hint="default" w:ascii="Times New Roman" w:hAnsi="Times New Roman" w:cs="Times New Roman"/>
                <w:color w:val="000000" w:themeColor="text1"/>
                <w:sz w:val="24"/>
                <w:szCs w:val="22"/>
                <w14:textFill>
                  <w14:solidFill>
                    <w14:schemeClr w14:val="tx1"/>
                  </w14:solidFill>
                </w14:textFill>
              </w:rPr>
            </w:pPr>
            <w:r>
              <w:rPr>
                <w:rFonts w:hint="default" w:ascii="Times New Roman" w:hAnsi="Times New Roman" w:cs="Times New Roman"/>
                <w:color w:val="000000" w:themeColor="text1"/>
                <w:sz w:val="24"/>
                <w:szCs w:val="22"/>
                <w14:textFill>
                  <w14:solidFill>
                    <w14:schemeClr w14:val="tx1"/>
                  </w14:solidFill>
                </w14:textFill>
              </w:rPr>
              <w:t>③生产主要产噪设备均设置于厂房内，以保证厂界噪声能够达标。</w:t>
            </w:r>
          </w:p>
          <w:p w14:paraId="73B059C5">
            <w:pPr>
              <w:keepLines/>
              <w:autoSpaceDE w:val="0"/>
              <w:autoSpaceDN w:val="0"/>
              <w:spacing w:line="360" w:lineRule="auto"/>
              <w:ind w:firstLine="480" w:firstLineChars="200"/>
              <w:rPr>
                <w:rFonts w:hint="default" w:ascii="Times New Roman" w:hAnsi="Times New Roman" w:eastAsia="宋体" w:cs="Times New Roman"/>
                <w:color w:val="000000" w:themeColor="text1"/>
                <w:sz w:val="24"/>
                <w:szCs w:val="22"/>
                <w:lang w:eastAsia="zh-CN"/>
                <w14:textFill>
                  <w14:solidFill>
                    <w14:schemeClr w14:val="tx1"/>
                  </w14:solidFill>
                </w14:textFill>
              </w:rPr>
            </w:pPr>
            <w:r>
              <w:rPr>
                <w:rFonts w:hint="default" w:ascii="Times New Roman" w:hAnsi="Times New Roman" w:cs="Times New Roman"/>
                <w:color w:val="000000" w:themeColor="text1"/>
                <w:sz w:val="24"/>
                <w:szCs w:val="22"/>
                <w14:textFill>
                  <w14:solidFill>
                    <w14:schemeClr w14:val="tx1"/>
                  </w14:solidFill>
                </w14:textFill>
              </w:rPr>
              <w:t>④加强设备的维护，确保设备处于良好的运转状态，杜绝因设备不正常运转时产生的高噪声现象</w:t>
            </w:r>
            <w:r>
              <w:rPr>
                <w:rFonts w:hint="default" w:ascii="Times New Roman" w:hAnsi="Times New Roman" w:cs="Times New Roman"/>
                <w:color w:val="000000" w:themeColor="text1"/>
                <w:sz w:val="24"/>
                <w:lang w:eastAsia="zh-CN"/>
                <w14:textFill>
                  <w14:solidFill>
                    <w14:schemeClr w14:val="tx1"/>
                  </w14:solidFill>
                </w14:textFill>
              </w:rPr>
              <w:t>。</w:t>
            </w:r>
          </w:p>
          <w:p w14:paraId="6A8D8B4C">
            <w:pPr>
              <w:keepLines/>
              <w:autoSpaceDE w:val="0"/>
              <w:autoSpaceDN w:val="0"/>
              <w:spacing w:line="360" w:lineRule="auto"/>
              <w:ind w:firstLine="480"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color w:val="000000" w:themeColor="text1"/>
                <w:sz w:val="24"/>
                <w:szCs w:val="22"/>
                <w14:textFill>
                  <w14:solidFill>
                    <w14:schemeClr w14:val="tx1"/>
                  </w14:solidFill>
                </w14:textFill>
              </w:rPr>
              <w:t>经采取上述措施后进一步减小本项目噪声对周围环境的影响。</w:t>
            </w:r>
          </w:p>
          <w:p w14:paraId="4948663E">
            <w:pPr>
              <w:pStyle w:val="65"/>
              <w:keepNext w:val="0"/>
              <w:keepLines w:val="0"/>
              <w:pageBreakBefore w:val="0"/>
              <w:widowControl w:val="0"/>
              <w:kinsoku/>
              <w:wordWrap w:val="0"/>
              <w:overflowPunct/>
              <w:topLinePunct/>
              <w:autoSpaceDE/>
              <w:autoSpaceDN/>
              <w:bidi w:val="0"/>
              <w:adjustRightInd w:val="0"/>
              <w:snapToGrid w:val="0"/>
              <w:spacing w:line="360" w:lineRule="auto"/>
              <w:ind w:firstLine="482" w:firstLineChars="200"/>
              <w:jc w:val="both"/>
              <w:rPr>
                <w:b/>
                <w:bCs/>
                <w:color w:val="000000" w:themeColor="text1"/>
                <w:sz w:val="24"/>
                <w14:textFill>
                  <w14:solidFill>
                    <w14:schemeClr w14:val="tx1"/>
                  </w14:solidFill>
                </w14:textFill>
              </w:rPr>
            </w:pPr>
            <w:r>
              <w:rPr>
                <w:rFonts w:hint="eastAsia"/>
                <w:b/>
                <w:bCs/>
                <w:color w:val="000000" w:themeColor="text1"/>
                <w:sz w:val="24"/>
                <w:lang w:eastAsia="zh-CN"/>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3</w:t>
            </w:r>
            <w:r>
              <w:rPr>
                <w:rFonts w:hint="eastAsia"/>
                <w:b/>
                <w:bCs/>
                <w:color w:val="000000" w:themeColor="text1"/>
                <w:sz w:val="24"/>
                <w:lang w:eastAsia="zh-CN"/>
                <w14:textFill>
                  <w14:solidFill>
                    <w14:schemeClr w14:val="tx1"/>
                  </w14:solidFill>
                </w14:textFill>
              </w:rPr>
              <w:t>）</w:t>
            </w:r>
            <w:r>
              <w:rPr>
                <w:b/>
                <w:bCs/>
                <w:color w:val="000000" w:themeColor="text1"/>
                <w:sz w:val="24"/>
                <w14:textFill>
                  <w14:solidFill>
                    <w14:schemeClr w14:val="tx1"/>
                  </w14:solidFill>
                </w14:textFill>
              </w:rPr>
              <w:t>监测要求</w:t>
            </w:r>
          </w:p>
          <w:p w14:paraId="7B31A6F0">
            <w:pPr>
              <w:pStyle w:val="65"/>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both"/>
              <w:rPr>
                <w:b/>
                <w:bCs/>
                <w:color w:val="000000" w:themeColor="text1"/>
                <w:szCs w:val="21"/>
                <w14:textFill>
                  <w14:solidFill>
                    <w14:schemeClr w14:val="tx1"/>
                  </w14:solidFill>
                </w14:textFill>
              </w:rPr>
            </w:pPr>
            <w:r>
              <w:rPr>
                <w:color w:val="000000" w:themeColor="text1"/>
                <w:sz w:val="24"/>
                <w:szCs w:val="24"/>
                <w14:textFill>
                  <w14:solidFill>
                    <w14:schemeClr w14:val="tx1"/>
                  </w14:solidFill>
                </w14:textFill>
              </w:rPr>
              <w:t>根据《排污单位自行监测技术指南 总则》（HJ819-2017），本项目</w:t>
            </w:r>
            <w:r>
              <w:rPr>
                <w:rFonts w:hint="eastAsia"/>
                <w:color w:val="000000" w:themeColor="text1"/>
                <w:sz w:val="24"/>
                <w:szCs w:val="24"/>
                <w:lang w:eastAsia="zh-CN"/>
                <w14:textFill>
                  <w14:solidFill>
                    <w14:schemeClr w14:val="tx1"/>
                  </w14:solidFill>
                </w14:textFill>
              </w:rPr>
              <w:t>噪声自行</w:t>
            </w:r>
            <w:r>
              <w:rPr>
                <w:color w:val="000000" w:themeColor="text1"/>
                <w:sz w:val="24"/>
                <w:szCs w:val="24"/>
                <w14:textFill>
                  <w14:solidFill>
                    <w14:schemeClr w14:val="tx1"/>
                  </w14:solidFill>
                </w14:textFill>
              </w:rPr>
              <w:t>监测要求详见下表</w:t>
            </w:r>
            <w:r>
              <w:rPr>
                <w:color w:val="000000" w:themeColor="text1"/>
                <w:sz w:val="24"/>
                <w14:textFill>
                  <w14:solidFill>
                    <w14:schemeClr w14:val="tx1"/>
                  </w14:solidFill>
                </w14:textFill>
              </w:rPr>
              <w:t>。</w:t>
            </w:r>
          </w:p>
          <w:p w14:paraId="33141EE5">
            <w:pPr>
              <w:pStyle w:val="134"/>
              <w:keepNext w:val="0"/>
              <w:keepLines w:val="0"/>
              <w:pageBreakBefore w:val="0"/>
              <w:widowControl w:val="0"/>
              <w:kinsoku/>
              <w:wordWrap w:val="0"/>
              <w:overflowPunct/>
              <w:topLinePunct/>
              <w:autoSpaceDE/>
              <w:autoSpaceDN/>
              <w:bidi w:val="0"/>
              <w:adjustRightInd/>
              <w:snapToGrid/>
              <w:spacing w:before="0"/>
              <w:textAlignment w:val="auto"/>
              <w:rPr>
                <w:color w:val="000000" w:themeColor="text1"/>
                <w14:textFill>
                  <w14:solidFill>
                    <w14:schemeClr w14:val="tx1"/>
                  </w14:solidFill>
                </w14:textFill>
              </w:rPr>
            </w:pPr>
            <w:r>
              <w:rPr>
                <w:color w:val="000000" w:themeColor="text1"/>
                <w14:textFill>
                  <w14:solidFill>
                    <w14:schemeClr w14:val="tx1"/>
                  </w14:solidFill>
                </w14:textFill>
              </w:rPr>
              <w:t>表4-</w:t>
            </w:r>
            <w:r>
              <w:rPr>
                <w:rFonts w:hint="eastAsia"/>
                <w:color w:val="000000" w:themeColor="text1"/>
                <w:lang w:val="en-US" w:eastAsia="zh-CN"/>
                <w14:textFill>
                  <w14:solidFill>
                    <w14:schemeClr w14:val="tx1"/>
                  </w14:solidFill>
                </w14:textFill>
              </w:rPr>
              <w:t>21</w:t>
            </w:r>
            <w:r>
              <w:rPr>
                <w:color w:val="000000" w:themeColor="text1"/>
                <w14:textFill>
                  <w14:solidFill>
                    <w14:schemeClr w14:val="tx1"/>
                  </w14:solidFill>
                </w14:textFill>
              </w:rPr>
              <w:t xml:space="preserve">  噪声</w:t>
            </w:r>
            <w:r>
              <w:rPr>
                <w:rFonts w:hint="eastAsia"/>
                <w:color w:val="000000" w:themeColor="text1"/>
                <w:lang w:eastAsia="zh-CN"/>
                <w14:textFill>
                  <w14:solidFill>
                    <w14:schemeClr w14:val="tx1"/>
                  </w14:solidFill>
                </w14:textFill>
              </w:rPr>
              <w:t>自行</w:t>
            </w:r>
            <w:r>
              <w:rPr>
                <w:color w:val="000000" w:themeColor="text1"/>
                <w14:textFill>
                  <w14:solidFill>
                    <w14:schemeClr w14:val="tx1"/>
                  </w14:solidFill>
                </w14:textFill>
              </w:rPr>
              <w:t>监测计划一览表</w:t>
            </w:r>
          </w:p>
          <w:tbl>
            <w:tblPr>
              <w:tblStyle w:val="3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564"/>
              <w:gridCol w:w="1435"/>
              <w:gridCol w:w="1848"/>
              <w:gridCol w:w="2513"/>
            </w:tblGrid>
            <w:tr w14:paraId="4B512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vAlign w:val="center"/>
                </w:tcPr>
                <w:p w14:paraId="5D97F29D">
                  <w:pPr>
                    <w:pStyle w:val="17"/>
                    <w:keepNext w:val="0"/>
                    <w:keepLines w:val="0"/>
                    <w:pageBreakBefore w:val="0"/>
                    <w:widowControl w:val="0"/>
                    <w:kinsoku/>
                    <w:wordWrap w:val="0"/>
                    <w:overflowPunct/>
                    <w:topLinePunct/>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类型</w:t>
                  </w:r>
                </w:p>
              </w:tc>
              <w:tc>
                <w:tcPr>
                  <w:tcW w:w="954" w:type="pct"/>
                  <w:vAlign w:val="center"/>
                </w:tcPr>
                <w:p w14:paraId="6129AC57">
                  <w:pPr>
                    <w:pStyle w:val="17"/>
                    <w:keepNext w:val="0"/>
                    <w:keepLines w:val="0"/>
                    <w:pageBreakBefore w:val="0"/>
                    <w:widowControl w:val="0"/>
                    <w:kinsoku/>
                    <w:wordWrap w:val="0"/>
                    <w:overflowPunct/>
                    <w:topLinePunct/>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监测点位</w:t>
                  </w:r>
                </w:p>
              </w:tc>
              <w:tc>
                <w:tcPr>
                  <w:tcW w:w="875" w:type="pct"/>
                  <w:vAlign w:val="center"/>
                </w:tcPr>
                <w:p w14:paraId="6F367FF3">
                  <w:pPr>
                    <w:pStyle w:val="17"/>
                    <w:keepNext w:val="0"/>
                    <w:keepLines w:val="0"/>
                    <w:pageBreakBefore w:val="0"/>
                    <w:widowControl w:val="0"/>
                    <w:kinsoku/>
                    <w:wordWrap w:val="0"/>
                    <w:overflowPunct/>
                    <w:topLinePunct/>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监测指标</w:t>
                  </w:r>
                </w:p>
              </w:tc>
              <w:tc>
                <w:tcPr>
                  <w:tcW w:w="1127" w:type="pct"/>
                  <w:vAlign w:val="center"/>
                </w:tcPr>
                <w:p w14:paraId="61540E0A">
                  <w:pPr>
                    <w:pStyle w:val="17"/>
                    <w:keepNext w:val="0"/>
                    <w:keepLines w:val="0"/>
                    <w:pageBreakBefore w:val="0"/>
                    <w:widowControl w:val="0"/>
                    <w:kinsoku/>
                    <w:wordWrap w:val="0"/>
                    <w:overflowPunct/>
                    <w:topLinePunct/>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监测频次</w:t>
                  </w:r>
                </w:p>
              </w:tc>
              <w:tc>
                <w:tcPr>
                  <w:tcW w:w="1532" w:type="pct"/>
                  <w:vAlign w:val="center"/>
                </w:tcPr>
                <w:p w14:paraId="00F8CB59">
                  <w:pPr>
                    <w:pStyle w:val="17"/>
                    <w:keepNext w:val="0"/>
                    <w:keepLines w:val="0"/>
                    <w:pageBreakBefore w:val="0"/>
                    <w:widowControl w:val="0"/>
                    <w:kinsoku/>
                    <w:wordWrap w:val="0"/>
                    <w:overflowPunct/>
                    <w:topLinePunct/>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执行标准</w:t>
                  </w:r>
                </w:p>
              </w:tc>
            </w:tr>
            <w:tr w14:paraId="30B12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510" w:type="pct"/>
                  <w:vAlign w:val="center"/>
                </w:tcPr>
                <w:p w14:paraId="700ABA94">
                  <w:pPr>
                    <w:pStyle w:val="17"/>
                    <w:keepNext w:val="0"/>
                    <w:keepLines w:val="0"/>
                    <w:pageBreakBefore w:val="0"/>
                    <w:widowControl w:val="0"/>
                    <w:kinsoku/>
                    <w:wordWrap w:val="0"/>
                    <w:overflowPunct/>
                    <w:topLinePunct/>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噪声</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（夜间不生产）</w:t>
                  </w:r>
                </w:p>
              </w:tc>
              <w:tc>
                <w:tcPr>
                  <w:tcW w:w="954" w:type="pct"/>
                  <w:vAlign w:val="center"/>
                </w:tcPr>
                <w:p w14:paraId="76FA1D1F">
                  <w:pPr>
                    <w:pStyle w:val="17"/>
                    <w:keepNext w:val="0"/>
                    <w:keepLines w:val="0"/>
                    <w:pageBreakBefore w:val="0"/>
                    <w:widowControl w:val="0"/>
                    <w:kinsoku/>
                    <w:wordWrap w:val="0"/>
                    <w:overflowPunct/>
                    <w:topLinePunct/>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color w:val="000000" w:themeColor="text1"/>
                      <w:szCs w:val="21"/>
                      <w14:textFill>
                        <w14:solidFill>
                          <w14:schemeClr w14:val="tx1"/>
                        </w14:solidFill>
                      </w14:textFill>
                    </w:rPr>
                    <w:t>厂界东、南、西、北外1m处布点监测</w:t>
                  </w:r>
                </w:p>
              </w:tc>
              <w:tc>
                <w:tcPr>
                  <w:tcW w:w="875" w:type="pct"/>
                  <w:vAlign w:val="center"/>
                </w:tcPr>
                <w:p w14:paraId="01E55040">
                  <w:pPr>
                    <w:pStyle w:val="17"/>
                    <w:keepNext w:val="0"/>
                    <w:keepLines w:val="0"/>
                    <w:pageBreakBefore w:val="0"/>
                    <w:widowControl w:val="0"/>
                    <w:kinsoku/>
                    <w:wordWrap w:val="0"/>
                    <w:overflowPunct/>
                    <w:topLinePunct/>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color w:val="000000" w:themeColor="text1"/>
                      <w:szCs w:val="21"/>
                      <w14:textFill>
                        <w14:solidFill>
                          <w14:schemeClr w14:val="tx1"/>
                        </w14:solidFill>
                      </w14:textFill>
                    </w:rPr>
                    <w:t>等效声级Leq（dB</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A</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w:t>
                  </w:r>
                </w:p>
              </w:tc>
              <w:tc>
                <w:tcPr>
                  <w:tcW w:w="1127" w:type="pct"/>
                  <w:vAlign w:val="center"/>
                </w:tcPr>
                <w:p w14:paraId="202625ED">
                  <w:pPr>
                    <w:pStyle w:val="17"/>
                    <w:keepNext w:val="0"/>
                    <w:keepLines w:val="0"/>
                    <w:pageBreakBefore w:val="0"/>
                    <w:widowControl w:val="0"/>
                    <w:kinsoku/>
                    <w:wordWrap w:val="0"/>
                    <w:overflowPunct/>
                    <w:topLinePunct/>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1季度/次，监测1天，昼间1次</w:t>
                  </w:r>
                </w:p>
              </w:tc>
              <w:tc>
                <w:tcPr>
                  <w:tcW w:w="1532" w:type="pct"/>
                  <w:vAlign w:val="center"/>
                </w:tcPr>
                <w:p w14:paraId="09E5CB78">
                  <w:pPr>
                    <w:pStyle w:val="17"/>
                    <w:keepNext w:val="0"/>
                    <w:keepLines w:val="0"/>
                    <w:pageBreakBefore w:val="0"/>
                    <w:widowControl w:val="0"/>
                    <w:kinsoku/>
                    <w:wordWrap w:val="0"/>
                    <w:overflowPunct/>
                    <w:topLinePunct/>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《工业企业厂界环境噪声排放标准》（GB12348-2008）</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3类标准、4类标准</w:t>
                  </w:r>
                </w:p>
              </w:tc>
            </w:tr>
          </w:tbl>
          <w:p w14:paraId="79DE1064">
            <w:pPr>
              <w:keepNext w:val="0"/>
              <w:keepLines w:val="0"/>
              <w:pageBreakBefore w:val="0"/>
              <w:widowControl w:val="0"/>
              <w:kinsoku/>
              <w:wordWrap w:val="0"/>
              <w:overflowPunct/>
              <w:topLinePunct/>
              <w:autoSpaceDE/>
              <w:autoSpaceDN/>
              <w:bidi w:val="0"/>
              <w:adjustRightInd/>
              <w:spacing w:line="360" w:lineRule="auto"/>
              <w:ind w:firstLine="482" w:firstLineChars="200"/>
              <w:jc w:val="left"/>
              <w:rPr>
                <w:rFonts w:hint="default" w:ascii="Times New Roman" w:hAnsi="Times New Roman" w:cs="Times New Roman"/>
                <w:b/>
                <w:bCs/>
                <w:color w:val="000000" w:themeColor="text1"/>
                <w:kern w:val="0"/>
                <w:sz w:val="24"/>
                <w14:textFill>
                  <w14:solidFill>
                    <w14:schemeClr w14:val="tx1"/>
                  </w14:solidFill>
                </w14:textFill>
              </w:rPr>
            </w:pPr>
            <w:r>
              <w:rPr>
                <w:rFonts w:hint="default" w:ascii="Times New Roman" w:hAnsi="Times New Roman" w:cs="Times New Roman"/>
                <w:b/>
                <w:bCs/>
                <w:color w:val="000000" w:themeColor="text1"/>
                <w:kern w:val="0"/>
                <w:sz w:val="24"/>
                <w14:textFill>
                  <w14:solidFill>
                    <w14:schemeClr w14:val="tx1"/>
                  </w14:solidFill>
                </w14:textFill>
              </w:rPr>
              <w:t>4、固体废物环境影响和保护措施</w:t>
            </w:r>
          </w:p>
          <w:p w14:paraId="27CBA195">
            <w:pPr>
              <w:pStyle w:val="18"/>
              <w:keepNext w:val="0"/>
              <w:keepLines w:val="0"/>
              <w:pageBreakBefore w:val="0"/>
              <w:widowControl w:val="0"/>
              <w:kinsoku/>
              <w:wordWrap w:val="0"/>
              <w:overflowPunct/>
              <w:topLinePunct/>
              <w:autoSpaceDE/>
              <w:autoSpaceDN/>
              <w:bidi w:val="0"/>
              <w:adjustRightInd/>
              <w:spacing w:line="360" w:lineRule="auto"/>
              <w:ind w:left="0" w:leftChars="0" w:right="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项目运营期产生的固体废物主要为生活</w:t>
            </w:r>
            <w:r>
              <w:rPr>
                <w:rFonts w:hint="eastAsia"/>
                <w:color w:val="000000" w:themeColor="text1"/>
                <w:lang w:eastAsia="zh-CN"/>
                <w14:textFill>
                  <w14:solidFill>
                    <w14:schemeClr w14:val="tx1"/>
                  </w14:solidFill>
                </w14:textFill>
              </w:rPr>
              <w:t>垃圾、</w:t>
            </w:r>
            <w:r>
              <w:rPr>
                <w:color w:val="000000" w:themeColor="text1"/>
                <w14:textFill>
                  <w14:solidFill>
                    <w14:schemeClr w14:val="tx1"/>
                  </w14:solidFill>
                </w14:textFill>
              </w:rPr>
              <w:t>一般工业固废和危险废物。</w:t>
            </w:r>
          </w:p>
          <w:p w14:paraId="2684C464">
            <w:pPr>
              <w:pStyle w:val="18"/>
              <w:keepNext w:val="0"/>
              <w:keepLines w:val="0"/>
              <w:pageBreakBefore w:val="0"/>
              <w:widowControl w:val="0"/>
              <w:kinsoku/>
              <w:wordWrap w:val="0"/>
              <w:overflowPunct/>
              <w:topLinePunct/>
              <w:autoSpaceDE/>
              <w:autoSpaceDN/>
              <w:bidi w:val="0"/>
              <w:adjustRightInd/>
              <w:spacing w:line="360" w:lineRule="auto"/>
              <w:ind w:left="0" w:leftChars="0" w:right="0" w:firstLine="482" w:firstLineChars="200"/>
              <w:rPr>
                <w:rFonts w:hint="eastAsia"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（1）生活垃圾</w:t>
            </w:r>
          </w:p>
          <w:p w14:paraId="62F8F91F">
            <w:pPr>
              <w:pStyle w:val="51"/>
              <w:keepNext w:val="0"/>
              <w:keepLines w:val="0"/>
              <w:pageBreakBefore w:val="0"/>
              <w:widowControl w:val="0"/>
              <w:kinsoku/>
              <w:wordWrap w:val="0"/>
              <w:overflowPunct/>
              <w:topLinePunct/>
              <w:autoSpaceDE/>
              <w:autoSpaceDN/>
              <w:bidi w:val="0"/>
              <w:ind w:firstLine="480"/>
              <w:rPr>
                <w:rFonts w:hint="eastAsia" w:eastAsia="宋体"/>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①生活垃圾</w:t>
            </w:r>
          </w:p>
          <w:p w14:paraId="2D8D8860">
            <w:pPr>
              <w:pStyle w:val="51"/>
              <w:keepNext w:val="0"/>
              <w:keepLines w:val="0"/>
              <w:pageBreakBefore w:val="0"/>
              <w:widowControl w:val="0"/>
              <w:kinsoku/>
              <w:wordWrap w:val="0"/>
              <w:overflowPunct/>
              <w:topLinePunct/>
              <w:autoSpaceDE/>
              <w:autoSpaceDN/>
              <w:bidi w:val="0"/>
              <w:ind w:firstLine="480"/>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根据工程分析，公司现有员工为</w:t>
            </w:r>
            <w:r>
              <w:rPr>
                <w:rFonts w:hint="eastAsia"/>
                <w:color w:val="000000" w:themeColor="text1"/>
                <w:lang w:val="en-US" w:eastAsia="zh-CN"/>
                <w14:textFill>
                  <w14:solidFill>
                    <w14:schemeClr w14:val="tx1"/>
                  </w14:solidFill>
                </w14:textFill>
              </w:rPr>
              <w:t>12人，现有生活垃圾产生量为</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6</w:t>
            </w:r>
            <w:r>
              <w:rPr>
                <w:rFonts w:ascii="Times New Roman" w:hAnsi="Times New Roman" w:eastAsia="宋体" w:cs="Times New Roman"/>
                <w:b w:val="0"/>
                <w:bCs w:val="0"/>
                <w:color w:val="000000" w:themeColor="text1"/>
                <w:sz w:val="24"/>
                <w14:textFill>
                  <w14:solidFill>
                    <w14:schemeClr w14:val="tx1"/>
                  </w14:solidFill>
                </w14:textFill>
              </w:rPr>
              <w:t>kg/d</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1.8</w:t>
            </w:r>
            <w:r>
              <w:rPr>
                <w:rFonts w:ascii="Times New Roman" w:hAnsi="Times New Roman" w:eastAsia="宋体" w:cs="Times New Roman"/>
                <w:b w:val="0"/>
                <w:bCs w:val="0"/>
                <w:color w:val="000000" w:themeColor="text1"/>
                <w:sz w:val="24"/>
                <w14:textFill>
                  <w14:solidFill>
                    <w14:schemeClr w14:val="tx1"/>
                  </w14:solidFill>
                </w14:textFill>
              </w:rPr>
              <w:t>t/a</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w:t>
            </w:r>
            <w:r>
              <w:rPr>
                <w:rFonts w:hint="eastAsia"/>
                <w:color w:val="000000" w:themeColor="text1"/>
                <w:lang w:eastAsia="zh-CN"/>
                <w14:textFill>
                  <w14:solidFill>
                    <w14:schemeClr w14:val="tx1"/>
                  </w14:solidFill>
                </w14:textFill>
              </w:rPr>
              <w:t>本项目不新增工作人员，工作人员由公司现有员工调配。故无新增生活垃圾。</w:t>
            </w:r>
          </w:p>
          <w:p w14:paraId="1BD4F588">
            <w:pPr>
              <w:pStyle w:val="51"/>
              <w:keepNext w:val="0"/>
              <w:keepLines w:val="0"/>
              <w:pageBreakBefore w:val="0"/>
              <w:widowControl w:val="0"/>
              <w:kinsoku/>
              <w:wordWrap w:val="0"/>
              <w:overflowPunct/>
              <w:topLinePunct/>
              <w:autoSpaceDE/>
              <w:autoSpaceDN/>
              <w:bidi w:val="0"/>
              <w:ind w:firstLine="480"/>
              <w:rPr>
                <w:color w:val="000000" w:themeColor="text1"/>
                <w14:textFill>
                  <w14:solidFill>
                    <w14:schemeClr w14:val="tx1"/>
                  </w14:solidFill>
                </w14:textFill>
              </w:rPr>
            </w:pPr>
            <w:r>
              <w:rPr>
                <w:rFonts w:hint="eastAsia" w:ascii="Times New Roman" w:hAnsi="Times New Roman" w:eastAsia="宋体" w:cs="Times New Roman"/>
                <w:b w:val="0"/>
                <w:bCs w:val="0"/>
                <w:color w:val="000000" w:themeColor="text1"/>
                <w:sz w:val="24"/>
                <w:lang w:eastAsia="zh-CN"/>
                <w14:textFill>
                  <w14:solidFill>
                    <w14:schemeClr w14:val="tx1"/>
                  </w14:solidFill>
                </w14:textFill>
              </w:rPr>
              <w:t>厂区设置有</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生活垃圾收集桶，生活垃圾经收集后定期置于周边垃圾收集点，由环卫部门清理。</w:t>
            </w:r>
          </w:p>
          <w:p w14:paraId="2CE1DE0A">
            <w:pPr>
              <w:pStyle w:val="51"/>
              <w:keepNext w:val="0"/>
              <w:keepLines w:val="0"/>
              <w:pageBreakBefore w:val="0"/>
              <w:widowControl w:val="0"/>
              <w:kinsoku/>
              <w:wordWrap w:val="0"/>
              <w:overflowPunct/>
              <w:topLinePunct/>
              <w:autoSpaceDE/>
              <w:autoSpaceDN/>
              <w:bidi w:val="0"/>
              <w:ind w:firstLine="48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②</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生活污水处理设施污泥</w:t>
            </w:r>
          </w:p>
          <w:p w14:paraId="318DF366">
            <w:pPr>
              <w:keepNext w:val="0"/>
              <w:keepLines w:val="0"/>
              <w:pageBreakBefore w:val="0"/>
              <w:widowControl/>
              <w:kinsoku/>
              <w:wordWrap w:val="0"/>
              <w:overflowPunct/>
              <w:topLinePunct w:val="0"/>
              <w:autoSpaceDE/>
              <w:autoSpaceDN/>
              <w:bidi w:val="0"/>
              <w:adjustRightInd/>
              <w:snapToGrid/>
              <w:spacing w:line="360" w:lineRule="auto"/>
              <w:ind w:firstLine="480" w:firstLineChars="200"/>
              <w:jc w:val="left"/>
              <w:textAlignment w:val="auto"/>
              <w:rPr>
                <w:rFonts w:hint="eastAsia"/>
                <w:b w:val="0"/>
                <w:bCs w:val="0"/>
                <w:color w:val="000000" w:themeColor="text1"/>
                <w:sz w:val="24"/>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根据工程分析，现有化粪池污泥</w:t>
            </w:r>
            <w:r>
              <w:rPr>
                <w:rFonts w:hint="eastAsia"/>
                <w:b w:val="0"/>
                <w:bCs w:val="0"/>
                <w:color w:val="000000" w:themeColor="text1"/>
                <w:sz w:val="24"/>
                <w14:textFill>
                  <w14:solidFill>
                    <w14:schemeClr w14:val="tx1"/>
                  </w14:solidFill>
                </w14:textFill>
              </w:rPr>
              <w:t>参考《建筑给水排水设计规范》</w:t>
            </w:r>
            <w:r>
              <w:rPr>
                <w:rFonts w:hint="eastAsia"/>
                <w:b w:val="0"/>
                <w:bCs w:val="0"/>
                <w:color w:val="000000" w:themeColor="text1"/>
                <w:sz w:val="24"/>
                <w:lang w:eastAsia="zh-CN"/>
                <w14:textFill>
                  <w14:solidFill>
                    <w14:schemeClr w14:val="tx1"/>
                  </w14:solidFill>
                </w14:textFill>
              </w:rPr>
              <w:t>（</w:t>
            </w:r>
            <w:r>
              <w:rPr>
                <w:rFonts w:hint="eastAsia"/>
                <w:b w:val="0"/>
                <w:bCs w:val="0"/>
                <w:color w:val="000000" w:themeColor="text1"/>
                <w:sz w:val="24"/>
                <w:lang w:val="en-US" w:eastAsia="zh-CN"/>
                <w14:textFill>
                  <w14:solidFill>
                    <w14:schemeClr w14:val="tx1"/>
                  </w14:solidFill>
                </w14:textFill>
              </w:rPr>
              <w:t>GB50015-2019</w:t>
            </w:r>
            <w:r>
              <w:rPr>
                <w:rFonts w:hint="eastAsia"/>
                <w:b w:val="0"/>
                <w:bCs w:val="0"/>
                <w:color w:val="000000" w:themeColor="text1"/>
                <w:sz w:val="24"/>
                <w:lang w:eastAsia="zh-CN"/>
                <w14:textFill>
                  <w14:solidFill>
                    <w14:schemeClr w14:val="tx1"/>
                  </w14:solidFill>
                </w14:textFill>
              </w:rPr>
              <w:t>）</w:t>
            </w:r>
            <w:r>
              <w:rPr>
                <w:rFonts w:hint="eastAsia"/>
                <w:b w:val="0"/>
                <w:bCs w:val="0"/>
                <w:color w:val="000000" w:themeColor="text1"/>
                <w:sz w:val="24"/>
                <w14:textFill>
                  <w14:solidFill>
                    <w14:schemeClr w14:val="tx1"/>
                  </w14:solidFill>
                </w14:textFill>
              </w:rPr>
              <w:t>，化粪池污泥产生量为</w:t>
            </w:r>
            <w:r>
              <w:rPr>
                <w:rFonts w:hint="eastAsia"/>
                <w:b w:val="0"/>
                <w:bCs w:val="0"/>
                <w:color w:val="000000" w:themeColor="text1"/>
                <w:sz w:val="24"/>
                <w:lang w:val="en-US" w:eastAsia="zh-CN"/>
                <w14:textFill>
                  <w14:solidFill>
                    <w14:schemeClr w14:val="tx1"/>
                  </w14:solidFill>
                </w14:textFill>
              </w:rPr>
              <w:t>0.72</w:t>
            </w:r>
            <w:r>
              <w:rPr>
                <w:rFonts w:hint="eastAsia"/>
                <w:b w:val="0"/>
                <w:bCs w:val="0"/>
                <w:color w:val="000000" w:themeColor="text1"/>
                <w:sz w:val="24"/>
                <w14:textFill>
                  <w14:solidFill>
                    <w14:schemeClr w14:val="tx1"/>
                  </w14:solidFill>
                </w14:textFill>
              </w:rPr>
              <w:t>t/a，</w:t>
            </w:r>
            <w:r>
              <w:rPr>
                <w:rFonts w:hint="eastAsia"/>
                <w:b w:val="0"/>
                <w:bCs w:val="0"/>
                <w:color w:val="000000" w:themeColor="text1"/>
                <w:sz w:val="24"/>
                <w:lang w:eastAsia="zh-CN"/>
                <w14:textFill>
                  <w14:solidFill>
                    <w14:schemeClr w14:val="tx1"/>
                  </w14:solidFill>
                </w14:textFill>
              </w:rPr>
              <w:t>定期委托环卫部门清掏处置</w:t>
            </w:r>
            <w:r>
              <w:rPr>
                <w:rFonts w:hint="eastAsia"/>
                <w:b w:val="0"/>
                <w:bCs w:val="0"/>
                <w:color w:val="000000" w:themeColor="text1"/>
                <w:sz w:val="24"/>
                <w14:textFill>
                  <w14:solidFill>
                    <w14:schemeClr w14:val="tx1"/>
                  </w14:solidFill>
                </w14:textFill>
              </w:rPr>
              <w:t>。</w:t>
            </w:r>
          </w:p>
          <w:p w14:paraId="5011F496">
            <w:pPr>
              <w:widowControl/>
              <w:spacing w:line="360" w:lineRule="auto"/>
              <w:ind w:firstLine="480" w:firstLineChars="200"/>
              <w:jc w:val="left"/>
              <w:rPr>
                <w:rFonts w:hint="eastAsia" w:cs="Times New Roman"/>
                <w:b w:val="0"/>
                <w:bCs w:val="0"/>
                <w:color w:val="000000" w:themeColor="text1"/>
                <w:sz w:val="24"/>
                <w:lang w:eastAsia="zh-CN"/>
                <w14:textFill>
                  <w14:solidFill>
                    <w14:schemeClr w14:val="tx1"/>
                  </w14:solidFill>
                </w14:textFill>
              </w:rPr>
            </w:pPr>
            <w:r>
              <w:rPr>
                <w:rFonts w:hint="eastAsia" w:cs="Times New Roman"/>
                <w:b w:val="0"/>
                <w:bCs w:val="0"/>
                <w:color w:val="000000" w:themeColor="text1"/>
                <w:sz w:val="24"/>
                <w:lang w:eastAsia="zh-CN"/>
                <w14:textFill>
                  <w14:solidFill>
                    <w14:schemeClr w14:val="tx1"/>
                  </w14:solidFill>
                </w14:textFill>
              </w:rPr>
              <w:t>本项目新增</w:t>
            </w:r>
            <w:r>
              <w:rPr>
                <w:rFonts w:hint="eastAsia" w:cs="Times New Roman"/>
                <w:b w:val="0"/>
                <w:bCs w:val="0"/>
                <w:color w:val="000000" w:themeColor="text1"/>
                <w:sz w:val="24"/>
                <w:lang w:val="en-US" w:eastAsia="zh-CN"/>
                <w14:textFill>
                  <w14:solidFill>
                    <w14:schemeClr w14:val="tx1"/>
                  </w14:solidFill>
                </w14:textFill>
              </w:rPr>
              <w:t>1个一体化污水处理设施，</w:t>
            </w:r>
            <w:r>
              <w:rPr>
                <w:rFonts w:hint="default" w:ascii="Times New Roman" w:hAnsi="Times New Roman" w:cs="Times New Roman"/>
                <w:b w:val="0"/>
                <w:bCs w:val="0"/>
                <w:color w:val="000000" w:themeColor="text1"/>
                <w:sz w:val="24"/>
                <w14:textFill>
                  <w14:solidFill>
                    <w14:schemeClr w14:val="tx1"/>
                  </w14:solidFill>
                </w14:textFill>
              </w:rPr>
              <w:t>根据相关资料，</w:t>
            </w:r>
            <w:r>
              <w:rPr>
                <w:rFonts w:hint="eastAsia" w:cs="Times New Roman"/>
                <w:b w:val="0"/>
                <w:bCs w:val="0"/>
                <w:color w:val="000000" w:themeColor="text1"/>
                <w:sz w:val="24"/>
                <w:lang w:val="en-US" w:eastAsia="zh-CN"/>
                <w14:textFill>
                  <w14:solidFill>
                    <w14:schemeClr w14:val="tx1"/>
                  </w14:solidFill>
                </w14:textFill>
              </w:rPr>
              <w:t>一体化污水处理设施</w:t>
            </w:r>
            <w:r>
              <w:rPr>
                <w:rFonts w:hint="default" w:ascii="Times New Roman" w:hAnsi="Times New Roman" w:cs="Times New Roman"/>
                <w:b w:val="0"/>
                <w:bCs w:val="0"/>
                <w:color w:val="000000" w:themeColor="text1"/>
                <w:sz w:val="24"/>
                <w14:textFill>
                  <w14:solidFill>
                    <w14:schemeClr w14:val="tx1"/>
                  </w14:solidFill>
                </w14:textFill>
              </w:rPr>
              <w:t>污泥产生量约为15g/（L·d），本项目处理水量为0.</w:t>
            </w:r>
            <w:r>
              <w:rPr>
                <w:rFonts w:hint="eastAsia" w:cs="Times New Roman"/>
                <w:b w:val="0"/>
                <w:bCs w:val="0"/>
                <w:color w:val="000000" w:themeColor="text1"/>
                <w:sz w:val="24"/>
                <w:lang w:val="en-US" w:eastAsia="zh-CN"/>
                <w14:textFill>
                  <w14:solidFill>
                    <w14:schemeClr w14:val="tx1"/>
                  </w14:solidFill>
                </w14:textFill>
              </w:rPr>
              <w:t>624</w:t>
            </w:r>
            <w:r>
              <w:rPr>
                <w:rFonts w:hint="default" w:ascii="Times New Roman" w:hAnsi="Times New Roman" w:cs="Times New Roman"/>
                <w:b w:val="0"/>
                <w:bCs w:val="0"/>
                <w:color w:val="000000" w:themeColor="text1"/>
                <w:sz w:val="24"/>
                <w14:textFill>
                  <w14:solidFill>
                    <w14:schemeClr w14:val="tx1"/>
                  </w14:solidFill>
                </w14:textFill>
              </w:rPr>
              <w:t>m</w:t>
            </w:r>
            <w:r>
              <w:rPr>
                <w:rFonts w:hint="default" w:ascii="Times New Roman" w:hAnsi="Times New Roman" w:cs="Times New Roman"/>
                <w:b w:val="0"/>
                <w:bCs w:val="0"/>
                <w:color w:val="000000" w:themeColor="text1"/>
                <w:sz w:val="24"/>
                <w:vertAlign w:val="superscript"/>
                <w14:textFill>
                  <w14:solidFill>
                    <w14:schemeClr w14:val="tx1"/>
                  </w14:solidFill>
                </w14:textFill>
              </w:rPr>
              <w:t>3</w:t>
            </w:r>
            <w:r>
              <w:rPr>
                <w:rFonts w:hint="default" w:ascii="Times New Roman" w:hAnsi="Times New Roman" w:cs="Times New Roman"/>
                <w:b w:val="0"/>
                <w:bCs w:val="0"/>
                <w:color w:val="000000" w:themeColor="text1"/>
                <w:sz w:val="24"/>
                <w14:textFill>
                  <w14:solidFill>
                    <w14:schemeClr w14:val="tx1"/>
                  </w14:solidFill>
                </w14:textFill>
              </w:rPr>
              <w:t>/d，则污泥产生量为0.00</w:t>
            </w:r>
            <w:r>
              <w:rPr>
                <w:rFonts w:hint="eastAsia" w:cs="Times New Roman"/>
                <w:b w:val="0"/>
                <w:bCs w:val="0"/>
                <w:color w:val="000000" w:themeColor="text1"/>
                <w:sz w:val="24"/>
                <w:lang w:val="en-US" w:eastAsia="zh-CN"/>
                <w14:textFill>
                  <w14:solidFill>
                    <w14:schemeClr w14:val="tx1"/>
                  </w14:solidFill>
                </w14:textFill>
              </w:rPr>
              <w:t>936</w:t>
            </w:r>
            <w:r>
              <w:rPr>
                <w:rFonts w:hint="default" w:ascii="Times New Roman" w:hAnsi="Times New Roman" w:cs="Times New Roman"/>
                <w:b w:val="0"/>
                <w:bCs w:val="0"/>
                <w:color w:val="000000" w:themeColor="text1"/>
                <w:sz w:val="24"/>
                <w14:textFill>
                  <w14:solidFill>
                    <w14:schemeClr w14:val="tx1"/>
                  </w14:solidFill>
                </w14:textFill>
              </w:rPr>
              <w:t>t/</w:t>
            </w:r>
            <w:r>
              <w:rPr>
                <w:rFonts w:hint="eastAsia" w:cs="Times New Roman"/>
                <w:b w:val="0"/>
                <w:bCs w:val="0"/>
                <w:color w:val="000000" w:themeColor="text1"/>
                <w:sz w:val="24"/>
                <w:lang w:val="en-US" w:eastAsia="zh-CN"/>
                <w14:textFill>
                  <w14:solidFill>
                    <w14:schemeClr w14:val="tx1"/>
                  </w14:solidFill>
                </w14:textFill>
              </w:rPr>
              <w:t>d</w:t>
            </w:r>
            <w:r>
              <w:rPr>
                <w:rFonts w:hint="default" w:ascii="Times New Roman" w:hAnsi="Times New Roman" w:cs="Times New Roman"/>
                <w:b w:val="0"/>
                <w:bCs w:val="0"/>
                <w:color w:val="000000" w:themeColor="text1"/>
                <w:sz w:val="24"/>
                <w14:textFill>
                  <w14:solidFill>
                    <w14:schemeClr w14:val="tx1"/>
                  </w14:solidFill>
                </w14:textFill>
              </w:rPr>
              <w:t>，即2.808t/a</w:t>
            </w:r>
            <w:r>
              <w:rPr>
                <w:rFonts w:hint="eastAsia" w:cs="Times New Roman"/>
                <w:b w:val="0"/>
                <w:bCs w:val="0"/>
                <w:color w:val="000000" w:themeColor="text1"/>
                <w:sz w:val="24"/>
                <w:lang w:eastAsia="zh-CN"/>
                <w14:textFill>
                  <w14:solidFill>
                    <w14:schemeClr w14:val="tx1"/>
                  </w14:solidFill>
                </w14:textFill>
              </w:rPr>
              <w:t>。</w:t>
            </w:r>
          </w:p>
          <w:p w14:paraId="647FE694">
            <w:pPr>
              <w:widowControl/>
              <w:spacing w:line="360" w:lineRule="auto"/>
              <w:ind w:firstLine="480" w:firstLineChars="200"/>
              <w:jc w:val="left"/>
              <w:rPr>
                <w:rFonts w:hint="default" w:ascii="Times New Roman" w:hAnsi="Times New Roman"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根据《固体废物分类与代码目录》（2024），属于</w:t>
            </w:r>
            <w:r>
              <w:rPr>
                <w:rFonts w:hint="eastAsia"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SW</w:t>
            </w:r>
            <w:r>
              <w:rPr>
                <w:rFonts w:hint="default" w:ascii="Times New Roman" w:hAnsi="Times New Roman" w:cs="Times New Roman"/>
                <w:b w:val="0"/>
                <w:bCs w:val="0"/>
                <w:color w:val="000000" w:themeColor="text1"/>
                <w:sz w:val="24"/>
                <w:lang w:val="en-US" w:eastAsia="zh-CN"/>
                <w14:textFill>
                  <w14:solidFill>
                    <w14:schemeClr w14:val="tx1"/>
                  </w14:solidFill>
                </w14:textFill>
              </w:rPr>
              <w:t>90城镇污水污泥</w:t>
            </w:r>
            <w:r>
              <w:rPr>
                <w:rFonts w:hint="eastAsia" w:cs="Times New Roman"/>
                <w:b w:val="0"/>
                <w:bCs w:val="0"/>
                <w:color w:val="000000" w:themeColor="text1"/>
                <w:sz w:val="24"/>
                <w:lang w:val="en-US" w:eastAsia="zh-CN"/>
                <w14:textFill>
                  <w14:solidFill>
                    <w14:schemeClr w14:val="tx1"/>
                  </w14:solidFill>
                </w14:textFill>
              </w:rPr>
              <w:t>”</w:t>
            </w:r>
            <w:r>
              <w:rPr>
                <w:rFonts w:hint="default" w:ascii="Times New Roman" w:hAnsi="Times New Roman" w:cs="Times New Roman"/>
                <w:b w:val="0"/>
                <w:bCs w:val="0"/>
                <w:color w:val="000000" w:themeColor="text1"/>
                <w:sz w:val="24"/>
                <w:lang w:val="en-US" w:eastAsia="zh-CN"/>
                <w14:textFill>
                  <w14:solidFill>
                    <w14:schemeClr w14:val="tx1"/>
                  </w14:solidFill>
                </w14:textFill>
              </w:rPr>
              <w:t>，废物代码：462-001-S90。</w:t>
            </w:r>
            <w:r>
              <w:rPr>
                <w:rFonts w:hint="default" w:ascii="Times New Roman" w:hAnsi="Times New Roman" w:cs="Times New Roman"/>
                <w:b w:val="0"/>
                <w:bCs w:val="0"/>
                <w:color w:val="000000" w:themeColor="text1"/>
                <w:sz w:val="24"/>
                <w14:textFill>
                  <w14:solidFill>
                    <w14:schemeClr w14:val="tx1"/>
                  </w14:solidFill>
                </w14:textFill>
              </w:rPr>
              <w:t>污泥委托环卫部门清运处置。</w:t>
            </w:r>
          </w:p>
          <w:p w14:paraId="764C6BAA">
            <w:pPr>
              <w:pStyle w:val="13"/>
              <w:spacing w:line="360" w:lineRule="auto"/>
              <w:ind w:firstLine="482" w:firstLineChars="200"/>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2）一般工业固废</w:t>
            </w:r>
          </w:p>
          <w:p w14:paraId="61D73BE4">
            <w:pPr>
              <w:pStyle w:val="13"/>
              <w:spacing w:line="360" w:lineRule="auto"/>
              <w:ind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①</w:t>
            </w:r>
            <w:r>
              <w:rPr>
                <w:rFonts w:hint="default" w:ascii="Times New Roman" w:hAnsi="Times New Roman" w:eastAsia="宋体" w:cs="Times New Roman"/>
                <w:b/>
                <w:bCs/>
                <w:color w:val="000000" w:themeColor="text1"/>
                <w:sz w:val="24"/>
                <w:lang w:val="en-US" w:eastAsia="zh-CN"/>
                <w14:textFill>
                  <w14:solidFill>
                    <w14:schemeClr w14:val="tx1"/>
                  </w14:solidFill>
                </w14:textFill>
              </w:rPr>
              <w:t>废弃包装物</w:t>
            </w:r>
            <w:r>
              <w:rPr>
                <w:rFonts w:hint="eastAsia" w:cs="Times New Roman"/>
                <w:b/>
                <w:bCs/>
                <w:color w:val="000000" w:themeColor="text1"/>
                <w:sz w:val="24"/>
                <w:lang w:val="en-US" w:eastAsia="zh-CN"/>
                <w14:textFill>
                  <w14:solidFill>
                    <w14:schemeClr w14:val="tx1"/>
                  </w14:solidFill>
                </w14:textFill>
              </w:rPr>
              <w:t>、</w:t>
            </w:r>
            <w:r>
              <w:rPr>
                <w:rFonts w:hint="eastAsia" w:cs="Times New Roman" w:eastAsiaTheme="minorEastAsia"/>
                <w:b/>
                <w:bCs/>
                <w:color w:val="000000" w:themeColor="text1"/>
                <w:kern w:val="2"/>
                <w:sz w:val="24"/>
                <w:szCs w:val="24"/>
                <w:lang w:val="en-US" w:eastAsia="zh-CN" w:bidi="ar-SA"/>
                <w14:textFill>
                  <w14:solidFill>
                    <w14:schemeClr w14:val="tx1"/>
                  </w14:solidFill>
                </w14:textFill>
              </w:rPr>
              <w:t>不合格品</w:t>
            </w:r>
          </w:p>
          <w:p w14:paraId="7C1A3CFF">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本项目的建设不涉及现有生产线的生产工艺、产品方案、生产规模等变动。故不涉及废弃包装物、不合格品产生量变动，与现有工程产生量一致。</w:t>
            </w:r>
          </w:p>
          <w:p w14:paraId="7FF810D0">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eastAsia" w:cs="Times New Roman" w:eastAsiaTheme="minorEastAsia"/>
                <w:b w:val="0"/>
                <w:bCs w:val="0"/>
                <w:color w:val="000000" w:themeColor="text1"/>
                <w:kern w:val="2"/>
                <w:sz w:val="24"/>
                <w:szCs w:val="24"/>
                <w:lang w:val="en-US" w:eastAsia="zh-CN" w:bidi="ar-SA"/>
                <w14:textFill>
                  <w14:solidFill>
                    <w14:schemeClr w14:val="tx1"/>
                  </w14:solidFill>
                </w14:textFill>
              </w:rPr>
              <w:t>根据工程分析，</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项目废包装物产生量为0.8t/a，</w:t>
            </w:r>
            <w:r>
              <w:rPr>
                <w:rFonts w:hint="eastAsia" w:cs="Times New Roman" w:eastAsiaTheme="minorEastAsia"/>
                <w:b w:val="0"/>
                <w:bCs w:val="0"/>
                <w:color w:val="000000" w:themeColor="text1"/>
                <w:kern w:val="2"/>
                <w:sz w:val="24"/>
                <w:szCs w:val="24"/>
                <w:lang w:val="en-US" w:eastAsia="zh-CN" w:bidi="ar-SA"/>
                <w14:textFill>
                  <w14:solidFill>
                    <w14:schemeClr w14:val="tx1"/>
                  </w14:solidFill>
                </w14:textFill>
              </w:rPr>
              <w:t>不合格品产生量约为0.75t/a，废弃包装物、不合格品</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统一收集后</w:t>
            </w:r>
            <w:r>
              <w:rPr>
                <w:rFonts w:hint="eastAsia" w:cs="Times New Roman" w:eastAsiaTheme="minorEastAsia"/>
                <w:b w:val="0"/>
                <w:bCs w:val="0"/>
                <w:color w:val="000000" w:themeColor="text1"/>
                <w:kern w:val="2"/>
                <w:sz w:val="24"/>
                <w:szCs w:val="24"/>
                <w:lang w:val="en-US" w:eastAsia="zh-CN" w:bidi="ar-SA"/>
                <w14:textFill>
                  <w14:solidFill>
                    <w14:schemeClr w14:val="tx1"/>
                  </w14:solidFill>
                </w14:textFill>
              </w:rPr>
              <w:t>暂存于一般固废区，定期</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外售</w:t>
            </w:r>
            <w:r>
              <w:rPr>
                <w:rFonts w:hint="eastAsia" w:cs="Times New Roman" w:eastAsiaTheme="minorEastAsia"/>
                <w:b w:val="0"/>
                <w:bCs w:val="0"/>
                <w:color w:val="000000" w:themeColor="text1"/>
                <w:kern w:val="2"/>
                <w:sz w:val="24"/>
                <w:szCs w:val="24"/>
                <w:lang w:val="en-US" w:eastAsia="zh-CN" w:bidi="ar-SA"/>
                <w14:textFill>
                  <w14:solidFill>
                    <w14:schemeClr w14:val="tx1"/>
                  </w14:solidFill>
                </w14:textFill>
              </w:rPr>
              <w:t>废品回收站</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处置。</w:t>
            </w:r>
          </w:p>
          <w:p w14:paraId="6754B7B6">
            <w:pPr>
              <w:keepNext w:val="0"/>
              <w:keepLines w:val="0"/>
              <w:pageBreakBefore w:val="0"/>
              <w:widowControl w:val="0"/>
              <w:kinsoku w:val="0"/>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根据《固体废物分类与代码目录》（2024），本</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项目废弃包装物</w:t>
            </w:r>
            <w:r>
              <w:rPr>
                <w:rFonts w:hint="eastAsia" w:cs="Times New Roman"/>
                <w:b w:val="0"/>
                <w:bCs w:val="0"/>
                <w:color w:val="000000" w:themeColor="text1"/>
                <w:sz w:val="24"/>
                <w:lang w:val="en-US" w:eastAsia="zh-CN"/>
                <w14:textFill>
                  <w14:solidFill>
                    <w14:schemeClr w14:val="tx1"/>
                  </w14:solidFill>
                </w14:textFill>
              </w:rPr>
              <w:t>、</w:t>
            </w:r>
            <w:r>
              <w:rPr>
                <w:rFonts w:hint="eastAsia" w:cs="Times New Roman" w:eastAsiaTheme="minorEastAsia"/>
                <w:b w:val="0"/>
                <w:bCs w:val="0"/>
                <w:color w:val="000000" w:themeColor="text1"/>
                <w:kern w:val="2"/>
                <w:sz w:val="24"/>
                <w:szCs w:val="24"/>
                <w:lang w:val="en-US" w:eastAsia="zh-CN" w:bidi="ar-SA"/>
                <w14:textFill>
                  <w14:solidFill>
                    <w14:schemeClr w14:val="tx1"/>
                  </w14:solidFill>
                </w14:textFill>
              </w:rPr>
              <w:t>不合格品</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为SW59其他工业固体废物中的其他固体废物，固废代</w:t>
            </w:r>
            <w:r>
              <w:rPr>
                <w:rFonts w:hint="default" w:ascii="Times New Roman" w:hAnsi="Times New Roman" w:eastAsia="宋体" w:cs="Times New Roman"/>
                <w:color w:val="000000" w:themeColor="text1"/>
                <w:sz w:val="24"/>
                <w:lang w:val="en-US" w:eastAsia="zh-CN"/>
                <w14:textFill>
                  <w14:solidFill>
                    <w14:schemeClr w14:val="tx1"/>
                  </w14:solidFill>
                </w14:textFill>
              </w:rPr>
              <w:t>码为 900-099-S59。</w:t>
            </w:r>
          </w:p>
          <w:p w14:paraId="4AB35B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②</w:t>
            </w:r>
            <w:r>
              <w:rPr>
                <w:rFonts w:hint="eastAsia" w:cs="Times New Roman" w:eastAsiaTheme="minorEastAsia"/>
                <w:b/>
                <w:bCs/>
                <w:color w:val="000000" w:themeColor="text1"/>
                <w:kern w:val="2"/>
                <w:sz w:val="24"/>
                <w:szCs w:val="24"/>
                <w:lang w:val="en-US" w:eastAsia="zh-CN" w:bidi="ar-SA"/>
                <w14:textFill>
                  <w14:solidFill>
                    <w14:schemeClr w14:val="tx1"/>
                  </w14:solidFill>
                </w14:textFill>
              </w:rPr>
              <w:t>锅炉</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炉渣</w:t>
            </w:r>
          </w:p>
          <w:p w14:paraId="73158455">
            <w:pPr>
              <w:pStyle w:val="51"/>
              <w:keepNext w:val="0"/>
              <w:keepLines w:val="0"/>
              <w:pageBreakBefore w:val="0"/>
              <w:widowControl w:val="0"/>
              <w:kinsoku/>
              <w:wordWrap/>
              <w:overflowPunct/>
              <w:topLinePunct w:val="0"/>
              <w:bidi w:val="0"/>
              <w:adjustRightInd/>
              <w:snapToGrid/>
              <w:ind w:leftChars="0" w:firstLine="480" w:firstLineChars="200"/>
              <w:textAlignment w:val="auto"/>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pPr>
            <w:r>
              <w:rPr>
                <w:rFonts w:hint="eastAsia" w:cs="Times New Roman" w:eastAsiaTheme="minorEastAsia"/>
                <w:b w:val="0"/>
                <w:bCs w:val="0"/>
                <w:color w:val="000000" w:themeColor="text1"/>
                <w:sz w:val="24"/>
                <w:szCs w:val="24"/>
                <w:lang w:eastAsia="zh-CN"/>
                <w14:textFill>
                  <w14:solidFill>
                    <w14:schemeClr w14:val="tx1"/>
                  </w14:solidFill>
                </w14:textFill>
              </w:rPr>
              <w:t>生物质锅炉</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炉渣的产生量参照《排放源统计调查产排污核算方法和系数手册》（公告2021年第24号）中《锅炉产排污量核算系数手册》4430工业锅炉（热力生产和供应行业）产排污系数表-工业固体废物中燃煤锅炉的产排污系数进行计算</w:t>
            </w:r>
            <w:r>
              <w:rPr>
                <w:rFonts w:hint="default" w:ascii="Times New Roman" w:hAnsi="Times New Roman" w:cs="Times New Roman" w:eastAsiaTheme="minorEastAsia"/>
                <w:b w:val="0"/>
                <w:bCs w:val="0"/>
                <w:color w:val="000000" w:themeColor="text1"/>
                <w:spacing w:val="6"/>
                <w:sz w:val="24"/>
                <w:szCs w:val="24"/>
                <w14:textFill>
                  <w14:solidFill>
                    <w14:schemeClr w14:val="tx1"/>
                  </w14:solidFill>
                </w14:textFill>
              </w:rPr>
              <w:t>，层燃</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炉渣产生量为9.24Akg/t燃料（A为灰分含量，项目使用的生物质燃料灰分为</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1.04</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%），本项目生物质燃料</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使</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用量为</w:t>
            </w:r>
            <w:r>
              <w:rPr>
                <w:rFonts w:hint="eastAsia" w:ascii="Times New Roman" w:hAnsi="Times New Roman" w:eastAsia="宋体" w:cs="Times New Roman"/>
                <w:b w:val="0"/>
                <w:bCs w:val="0"/>
                <w:color w:val="000000" w:themeColor="text1"/>
                <w:sz w:val="24"/>
                <w:shd w:val="clear" w:color="auto" w:fill="FFFFFF"/>
                <w:lang w:val="en-US" w:eastAsia="zh-CN"/>
                <w14:textFill>
                  <w14:solidFill>
                    <w14:schemeClr w14:val="tx1"/>
                  </w14:solidFill>
                </w14:textFill>
              </w:rPr>
              <w:t>871.435</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t/a，则项目炉渣产生量为</w:t>
            </w:r>
            <w:r>
              <w:rPr>
                <w:rFonts w:hint="eastAsia" w:cs="Times New Roman" w:eastAsiaTheme="minorEastAsia"/>
                <w:b w:val="0"/>
                <w:bCs w:val="0"/>
                <w:color w:val="000000" w:themeColor="text1"/>
                <w:sz w:val="24"/>
                <w:szCs w:val="24"/>
                <w:lang w:val="en-US" w:eastAsia="zh-CN"/>
                <w14:textFill>
                  <w14:solidFill>
                    <w14:schemeClr w14:val="tx1"/>
                  </w14:solidFill>
                </w14:textFill>
              </w:rPr>
              <w:t>8.374</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t/a，产生的</w:t>
            </w:r>
            <w:r>
              <w:rPr>
                <w:rFonts w:hint="eastAsia" w:cs="Times New Roman" w:eastAsiaTheme="minorEastAsia"/>
                <w:b w:val="0"/>
                <w:bCs w:val="0"/>
                <w:color w:val="000000" w:themeColor="text1"/>
                <w:sz w:val="24"/>
                <w:szCs w:val="24"/>
                <w:lang w:eastAsia="zh-CN"/>
                <w14:textFill>
                  <w14:solidFill>
                    <w14:schemeClr w14:val="tx1"/>
                  </w14:solidFill>
                </w14:textFill>
              </w:rPr>
              <w:t>生物质锅炉</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炉渣统一收集袋装后暂存于</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堆渣棚</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内，</w:t>
            </w:r>
            <w:r>
              <w:rPr>
                <w:rFonts w:hint="eastAsia" w:cs="Times New Roman" w:eastAsiaTheme="minorEastAsia"/>
                <w:b w:val="0"/>
                <w:bCs w:val="0"/>
                <w:color w:val="000000" w:themeColor="text1"/>
                <w:sz w:val="24"/>
                <w:szCs w:val="24"/>
                <w:lang w:eastAsia="zh-CN"/>
                <w14:textFill>
                  <w14:solidFill>
                    <w14:schemeClr w14:val="tx1"/>
                  </w14:solidFill>
                </w14:textFill>
              </w:rPr>
              <w:t>作为原料外售其他企业进行综合利用</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w:t>
            </w:r>
          </w:p>
          <w:p w14:paraId="1211F7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项目生物质燃料不添加任何化学物质，燃烧后的生物质渣与秸秆、木材等焚烧的草木灰性质成分类似，主要成分为钾、镁、磷和钙等无机物，不具有毒性与环境危害</w:t>
            </w:r>
            <w:r>
              <w:rPr>
                <w:rFonts w:hint="default" w:ascii="Times New Roman" w:hAnsi="Times New Roman" w:cs="Times New Roman"/>
                <w:color w:val="000000" w:themeColor="text1"/>
                <w:sz w:val="24"/>
                <w14:textFill>
                  <w14:solidFill>
                    <w14:schemeClr w14:val="tx1"/>
                  </w14:solidFill>
                </w14:textFill>
              </w:rPr>
              <w:t>，为</w:t>
            </w:r>
            <w:r>
              <w:rPr>
                <w:rFonts w:hint="default" w:ascii="Times New Roman" w:hAnsi="Times New Roman" w:eastAsia="宋体" w:cs="Times New Roman"/>
                <w:color w:val="000000" w:themeColor="text1"/>
                <w:sz w:val="24"/>
                <w:lang w:val="en-US" w:eastAsia="zh-CN"/>
                <w14:textFill>
                  <w14:solidFill>
                    <w14:schemeClr w14:val="tx1"/>
                  </w14:solidFill>
                </w14:textFill>
              </w:rPr>
              <w:t>一般工业固废。根据《固体废物分类与代码目录》（2024），本项目</w:t>
            </w:r>
            <w:r>
              <w:rPr>
                <w:rFonts w:hint="eastAsia" w:cs="Times New Roman"/>
                <w:color w:val="000000" w:themeColor="text1"/>
                <w:sz w:val="24"/>
                <w:lang w:val="en-US" w:eastAsia="zh-CN"/>
                <w14:textFill>
                  <w14:solidFill>
                    <w14:schemeClr w14:val="tx1"/>
                  </w14:solidFill>
                </w14:textFill>
              </w:rPr>
              <w:t>锅炉炉渣</w:t>
            </w:r>
            <w:r>
              <w:rPr>
                <w:rFonts w:hint="default" w:ascii="Times New Roman" w:hAnsi="Times New Roman" w:eastAsia="宋体" w:cs="Times New Roman"/>
                <w:color w:val="000000" w:themeColor="text1"/>
                <w:sz w:val="24"/>
                <w:lang w:val="en-US" w:eastAsia="zh-CN"/>
                <w14:textFill>
                  <w14:solidFill>
                    <w14:schemeClr w14:val="tx1"/>
                  </w14:solidFill>
                </w14:textFill>
              </w:rPr>
              <w:t>为SW</w:t>
            </w:r>
            <w:r>
              <w:rPr>
                <w:rFonts w:hint="default" w:ascii="Times New Roman" w:hAnsi="Times New Roman" w:cs="Times New Roman"/>
                <w:color w:val="000000" w:themeColor="text1"/>
                <w:sz w:val="24"/>
                <w:lang w:val="en-US" w:eastAsia="zh-CN"/>
                <w14:textFill>
                  <w14:solidFill>
                    <w14:schemeClr w14:val="tx1"/>
                  </w14:solidFill>
                </w14:textFill>
              </w:rPr>
              <w:t>03炉渣</w:t>
            </w:r>
            <w:r>
              <w:rPr>
                <w:rFonts w:hint="default" w:ascii="Times New Roman" w:hAnsi="Times New Roman" w:eastAsia="宋体" w:cs="Times New Roman"/>
                <w:color w:val="000000" w:themeColor="text1"/>
                <w:sz w:val="24"/>
                <w:lang w:val="en-US" w:eastAsia="zh-CN"/>
                <w14:textFill>
                  <w14:solidFill>
                    <w14:schemeClr w14:val="tx1"/>
                  </w14:solidFill>
                </w14:textFill>
              </w:rPr>
              <w:t>，固废代码为 900-099-S</w:t>
            </w:r>
            <w:r>
              <w:rPr>
                <w:rFonts w:hint="default" w:ascii="Times New Roman" w:hAnsi="Times New Roman" w:cs="Times New Roman"/>
                <w:color w:val="000000" w:themeColor="text1"/>
                <w:sz w:val="24"/>
                <w:lang w:val="en-US" w:eastAsia="zh-CN"/>
                <w14:textFill>
                  <w14:solidFill>
                    <w14:schemeClr w14:val="tx1"/>
                  </w14:solidFill>
                </w14:textFill>
              </w:rPr>
              <w:t>03</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0A2935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③</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除尘器</w:t>
            </w:r>
            <w:r>
              <w:rPr>
                <w:rFonts w:hint="eastAsia" w:cs="Times New Roman" w:eastAsiaTheme="minorEastAsia"/>
                <w:b/>
                <w:bCs/>
                <w:color w:val="000000" w:themeColor="text1"/>
                <w:kern w:val="2"/>
                <w:sz w:val="24"/>
                <w:szCs w:val="24"/>
                <w:lang w:val="en-US" w:eastAsia="zh-CN" w:bidi="ar-SA"/>
                <w14:textFill>
                  <w14:solidFill>
                    <w14:schemeClr w14:val="tx1"/>
                  </w14:solidFill>
                </w14:textFill>
              </w:rPr>
              <w:t>收集的</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除尘灰</w:t>
            </w:r>
          </w:p>
          <w:p w14:paraId="6A082F12">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根据工程分析可知，本项目除尘器收集的除尘灰</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约</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为</w:t>
            </w:r>
            <w:r>
              <w:rPr>
                <w:rFonts w:hint="eastAsia" w:cs="Times New Roman" w:eastAsiaTheme="minorEastAsia"/>
                <w:b w:val="0"/>
                <w:bCs w:val="0"/>
                <w:color w:val="000000" w:themeColor="text1"/>
                <w:sz w:val="24"/>
                <w:szCs w:val="24"/>
                <w:lang w:val="en-US" w:eastAsia="zh-CN"/>
                <w14:textFill>
                  <w14:solidFill>
                    <w14:schemeClr w14:val="tx1"/>
                  </w14:solidFill>
                </w14:textFill>
              </w:rPr>
              <w:t>4.8921</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t/a</w:t>
            </w:r>
            <w:r>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除尘灰定期清理袋装后暂存于</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堆渣棚</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内，与炉渣共同</w:t>
            </w:r>
            <w:r>
              <w:rPr>
                <w:rFonts w:hint="eastAsia" w:cs="Times New Roman" w:eastAsiaTheme="minorEastAsia"/>
                <w:b w:val="0"/>
                <w:bCs w:val="0"/>
                <w:color w:val="000000" w:themeColor="text1"/>
                <w:sz w:val="24"/>
                <w:szCs w:val="24"/>
                <w:lang w:eastAsia="zh-CN"/>
                <w14:textFill>
                  <w14:solidFill>
                    <w14:schemeClr w14:val="tx1"/>
                  </w14:solidFill>
                </w14:textFill>
              </w:rPr>
              <w:t>作为原料</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外售其他企业</w:t>
            </w:r>
            <w:r>
              <w:rPr>
                <w:rFonts w:hint="eastAsia" w:cs="Times New Roman" w:eastAsiaTheme="minorEastAsia"/>
                <w:b w:val="0"/>
                <w:bCs w:val="0"/>
                <w:color w:val="000000" w:themeColor="text1"/>
                <w:sz w:val="24"/>
                <w:szCs w:val="24"/>
                <w:lang w:eastAsia="zh-CN"/>
                <w14:textFill>
                  <w14:solidFill>
                    <w14:schemeClr w14:val="tx1"/>
                  </w14:solidFill>
                </w14:textFill>
              </w:rPr>
              <w:t>综合利用</w:t>
            </w:r>
            <w:r>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t>。</w:t>
            </w:r>
          </w:p>
          <w:p w14:paraId="70921A40">
            <w:pPr>
              <w:keepNext w:val="0"/>
              <w:keepLines w:val="0"/>
              <w:pageBreakBefore w:val="0"/>
              <w:widowControl w:val="0"/>
              <w:kinsoku w:val="0"/>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根据《固体废物分类与代码目录》（2024），本项目除尘灰为SW59其他工业固体废物中的其他固体废物，固废代码为 900-099-S59。</w:t>
            </w:r>
          </w:p>
          <w:p w14:paraId="4DF889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④</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废布袋</w:t>
            </w:r>
          </w:p>
          <w:p w14:paraId="4C2832BA">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inorEastAsia"/>
                <w:b w:val="0"/>
                <w:bCs w:val="0"/>
                <w:color w:val="000000" w:themeColor="text1"/>
                <w:spacing w:val="-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本项目废气治理设施更换的废布袋</w:t>
            </w:r>
            <w:r>
              <w:rPr>
                <w:rFonts w:hint="default" w:ascii="Times New Roman" w:hAnsi="Times New Roman" w:cs="Times New Roman" w:eastAsiaTheme="minorEastAsia"/>
                <w:b w:val="0"/>
                <w:bCs w:val="0"/>
                <w:color w:val="000000" w:themeColor="text1"/>
                <w:spacing w:val="-4"/>
                <w:sz w:val="24"/>
                <w:szCs w:val="24"/>
                <w14:textFill>
                  <w14:solidFill>
                    <w14:schemeClr w14:val="tx1"/>
                  </w14:solidFill>
                </w14:textFill>
              </w:rPr>
              <w:t>属于一般固体废物</w:t>
            </w:r>
            <w:r>
              <w:rPr>
                <w:rFonts w:hint="default" w:ascii="Times New Roman" w:hAnsi="Times New Roman" w:cs="Times New Roman" w:eastAsiaTheme="minorEastAsia"/>
                <w:b w:val="0"/>
                <w:bCs w:val="0"/>
                <w:color w:val="000000" w:themeColor="text1"/>
                <w:spacing w:val="-4"/>
                <w:sz w:val="24"/>
                <w:szCs w:val="24"/>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spacing w:val="-4"/>
                <w:sz w:val="24"/>
                <w:szCs w:val="24"/>
                <w14:textFill>
                  <w14:solidFill>
                    <w14:schemeClr w14:val="tx1"/>
                  </w14:solidFill>
                </w14:textFill>
              </w:rPr>
              <w:t>产</w:t>
            </w:r>
            <w:r>
              <w:rPr>
                <w:rFonts w:hint="default" w:ascii="Times New Roman" w:hAnsi="Times New Roman" w:cs="Times New Roman" w:eastAsiaTheme="minorEastAsia"/>
                <w:b w:val="0"/>
                <w:bCs w:val="0"/>
                <w:color w:val="000000" w:themeColor="text1"/>
                <w:spacing w:val="-1"/>
                <w:sz w:val="24"/>
                <w:szCs w:val="24"/>
                <w14:textFill>
                  <w14:solidFill>
                    <w14:schemeClr w14:val="tx1"/>
                  </w14:solidFill>
                </w14:textFill>
              </w:rPr>
              <w:t>生量约为</w:t>
            </w:r>
            <w:r>
              <w:rPr>
                <w:rFonts w:hint="default" w:ascii="Times New Roman" w:hAnsi="Times New Roman" w:cs="Times New Roman" w:eastAsiaTheme="minorEastAsia"/>
                <w:b w:val="0"/>
                <w:bCs w:val="0"/>
                <w:color w:val="000000" w:themeColor="text1"/>
                <w:spacing w:val="-35"/>
                <w:sz w:val="24"/>
                <w:szCs w:val="24"/>
                <w14:textFill>
                  <w14:solidFill>
                    <w14:schemeClr w14:val="tx1"/>
                  </w14:solidFill>
                </w14:textFill>
              </w:rPr>
              <w:t xml:space="preserve"> </w:t>
            </w:r>
            <w:r>
              <w:rPr>
                <w:rFonts w:hint="default" w:ascii="Times New Roman" w:hAnsi="Times New Roman" w:cs="Times New Roman" w:eastAsiaTheme="minorEastAsia"/>
                <w:b w:val="0"/>
                <w:bCs w:val="0"/>
                <w:color w:val="000000" w:themeColor="text1"/>
                <w:spacing w:val="-1"/>
                <w:sz w:val="24"/>
                <w:szCs w:val="24"/>
                <w14:textFill>
                  <w14:solidFill>
                    <w14:schemeClr w14:val="tx1"/>
                  </w14:solidFill>
                </w14:textFill>
              </w:rPr>
              <w:t>0.</w:t>
            </w:r>
            <w:r>
              <w:rPr>
                <w:rFonts w:hint="eastAsia" w:ascii="Times New Roman" w:hAnsi="Times New Roman" w:cs="Times New Roman" w:eastAsiaTheme="minorEastAsia"/>
                <w:b w:val="0"/>
                <w:bCs w:val="0"/>
                <w:color w:val="000000" w:themeColor="text1"/>
                <w:spacing w:val="-1"/>
                <w:sz w:val="24"/>
                <w:szCs w:val="24"/>
                <w:lang w:val="en-US" w:eastAsia="zh-CN"/>
                <w14:textFill>
                  <w14:solidFill>
                    <w14:schemeClr w14:val="tx1"/>
                  </w14:solidFill>
                </w14:textFill>
              </w:rPr>
              <w:t>05</w:t>
            </w:r>
            <w:r>
              <w:rPr>
                <w:rFonts w:hint="default" w:ascii="Times New Roman" w:hAnsi="Times New Roman" w:cs="Times New Roman" w:eastAsiaTheme="minorEastAsia"/>
                <w:b w:val="0"/>
                <w:bCs w:val="0"/>
                <w:color w:val="000000" w:themeColor="text1"/>
                <w:spacing w:val="-1"/>
                <w:sz w:val="24"/>
                <w:szCs w:val="24"/>
                <w14:textFill>
                  <w14:solidFill>
                    <w14:schemeClr w14:val="tx1"/>
                  </w14:solidFill>
                </w14:textFill>
              </w:rPr>
              <w:t>t/a</w:t>
            </w:r>
            <w:r>
              <w:rPr>
                <w:rFonts w:hint="default" w:ascii="Times New Roman" w:hAnsi="Times New Roman" w:cs="Times New Roman" w:eastAsiaTheme="minorEastAsia"/>
                <w:b w:val="0"/>
                <w:bCs w:val="0"/>
                <w:color w:val="000000" w:themeColor="text1"/>
                <w:spacing w:val="-32"/>
                <w:sz w:val="24"/>
                <w:szCs w:val="24"/>
                <w14:textFill>
                  <w14:solidFill>
                    <w14:schemeClr w14:val="tx1"/>
                  </w14:solidFill>
                </w14:textFill>
              </w:rPr>
              <w:t xml:space="preserve"> </w:t>
            </w:r>
            <w:r>
              <w:rPr>
                <w:rFonts w:hint="default" w:ascii="Times New Roman" w:hAnsi="Times New Roman" w:cs="Times New Roman" w:eastAsiaTheme="minorEastAsia"/>
                <w:b w:val="0"/>
                <w:bCs w:val="0"/>
                <w:color w:val="000000" w:themeColor="text1"/>
                <w:spacing w:val="-1"/>
                <w:sz w:val="24"/>
                <w:szCs w:val="24"/>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统一收集后外售</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废品回收站</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处置</w:t>
            </w:r>
            <w:r>
              <w:rPr>
                <w:rFonts w:hint="default" w:ascii="Times New Roman" w:hAnsi="Times New Roman" w:cs="Times New Roman" w:eastAsiaTheme="minorEastAsia"/>
                <w:b w:val="0"/>
                <w:bCs w:val="0"/>
                <w:color w:val="000000" w:themeColor="text1"/>
                <w:spacing w:val="-1"/>
                <w:sz w:val="24"/>
                <w:szCs w:val="24"/>
                <w:lang w:val="en-US" w:eastAsia="zh-CN"/>
                <w14:textFill>
                  <w14:solidFill>
                    <w14:schemeClr w14:val="tx1"/>
                  </w14:solidFill>
                </w14:textFill>
              </w:rPr>
              <w:t>。</w:t>
            </w:r>
          </w:p>
          <w:p w14:paraId="52656AFF">
            <w:pPr>
              <w:keepNext w:val="0"/>
              <w:keepLines w:val="0"/>
              <w:pageBreakBefore w:val="0"/>
              <w:widowControl w:val="0"/>
              <w:kinsoku w:val="0"/>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根据《固体废物分类与代码目录》（2024），本项目</w:t>
            </w:r>
            <w:r>
              <w:rPr>
                <w:rFonts w:hint="eastAsia" w:ascii="Times New Roman" w:hAnsi="Times New Roman" w:eastAsia="宋体" w:cs="Times New Roman"/>
                <w:color w:val="000000" w:themeColor="text1"/>
                <w:sz w:val="24"/>
                <w:lang w:val="en-US" w:eastAsia="zh-CN"/>
                <w14:textFill>
                  <w14:solidFill>
                    <w14:schemeClr w14:val="tx1"/>
                  </w14:solidFill>
                </w14:textFill>
              </w:rPr>
              <w:t>废布袋</w:t>
            </w:r>
            <w:r>
              <w:rPr>
                <w:rFonts w:hint="default" w:ascii="Times New Roman" w:hAnsi="Times New Roman" w:eastAsia="宋体" w:cs="Times New Roman"/>
                <w:color w:val="000000" w:themeColor="text1"/>
                <w:sz w:val="24"/>
                <w:lang w:val="en-US" w:eastAsia="zh-CN"/>
                <w14:textFill>
                  <w14:solidFill>
                    <w14:schemeClr w14:val="tx1"/>
                  </w14:solidFill>
                </w14:textFill>
              </w:rPr>
              <w:t>为SW59其他工业固体废物中的其他固体废物，固废代码为 900-099-S59。</w:t>
            </w:r>
          </w:p>
          <w:p w14:paraId="11BE33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⑤</w:t>
            </w:r>
            <w:r>
              <w:rPr>
                <w:rFonts w:hint="default" w:ascii="Times New Roman" w:hAnsi="Times New Roman" w:cs="Times New Roman" w:eastAsiaTheme="minorEastAsia"/>
                <w:b/>
                <w:bCs/>
                <w:color w:val="000000" w:themeColor="text1"/>
                <w:sz w:val="24"/>
                <w:szCs w:val="24"/>
                <w14:textFill>
                  <w14:solidFill>
                    <w14:schemeClr w14:val="tx1"/>
                  </w14:solidFill>
                </w14:textFill>
              </w:rPr>
              <w:t>废</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离子交换</w:t>
            </w:r>
            <w:r>
              <w:rPr>
                <w:rFonts w:hint="default" w:ascii="Times New Roman" w:hAnsi="Times New Roman" w:cs="Times New Roman" w:eastAsiaTheme="minorEastAsia"/>
                <w:b/>
                <w:bCs/>
                <w:color w:val="000000" w:themeColor="text1"/>
                <w:sz w:val="24"/>
                <w:szCs w:val="24"/>
                <w14:textFill>
                  <w14:solidFill>
                    <w14:schemeClr w14:val="tx1"/>
                  </w14:solidFill>
                </w14:textFill>
              </w:rPr>
              <w:t>树脂</w:t>
            </w:r>
          </w:p>
          <w:p w14:paraId="3D16A5D3">
            <w:pPr>
              <w:pStyle w:val="51"/>
              <w:keepNext w:val="0"/>
              <w:keepLines w:val="0"/>
              <w:pageBreakBefore w:val="0"/>
              <w:widowControl w:val="0"/>
              <w:kinsoku/>
              <w:wordWrap/>
              <w:overflowPunct/>
              <w:topLinePunct w:val="0"/>
              <w:bidi w:val="0"/>
              <w:adjustRightInd/>
              <w:snapToGrid/>
              <w:ind w:leftChars="0" w:firstLine="480" w:firstLineChars="200"/>
              <w:textAlignment w:val="auto"/>
              <w:rPr>
                <w:rFonts w:hint="default" w:ascii="Times New Roman" w:hAnsi="Times New Roman" w:cs="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项目</w:t>
            </w:r>
            <w:r>
              <w:rPr>
                <w:rFonts w:hint="eastAsia" w:cs="Times New Roman" w:eastAsiaTheme="minorEastAsia"/>
                <w:b w:val="0"/>
                <w:bCs w:val="0"/>
                <w:color w:val="000000" w:themeColor="text1"/>
                <w:sz w:val="24"/>
                <w:szCs w:val="24"/>
                <w:lang w:eastAsia="zh-CN"/>
                <w14:textFill>
                  <w14:solidFill>
                    <w14:schemeClr w14:val="tx1"/>
                  </w14:solidFill>
                </w14:textFill>
              </w:rPr>
              <w:t>生物质蒸汽发生器</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房软水制备设备采用离子交换装置，设备内离子交换树脂需要定期更换，更换期为1年，产生量约0.</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t/a，树脂由厂家直接回收，不在厂内暂存。</w:t>
            </w:r>
          </w:p>
          <w:p w14:paraId="21601B92">
            <w:pPr>
              <w:pStyle w:val="51"/>
              <w:keepNext w:val="0"/>
              <w:keepLines w:val="0"/>
              <w:pageBreakBefore w:val="0"/>
              <w:widowControl w:val="0"/>
              <w:kinsoku/>
              <w:wordWrap/>
              <w:overflowPunct/>
              <w:topLinePunct w:val="0"/>
              <w:bidi w:val="0"/>
              <w:adjustRightInd/>
              <w:snapToGrid/>
              <w:ind w:leftChars="0"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本项目为</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软水制备设备过程中产生的</w:t>
            </w:r>
            <w:r>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t>废</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离子交换</w:t>
            </w:r>
            <w:r>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t>树脂</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，经对照判定，本项目</w:t>
            </w:r>
            <w:r>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t>废</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离子交换</w:t>
            </w:r>
            <w:r>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t>树脂</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不属于</w:t>
            </w:r>
            <w:r>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t>《国家危险废物名录》（202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5</w:t>
            </w:r>
            <w:r>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t>年版）</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中“</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HW13 900-015-013</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“湿法冶金、表面处理和制药行业重金属、抗生素提取、分离过程产生的废弃离子交换树脂，以及工业废水处理过程产生的废弃离子交换树脂”。</w:t>
            </w:r>
          </w:p>
          <w:p w14:paraId="03C22930">
            <w:pPr>
              <w:keepNext w:val="0"/>
              <w:keepLines w:val="0"/>
              <w:pageBreakBefore w:val="0"/>
              <w:widowControl w:val="0"/>
              <w:kinsoku w:val="0"/>
              <w:wordWrap w:val="0"/>
              <w:overflowPunct/>
              <w:topLinePunct w:val="0"/>
              <w:autoSpaceDE/>
              <w:autoSpaceDN/>
              <w:bidi w:val="0"/>
              <w:adjustRightInd/>
              <w:snapToGrid/>
              <w:spacing w:line="360" w:lineRule="auto"/>
              <w:ind w:firstLine="480" w:firstLineChars="200"/>
              <w:textAlignment w:val="auto"/>
              <w:rPr>
                <w:rFonts w:hint="default"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根据《固体废物分类与代码目录》（2024），本项</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目</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废</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离子交换</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树脂</w:t>
            </w:r>
            <w:r>
              <w:rPr>
                <w:rFonts w:hint="default" w:ascii="Times New Roman" w:hAnsi="Times New Roman" w:eastAsia="宋体" w:cs="Times New Roman"/>
                <w:color w:val="000000" w:themeColor="text1"/>
                <w:sz w:val="24"/>
                <w:lang w:val="en-US" w:eastAsia="zh-CN"/>
                <w14:textFill>
                  <w14:solidFill>
                    <w14:schemeClr w14:val="tx1"/>
                  </w14:solidFill>
                </w14:textFill>
              </w:rPr>
              <w:t>为SW59其他工业固体废物中的其他固体废物，固废代码为 900-099-S59。</w:t>
            </w:r>
          </w:p>
          <w:p w14:paraId="39579385">
            <w:pPr>
              <w:keepNext w:val="0"/>
              <w:keepLines w:val="0"/>
              <w:pageBreakBefore w:val="0"/>
              <w:widowControl w:val="0"/>
              <w:kinsoku/>
              <w:wordWrap w:val="0"/>
              <w:overflowPunct/>
              <w:topLinePunct/>
              <w:autoSpaceDE/>
              <w:autoSpaceDN/>
              <w:bidi w:val="0"/>
              <w:adjustRightInd/>
              <w:spacing w:line="360" w:lineRule="auto"/>
              <w:ind w:firstLine="482" w:firstLineChars="20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3）危险废物</w:t>
            </w:r>
          </w:p>
          <w:p w14:paraId="7E13353E">
            <w:pPr>
              <w:keepNext w:val="0"/>
              <w:keepLines w:val="0"/>
              <w:pageBreakBefore w:val="0"/>
              <w:widowControl w:val="0"/>
              <w:kinsoku/>
              <w:wordWrap w:val="0"/>
              <w:overflowPunct/>
              <w:topLinePunct/>
              <w:autoSpaceDE/>
              <w:autoSpaceDN/>
              <w:bidi w:val="0"/>
              <w:adjustRightInd/>
              <w:spacing w:line="360" w:lineRule="auto"/>
              <w:ind w:firstLine="482" w:firstLineChars="200"/>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①废机油</w:t>
            </w:r>
          </w:p>
          <w:p w14:paraId="21667B21">
            <w:pPr>
              <w:keepNext w:val="0"/>
              <w:pageBreakBefore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项目区内</w:t>
            </w:r>
            <w:r>
              <w:rPr>
                <w:rFonts w:hint="eastAsia" w:cs="Times New Roman" w:eastAsiaTheme="minorEastAsia"/>
                <w:b w:val="0"/>
                <w:bCs w:val="0"/>
                <w:color w:val="000000" w:themeColor="text1"/>
                <w:sz w:val="24"/>
                <w:szCs w:val="24"/>
                <w:lang w:eastAsia="zh-CN"/>
                <w14:textFill>
                  <w14:solidFill>
                    <w14:schemeClr w14:val="tx1"/>
                  </w14:solidFill>
                </w14:textFill>
              </w:rPr>
              <w:t>新增的</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机械设备需定期进行维修保养，该过程会产生废机油，</w:t>
            </w:r>
            <w:r>
              <w:rPr>
                <w:rFonts w:hint="eastAsia" w:cs="Times New Roman" w:eastAsiaTheme="minorEastAsia"/>
                <w:b w:val="0"/>
                <w:bCs w:val="0"/>
                <w:color w:val="000000" w:themeColor="text1"/>
                <w:sz w:val="24"/>
                <w:szCs w:val="24"/>
                <w:lang w:eastAsia="zh-CN"/>
                <w14:textFill>
                  <w14:solidFill>
                    <w14:schemeClr w14:val="tx1"/>
                  </w14:solidFill>
                </w14:textFill>
              </w:rPr>
              <w:t>新增</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废机油产生量约为0</w:t>
            </w:r>
            <w:r>
              <w:rPr>
                <w:rFonts w:hint="eastAsia" w:cs="Times New Roman" w:eastAsiaTheme="minorEastAsia"/>
                <w:b w:val="0"/>
                <w:bCs w:val="0"/>
                <w:color w:val="000000" w:themeColor="text1"/>
                <w:sz w:val="24"/>
                <w:szCs w:val="24"/>
                <w:lang w:val="en-US" w:eastAsia="zh-CN"/>
                <w14:textFill>
                  <w14:solidFill>
                    <w14:schemeClr w14:val="tx1"/>
                  </w14:solidFill>
                </w14:textFill>
              </w:rPr>
              <w:t>.01</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t/a。</w:t>
            </w:r>
          </w:p>
          <w:p w14:paraId="0EBB5D5A">
            <w:pPr>
              <w:keepNext w:val="0"/>
              <w:pageBreakBefore w:val="0"/>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根据《国家危险废物名录》（202</w:t>
            </w:r>
            <w:r>
              <w:rPr>
                <w:rFonts w:hint="default"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年</w:t>
            </w:r>
            <w:r>
              <w:rPr>
                <w:rFonts w:hint="default" w:ascii="Times New Roman" w:hAnsi="Times New Roman" w:cs="Times New Roman"/>
                <w:color w:val="000000" w:themeColor="text1"/>
                <w:sz w:val="24"/>
                <w14:textFill>
                  <w14:solidFill>
                    <w14:schemeClr w14:val="tx1"/>
                  </w14:solidFill>
                </w14:textFill>
              </w:rPr>
              <w:t>版</w:t>
            </w:r>
            <w:r>
              <w:rPr>
                <w:rFonts w:hint="default" w:ascii="Times New Roman" w:hAnsi="Times New Roman" w:eastAsia="宋体" w:cs="Times New Roman"/>
                <w:color w:val="000000" w:themeColor="text1"/>
                <w:sz w:val="24"/>
                <w14:textFill>
                  <w14:solidFill>
                    <w14:schemeClr w14:val="tx1"/>
                  </w14:solidFill>
                </w14:textFill>
              </w:rPr>
              <w:t>），废</w:t>
            </w:r>
            <w:r>
              <w:rPr>
                <w:rFonts w:hint="default" w:ascii="Times New Roman" w:hAnsi="Times New Roman" w:cs="Times New Roman"/>
                <w:color w:val="000000" w:themeColor="text1"/>
                <w:sz w:val="24"/>
                <w:lang w:eastAsia="zh-CN"/>
                <w14:textFill>
                  <w14:solidFill>
                    <w14:schemeClr w14:val="tx1"/>
                  </w14:solidFill>
                </w14:textFill>
              </w:rPr>
              <w:t>机油</w:t>
            </w:r>
            <w:r>
              <w:rPr>
                <w:rFonts w:hint="default" w:ascii="Times New Roman" w:hAnsi="Times New Roman" w:eastAsia="宋体" w:cs="Times New Roman"/>
                <w:color w:val="000000" w:themeColor="text1"/>
                <w:sz w:val="24"/>
                <w14:textFill>
                  <w14:solidFill>
                    <w14:schemeClr w14:val="tx1"/>
                  </w14:solidFill>
                </w14:textFill>
              </w:rPr>
              <w:t>类别属</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HW08废矿物油与含矿物油废物</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；废物代码</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900-2</w:t>
            </w:r>
            <w:r>
              <w:rPr>
                <w:rFonts w:hint="eastAsia" w:cs="Times New Roman"/>
                <w:color w:val="000000" w:themeColor="text1"/>
                <w:sz w:val="24"/>
                <w:lang w:val="en-US" w:eastAsia="zh-CN"/>
                <w14:textFill>
                  <w14:solidFill>
                    <w14:schemeClr w14:val="tx1"/>
                  </w14:solidFill>
                </w14:textFill>
              </w:rPr>
              <w:t>49</w:t>
            </w:r>
            <w:r>
              <w:rPr>
                <w:rFonts w:hint="default" w:ascii="Times New Roman" w:hAnsi="Times New Roman" w:eastAsia="宋体" w:cs="Times New Roman"/>
                <w:color w:val="000000" w:themeColor="text1"/>
                <w:sz w:val="24"/>
                <w14:textFill>
                  <w14:solidFill>
                    <w14:schemeClr w14:val="tx1"/>
                  </w14:solidFill>
                </w14:textFill>
              </w:rPr>
              <w:t>-08</w:t>
            </w:r>
            <w:r>
              <w:rPr>
                <w:rFonts w:hint="eastAsia" w:cs="Times New Roman"/>
                <w:color w:val="000000" w:themeColor="text1"/>
                <w:sz w:val="24"/>
                <w:lang w:eastAsia="zh-CN"/>
                <w14:textFill>
                  <w14:solidFill>
                    <w14:schemeClr w14:val="tx1"/>
                  </w14:solidFill>
                </w14:textFill>
              </w:rPr>
              <w:t>”。</w:t>
            </w:r>
          </w:p>
          <w:p w14:paraId="7F0B5C89">
            <w:pPr>
              <w:keepNext w:val="0"/>
              <w:pageBreakBefore w:val="0"/>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产生的废</w:t>
            </w:r>
            <w:r>
              <w:rPr>
                <w:rFonts w:hint="default" w:ascii="Times New Roman" w:hAnsi="Times New Roman" w:cs="Times New Roman"/>
                <w:color w:val="000000" w:themeColor="text1"/>
                <w:sz w:val="24"/>
                <w:lang w:eastAsia="zh-CN"/>
                <w14:textFill>
                  <w14:solidFill>
                    <w14:schemeClr w14:val="tx1"/>
                  </w14:solidFill>
                </w14:textFill>
              </w:rPr>
              <w:t>机油</w:t>
            </w:r>
            <w:r>
              <w:rPr>
                <w:rFonts w:hint="default" w:ascii="Times New Roman" w:hAnsi="Times New Roman" w:eastAsia="宋体" w:cs="Times New Roman"/>
                <w:color w:val="000000" w:themeColor="text1"/>
                <w:sz w:val="24"/>
                <w14:textFill>
                  <w14:solidFill>
                    <w14:schemeClr w14:val="tx1"/>
                  </w14:solidFill>
                </w14:textFill>
              </w:rPr>
              <w:t>通过收集后暂存于</w:t>
            </w:r>
            <w:r>
              <w:rPr>
                <w:rFonts w:hint="eastAsia" w:cs="Times New Roman"/>
                <w:color w:val="000000" w:themeColor="text1"/>
                <w:sz w:val="24"/>
                <w:lang w:eastAsia="zh-CN"/>
                <w14:textFill>
                  <w14:solidFill>
                    <w14:schemeClr w14:val="tx1"/>
                  </w14:solidFill>
                </w14:textFill>
              </w:rPr>
              <w:t>危废贮存库</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本环评要求建设单位与有资质单位签订危险废物处置协议，定期委托有资质单位处置</w:t>
            </w:r>
            <w:r>
              <w:rPr>
                <w:rFonts w:hint="eastAsia" w:ascii="Times New Roman" w:hAnsi="Times New Roman" w:eastAsia="宋体" w:cs="Times New Roman"/>
                <w:color w:val="000000" w:themeColor="text1"/>
                <w:sz w:val="24"/>
                <w:lang w:eastAsia="zh-CN"/>
                <w14:textFill>
                  <w14:solidFill>
                    <w14:schemeClr w14:val="tx1"/>
                  </w14:solidFill>
                </w14:textFill>
              </w:rPr>
              <w:t>。</w:t>
            </w:r>
          </w:p>
          <w:p w14:paraId="7A093FCB">
            <w:pPr>
              <w:keepNext w:val="0"/>
              <w:keepLines w:val="0"/>
              <w:pageBreakBefore w:val="0"/>
              <w:widowControl w:val="0"/>
              <w:kinsoku/>
              <w:wordWrap w:val="0"/>
              <w:overflowPunct/>
              <w:topLinePunct/>
              <w:autoSpaceDE/>
              <w:autoSpaceDN/>
              <w:bidi w:val="0"/>
              <w:adjustRightInd/>
              <w:spacing w:line="360" w:lineRule="auto"/>
              <w:ind w:firstLine="482" w:firstLineChars="200"/>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②废活性炭</w:t>
            </w:r>
          </w:p>
          <w:p w14:paraId="4DB7CD03">
            <w:pPr>
              <w:keepNext w:val="0"/>
              <w:keepLines/>
              <w:pageBreakBefore w:val="0"/>
              <w:kinsoku/>
              <w:overflowPunct/>
              <w:bidi w:val="0"/>
              <w:adjustRightInd/>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项目生产废气采用</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两级</w:t>
            </w:r>
            <w:r>
              <w:rPr>
                <w:rFonts w:hint="default" w:ascii="Times New Roman" w:hAnsi="Times New Roman" w:eastAsia="宋体" w:cs="Times New Roman"/>
                <w:color w:val="000000" w:themeColor="text1"/>
                <w:sz w:val="24"/>
                <w14:textFill>
                  <w14:solidFill>
                    <w14:schemeClr w14:val="tx1"/>
                  </w14:solidFill>
                </w14:textFill>
              </w:rPr>
              <w:t>活性炭吸附</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装置处理，运营过程中会产生废活性炭。经查阅《国家危</w:t>
            </w:r>
            <w:r>
              <w:rPr>
                <w:rFonts w:hint="default" w:ascii="Times New Roman" w:hAnsi="Times New Roman" w:cs="Times New Roman"/>
                <w:color w:val="000000" w:themeColor="text1"/>
                <w:sz w:val="24"/>
                <w14:textFill>
                  <w14:solidFill>
                    <w14:schemeClr w14:val="tx1"/>
                  </w14:solidFill>
                </w14:textFill>
              </w:rPr>
              <w:t>险废物名录》（202</w:t>
            </w:r>
            <w:r>
              <w:rPr>
                <w:rFonts w:hint="eastAsia"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年版），属于该目录中HW49其他废物中的烟气、VOCs治理过程（不包括餐饮行业油烟治理过程）产生的废活性炭，废物类别为HW49，废物代码为900-039-49。</w:t>
            </w:r>
          </w:p>
          <w:p w14:paraId="50EA8A0A">
            <w:pPr>
              <w:keepNext w:val="0"/>
              <w:keepLines/>
              <w:pageBreakBefore w:val="0"/>
              <w:kinsoku/>
              <w:overflowPunct/>
              <w:bidi w:val="0"/>
              <w:adjustRightInd/>
              <w:spacing w:line="360" w:lineRule="auto"/>
              <w:ind w:firstLine="480" w:firstLineChars="200"/>
              <w:jc w:val="left"/>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b w:val="0"/>
                <w:bCs w:val="0"/>
                <w:color w:val="000000" w:themeColor="text1"/>
                <w:sz w:val="24"/>
                <w:szCs w:val="24"/>
                <w14:textFill>
                  <w14:solidFill>
                    <w14:schemeClr w14:val="tx1"/>
                  </w14:solidFill>
                </w14:textFill>
              </w:rPr>
              <w:t>采用</w:t>
            </w:r>
            <w:r>
              <w:rPr>
                <w:rFonts w:hint="eastAsia" w:cs="Times New Roman"/>
                <w:b w:val="0"/>
                <w:bCs w:val="0"/>
                <w:color w:val="000000" w:themeColor="text1"/>
                <w:sz w:val="24"/>
                <w:szCs w:val="24"/>
                <w:lang w:eastAsia="zh-CN"/>
                <w14:textFill>
                  <w14:solidFill>
                    <w14:schemeClr w14:val="tx1"/>
                  </w14:solidFill>
                </w14:textFill>
              </w:rPr>
              <w:t>碘值不低于800mg/g的蜂窝状活性炭</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，单块活性炭质量为0.</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5kg，本项目活性炭吸附装置须装填</w:t>
            </w:r>
            <w:r>
              <w:rPr>
                <w:rFonts w:hint="eastAsia" w:cs="Times New Roman"/>
                <w:b w:val="0"/>
                <w:bCs w:val="0"/>
                <w:color w:val="000000" w:themeColor="text1"/>
                <w:sz w:val="24"/>
                <w:szCs w:val="24"/>
                <w:lang w:val="en-US" w:eastAsia="zh-CN"/>
                <w14:textFill>
                  <w14:solidFill>
                    <w14:schemeClr w14:val="tx1"/>
                  </w14:solidFill>
                </w14:textFill>
              </w:rPr>
              <w:t>800</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块（</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每级活性炭布设</w:t>
            </w:r>
            <w:r>
              <w:rPr>
                <w:rFonts w:hint="eastAsia" w:cs="Times New Roman"/>
                <w:b w:val="0"/>
                <w:bCs w:val="0"/>
                <w:color w:val="000000" w:themeColor="text1"/>
                <w:sz w:val="24"/>
                <w:szCs w:val="24"/>
                <w:lang w:val="en-US" w:eastAsia="zh-CN"/>
                <w14:textFill>
                  <w14:solidFill>
                    <w14:schemeClr w14:val="tx1"/>
                  </w14:solidFill>
                </w14:textFill>
              </w:rPr>
              <w:t>40</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块，两级共布设</w:t>
            </w:r>
            <w:r>
              <w:rPr>
                <w:rFonts w:hint="eastAsia" w:cs="Times New Roman"/>
                <w:b w:val="0"/>
                <w:bCs w:val="0"/>
                <w:color w:val="000000" w:themeColor="text1"/>
                <w:sz w:val="24"/>
                <w:szCs w:val="24"/>
                <w:lang w:val="en-US" w:eastAsia="zh-CN"/>
                <w14:textFill>
                  <w14:solidFill>
                    <w14:schemeClr w14:val="tx1"/>
                  </w14:solidFill>
                </w14:textFill>
              </w:rPr>
              <w:t>80</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块</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），则每次更换活性炭重量为</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8</w:t>
            </w:r>
            <w:r>
              <w:rPr>
                <w:rFonts w:hint="eastAsia" w:cs="Times New Roman"/>
                <w:b w:val="0"/>
                <w:bCs w:val="0"/>
                <w:color w:val="000000" w:themeColor="text1"/>
                <w:sz w:val="24"/>
                <w:szCs w:val="24"/>
                <w:lang w:val="en-US" w:eastAsia="zh-CN"/>
                <w14:textFill>
                  <w14:solidFill>
                    <w14:schemeClr w14:val="tx1"/>
                  </w14:solidFill>
                </w14:textFill>
              </w:rPr>
              <w:t>0</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×0.</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5/1000=</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0.</w:t>
            </w:r>
            <w:r>
              <w:rPr>
                <w:rFonts w:hint="eastAsia" w:cs="Times New Roman"/>
                <w:b w:val="0"/>
                <w:bCs w:val="0"/>
                <w:color w:val="000000" w:themeColor="text1"/>
                <w:sz w:val="24"/>
                <w:szCs w:val="24"/>
                <w:lang w:val="en-US" w:eastAsia="zh-CN"/>
                <w14:textFill>
                  <w14:solidFill>
                    <w14:schemeClr w14:val="tx1"/>
                  </w14:solidFill>
                </w14:textFill>
              </w:rPr>
              <w:t>44</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t/次。</w:t>
            </w:r>
          </w:p>
          <w:p w14:paraId="222649E7">
            <w:pPr>
              <w:pStyle w:val="94"/>
              <w:keepNext w:val="0"/>
              <w:keepLines w:val="0"/>
              <w:pageBreakBefore w:val="0"/>
              <w:widowControl w:val="0"/>
              <w:kinsoku/>
              <w:wordWrap/>
              <w:overflowPunct/>
              <w:topLinePunct w:val="0"/>
              <w:autoSpaceDE w:val="0"/>
              <w:autoSpaceDN w:val="0"/>
              <w:bidi w:val="0"/>
              <w:adjustRightInd/>
              <w:snapToGrid/>
              <w:spacing w:line="360" w:lineRule="auto"/>
              <w:ind w:leftChars="0" w:firstLine="480" w:firstLineChars="200"/>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活性炭更换周期</w:t>
            </w:r>
            <w:r>
              <w:rPr>
                <w:rFonts w:hint="default" w:ascii="Times New Roman" w:hAnsi="Times New Roman" w:eastAsia="宋体" w:cs="Times New Roman"/>
                <w:b w:val="0"/>
                <w:bCs w:val="0"/>
                <w:color w:val="000000" w:themeColor="text1"/>
                <w:sz w:val="24"/>
                <w:szCs w:val="24"/>
                <w14:textFill>
                  <w14:solidFill>
                    <w14:schemeClr w14:val="tx1"/>
                  </w14:solidFill>
                </w14:textFill>
              </w:rPr>
              <w:t>参考《</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挥发性有机物治理实用手册（第二版）</w:t>
            </w:r>
            <w:r>
              <w:rPr>
                <w:rFonts w:hint="default" w:ascii="Times New Roman" w:hAnsi="Times New Roman" w:eastAsia="宋体" w:cs="Times New Roman"/>
                <w:b w:val="0"/>
                <w:bCs w:val="0"/>
                <w:color w:val="000000" w:themeColor="text1"/>
                <w:sz w:val="24"/>
                <w:szCs w:val="24"/>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生态环境部大气环境司、生态环境部环境规划院</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，活性炭更换周期计算公式如下：</w:t>
            </w:r>
          </w:p>
          <w:p w14:paraId="1E36D312">
            <w:pPr>
              <w:keepNext w:val="0"/>
              <w:keepLines w:val="0"/>
              <w:pageBreakBefore w:val="0"/>
              <w:widowControl w:val="0"/>
              <w:kinsoku/>
              <w:wordWrap/>
              <w:overflowPunct/>
              <w:topLinePunct w:val="0"/>
              <w:bidi w:val="0"/>
              <w:adjustRightInd/>
              <w:snapToGrid/>
              <w:spacing w:line="360" w:lineRule="auto"/>
              <w:ind w:leftChars="0" w:firstLine="480" w:firstLineChars="200"/>
              <w:jc w:val="center"/>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position w:val="-28"/>
                <w:sz w:val="24"/>
                <w:szCs w:val="24"/>
                <w14:textFill>
                  <w14:solidFill>
                    <w14:schemeClr w14:val="tx1"/>
                  </w14:solidFill>
                </w14:textFill>
              </w:rPr>
              <w:object>
                <v:shape id="_x0000_i1036" o:spt="75" type="#_x0000_t75" style="height:33pt;width:94pt;" o:ole="t" filled="f" o:preferrelative="t" stroked="f" coordsize="21600,21600">
                  <v:path/>
                  <v:fill on="f" focussize="0,0"/>
                  <v:stroke on="f"/>
                  <v:imagedata r:id="rId49" o:title=""/>
                  <o:lock v:ext="edit" aspectratio="t"/>
                  <w10:wrap type="none"/>
                  <w10:anchorlock/>
                </v:shape>
                <o:OLEObject Type="Embed" ProgID="Equation.KSEE3" ShapeID="_x0000_i1036" DrawAspect="Content" ObjectID="_1468075736" r:id="rId48">
                  <o:LockedField>false</o:LockedField>
                </o:OLEObject>
              </w:object>
            </w:r>
          </w:p>
          <w:p w14:paraId="5E10E3E7">
            <w:pPr>
              <w:pStyle w:val="51"/>
              <w:keepNext w:val="0"/>
              <w:keepLines w:val="0"/>
              <w:pageBreakBefore w:val="0"/>
              <w:widowControl w:val="0"/>
              <w:kinsoku/>
              <w:wordWrap/>
              <w:overflowPunct/>
              <w:topLinePunct w:val="0"/>
              <w:bidi w:val="0"/>
              <w:adjustRightInd/>
              <w:snapToGrid/>
              <w:ind w:leftChars="0" w:firstLine="480" w:firstLineChars="200"/>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式中：T—周期，d；</w:t>
            </w:r>
          </w:p>
          <w:p w14:paraId="629D93E9">
            <w:pPr>
              <w:pStyle w:val="51"/>
              <w:keepNext w:val="0"/>
              <w:keepLines w:val="0"/>
              <w:pageBreakBefore w:val="0"/>
              <w:widowControl w:val="0"/>
              <w:kinsoku/>
              <w:wordWrap/>
              <w:overflowPunct/>
              <w:topLinePunct w:val="0"/>
              <w:bidi w:val="0"/>
              <w:adjustRightInd/>
              <w:snapToGrid/>
              <w:ind w:leftChars="0" w:firstLine="1200" w:firstLineChars="500"/>
              <w:textAlignment w:val="auto"/>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m—活性炭的质量，kg；本项目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单次装填量为</w:t>
            </w:r>
            <w:r>
              <w:rPr>
                <w:rFonts w:hint="eastAsia" w:cs="Times New Roman"/>
                <w:b w:val="0"/>
                <w:bCs w:val="0"/>
                <w:color w:val="000000" w:themeColor="text1"/>
                <w:sz w:val="24"/>
                <w:szCs w:val="24"/>
                <w:lang w:val="en-US" w:eastAsia="zh-CN"/>
                <w14:textFill>
                  <w14:solidFill>
                    <w14:schemeClr w14:val="tx1"/>
                  </w14:solidFill>
                </w14:textFill>
              </w:rPr>
              <w:t>440</w:t>
            </w:r>
            <w:r>
              <w:rPr>
                <w:rFonts w:hint="default" w:ascii="Times New Roman" w:hAnsi="Times New Roman" w:eastAsia="宋体" w:cs="Times New Roman"/>
                <w:b w:val="0"/>
                <w:bCs w:val="0"/>
                <w:color w:val="000000" w:themeColor="text1"/>
                <w:sz w:val="24"/>
                <w:szCs w:val="24"/>
                <w14:textFill>
                  <w14:solidFill>
                    <w14:schemeClr w14:val="tx1"/>
                  </w14:solidFill>
                </w14:textFill>
              </w:rPr>
              <w:t>kg</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w:t>
            </w:r>
          </w:p>
          <w:p w14:paraId="219093B9">
            <w:pPr>
              <w:pStyle w:val="51"/>
              <w:keepNext w:val="0"/>
              <w:keepLines w:val="0"/>
              <w:pageBreakBefore w:val="0"/>
              <w:widowControl w:val="0"/>
              <w:kinsoku/>
              <w:wordWrap/>
              <w:overflowPunct/>
              <w:topLinePunct w:val="0"/>
              <w:bidi w:val="0"/>
              <w:adjustRightInd/>
              <w:snapToGrid/>
              <w:ind w:leftChars="0" w:firstLine="1200" w:firstLineChars="500"/>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S—</w:t>
            </w:r>
            <w:r>
              <w:rPr>
                <w:rFonts w:hint="eastAsia" w:cs="Times New Roman"/>
                <w:b w:val="0"/>
                <w:bCs w:val="0"/>
                <w:color w:val="000000" w:themeColor="text1"/>
                <w:sz w:val="24"/>
                <w:szCs w:val="24"/>
                <w:lang w:eastAsia="zh-CN"/>
                <w14:textFill>
                  <w14:solidFill>
                    <w14:schemeClr w14:val="tx1"/>
                  </w14:solidFill>
                </w14:textFill>
              </w:rPr>
              <w:t>活性炭动态吸附</w:t>
            </w:r>
            <w:r>
              <w:rPr>
                <w:rFonts w:hint="default" w:ascii="Times New Roman" w:hAnsi="Times New Roman" w:eastAsia="宋体" w:cs="Times New Roman"/>
                <w:b w:val="0"/>
                <w:bCs w:val="0"/>
                <w:color w:val="000000" w:themeColor="text1"/>
                <w:sz w:val="24"/>
                <w:szCs w:val="24"/>
                <w14:textFill>
                  <w14:solidFill>
                    <w14:schemeClr w14:val="tx1"/>
                  </w14:solidFill>
                </w14:textFill>
              </w:rPr>
              <w:t>量，%，本项目S取</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15</w:t>
            </w:r>
            <w:r>
              <w:rPr>
                <w:rFonts w:hint="default" w:ascii="Times New Roman" w:hAnsi="Times New Roman" w:eastAsia="宋体" w:cs="Times New Roman"/>
                <w:b w:val="0"/>
                <w:bCs w:val="0"/>
                <w:color w:val="000000" w:themeColor="text1"/>
                <w:sz w:val="24"/>
                <w:szCs w:val="24"/>
                <w14:textFill>
                  <w14:solidFill>
                    <w14:schemeClr w14:val="tx1"/>
                  </w14:solidFill>
                </w14:textFill>
              </w:rPr>
              <w:t>%；</w:t>
            </w:r>
          </w:p>
          <w:p w14:paraId="74C02869">
            <w:pPr>
              <w:pStyle w:val="51"/>
              <w:keepNext w:val="0"/>
              <w:keepLines w:val="0"/>
              <w:pageBreakBefore w:val="0"/>
              <w:widowControl w:val="0"/>
              <w:kinsoku/>
              <w:wordWrap/>
              <w:overflowPunct/>
              <w:topLinePunct w:val="0"/>
              <w:bidi w:val="0"/>
              <w:adjustRightInd/>
              <w:snapToGrid/>
              <w:ind w:leftChars="0" w:firstLine="1200" w:firstLineChars="500"/>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C—有机废气</w:t>
            </w:r>
            <w:r>
              <w:rPr>
                <w:rFonts w:hint="eastAsia" w:cs="Times New Roman"/>
                <w:b w:val="0"/>
                <w:bCs w:val="0"/>
                <w:color w:val="000000" w:themeColor="text1"/>
                <w:sz w:val="24"/>
                <w:szCs w:val="24"/>
                <w:lang w:eastAsia="zh-CN"/>
                <w14:textFill>
                  <w14:solidFill>
                    <w14:schemeClr w14:val="tx1"/>
                  </w14:solidFill>
                </w14:textFill>
              </w:rPr>
              <w:t>削减</w:t>
            </w:r>
            <w:r>
              <w:rPr>
                <w:rFonts w:hint="default" w:ascii="Times New Roman" w:hAnsi="Times New Roman" w:eastAsia="宋体" w:cs="Times New Roman"/>
                <w:b w:val="0"/>
                <w:bCs w:val="0"/>
                <w:color w:val="000000" w:themeColor="text1"/>
                <w:sz w:val="24"/>
                <w:szCs w:val="24"/>
                <w14:textFill>
                  <w14:solidFill>
                    <w14:schemeClr w14:val="tx1"/>
                  </w14:solidFill>
                </w14:textFill>
              </w:rPr>
              <w:t>浓度，mg/m</w:t>
            </w:r>
            <w:r>
              <w:rPr>
                <w:rFonts w:hint="default" w:ascii="Times New Roman" w:hAnsi="Times New Roman" w:eastAsia="宋体" w:cs="Times New Roman"/>
                <w:b w:val="0"/>
                <w:bCs w:val="0"/>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4"/>
                <w:szCs w:val="24"/>
                <w14:textFill>
                  <w14:solidFill>
                    <w14:schemeClr w14:val="tx1"/>
                  </w14:solidFill>
                </w14:textFill>
              </w:rPr>
              <w:t>；本项目</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有机废气进口浓度为</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9.714</w:t>
            </w:r>
            <w:r>
              <w:rPr>
                <w:rFonts w:hint="default" w:ascii="Times New Roman" w:hAnsi="Times New Roman" w:eastAsia="宋体" w:cs="Times New Roman"/>
                <w:b w:val="0"/>
                <w:bCs w:val="0"/>
                <w:color w:val="000000" w:themeColor="text1"/>
                <w:sz w:val="24"/>
                <w:szCs w:val="24"/>
                <w14:textFill>
                  <w14:solidFill>
                    <w14:schemeClr w14:val="tx1"/>
                  </w14:solidFill>
                </w14:textFill>
              </w:rPr>
              <w:t>mg/m</w:t>
            </w:r>
            <w:r>
              <w:rPr>
                <w:rFonts w:hint="default" w:ascii="Times New Roman" w:hAnsi="Times New Roman" w:eastAsia="宋体" w:cs="Times New Roman"/>
                <w:b w:val="0"/>
                <w:bCs w:val="0"/>
                <w:color w:val="000000" w:themeColor="text1"/>
                <w:sz w:val="24"/>
                <w:szCs w:val="24"/>
                <w:vertAlign w:val="superscript"/>
                <w14:textFill>
                  <w14:solidFill>
                    <w14:schemeClr w14:val="tx1"/>
                  </w14:solidFill>
                </w14:textFill>
              </w:rPr>
              <w:t>3</w:t>
            </w:r>
          </w:p>
          <w:p w14:paraId="5C08300E">
            <w:pPr>
              <w:pStyle w:val="51"/>
              <w:keepNext w:val="0"/>
              <w:keepLines w:val="0"/>
              <w:pageBreakBefore w:val="0"/>
              <w:widowControl w:val="0"/>
              <w:kinsoku/>
              <w:wordWrap/>
              <w:overflowPunct/>
              <w:topLinePunct w:val="0"/>
              <w:bidi w:val="0"/>
              <w:adjustRightInd/>
              <w:snapToGrid/>
              <w:ind w:leftChars="0" w:firstLine="1200" w:firstLineChars="500"/>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Q—风量，m</w:t>
            </w:r>
            <w:r>
              <w:rPr>
                <w:rFonts w:hint="default" w:ascii="Times New Roman" w:hAnsi="Times New Roman" w:eastAsia="宋体" w:cs="Times New Roman"/>
                <w:b w:val="0"/>
                <w:bCs w:val="0"/>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4"/>
                <w:szCs w:val="24"/>
                <w14:textFill>
                  <w14:solidFill>
                    <w14:schemeClr w14:val="tx1"/>
                  </w14:solidFill>
                </w14:textFill>
              </w:rPr>
              <w:t>/h；本项目为</w:t>
            </w:r>
            <w:r>
              <w:rPr>
                <w:rFonts w:hint="eastAsia" w:cs="Times New Roman"/>
                <w:b w:val="0"/>
                <w:bCs w:val="0"/>
                <w:color w:val="000000" w:themeColor="text1"/>
                <w:sz w:val="24"/>
                <w:szCs w:val="24"/>
                <w:lang w:val="en-US" w:eastAsia="zh-CN"/>
                <w14:textFill>
                  <w14:solidFill>
                    <w14:schemeClr w14:val="tx1"/>
                  </w14:solidFill>
                </w14:textFill>
              </w:rPr>
              <w:t>70</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00</w:t>
            </w:r>
            <w:r>
              <w:rPr>
                <w:rFonts w:hint="default" w:ascii="Times New Roman" w:hAnsi="Times New Roman" w:eastAsia="宋体" w:cs="Times New Roman"/>
                <w:b w:val="0"/>
                <w:bCs w:val="0"/>
                <w:color w:val="000000" w:themeColor="text1"/>
                <w:sz w:val="24"/>
                <w:szCs w:val="24"/>
                <w14:textFill>
                  <w14:solidFill>
                    <w14:schemeClr w14:val="tx1"/>
                  </w14:solidFill>
                </w14:textFill>
              </w:rPr>
              <w:t>m</w:t>
            </w:r>
            <w:r>
              <w:rPr>
                <w:rFonts w:hint="default" w:ascii="Times New Roman" w:hAnsi="Times New Roman" w:eastAsia="宋体" w:cs="Times New Roman"/>
                <w:b w:val="0"/>
                <w:bCs w:val="0"/>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4"/>
                <w:szCs w:val="24"/>
                <w14:textFill>
                  <w14:solidFill>
                    <w14:schemeClr w14:val="tx1"/>
                  </w14:solidFill>
                </w14:textFill>
              </w:rPr>
              <w:t>/h</w:t>
            </w:r>
          </w:p>
          <w:p w14:paraId="1DF24388">
            <w:pPr>
              <w:pStyle w:val="51"/>
              <w:keepNext w:val="0"/>
              <w:keepLines w:val="0"/>
              <w:pageBreakBefore w:val="0"/>
              <w:widowControl w:val="0"/>
              <w:kinsoku/>
              <w:wordWrap/>
              <w:overflowPunct/>
              <w:topLinePunct w:val="0"/>
              <w:bidi w:val="0"/>
              <w:adjustRightInd/>
              <w:snapToGrid/>
              <w:ind w:leftChars="0" w:firstLine="1200" w:firstLineChars="500"/>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t—设备运行时间，h/d；本项目取</w:t>
            </w:r>
            <w:r>
              <w:rPr>
                <w:rFonts w:hint="eastAsia" w:cs="Times New Roman"/>
                <w:b w:val="0"/>
                <w:bCs w:val="0"/>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b w:val="0"/>
                <w:bCs w:val="0"/>
                <w:color w:val="000000" w:themeColor="text1"/>
                <w:sz w:val="24"/>
                <w:szCs w:val="24"/>
                <w14:textFill>
                  <w14:solidFill>
                    <w14:schemeClr w14:val="tx1"/>
                  </w14:solidFill>
                </w14:textFill>
              </w:rPr>
              <w:t>h/d</w:t>
            </w:r>
          </w:p>
          <w:p w14:paraId="0E89647D">
            <w:pPr>
              <w:pStyle w:val="51"/>
              <w:keepNext w:val="0"/>
              <w:keepLines w:val="0"/>
              <w:pageBreakBefore w:val="0"/>
              <w:widowControl w:val="0"/>
              <w:kinsoku/>
              <w:wordWrap/>
              <w:overflowPunct/>
              <w:topLinePunct w:val="0"/>
              <w:bidi w:val="0"/>
              <w:adjustRightInd/>
              <w:snapToGrid/>
              <w:ind w:leftChars="0" w:firstLine="480" w:firstLineChars="200"/>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经计算，在</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满负荷</w:t>
            </w:r>
            <w:r>
              <w:rPr>
                <w:rFonts w:hint="default" w:ascii="Times New Roman" w:hAnsi="Times New Roman" w:eastAsia="宋体" w:cs="Times New Roman"/>
                <w:b w:val="0"/>
                <w:bCs w:val="0"/>
                <w:color w:val="000000" w:themeColor="text1"/>
                <w:sz w:val="24"/>
                <w:szCs w:val="24"/>
                <w14:textFill>
                  <w14:solidFill>
                    <w14:schemeClr w14:val="tx1"/>
                  </w14:solidFill>
                </w14:textFill>
              </w:rPr>
              <w:t>运转情况下，本项目活性炭更换周期约为</w:t>
            </w:r>
            <w:r>
              <w:rPr>
                <w:rFonts w:hint="eastAsia" w:cs="Times New Roman"/>
                <w:b w:val="0"/>
                <w:bCs w:val="0"/>
                <w:color w:val="000000" w:themeColor="text1"/>
                <w:sz w:val="24"/>
                <w:szCs w:val="24"/>
                <w:lang w:val="en-US" w:eastAsia="zh-CN"/>
                <w14:textFill>
                  <w14:solidFill>
                    <w14:schemeClr w14:val="tx1"/>
                  </w14:solidFill>
                </w14:textFill>
              </w:rPr>
              <w:t>121</w:t>
            </w:r>
            <w:r>
              <w:rPr>
                <w:rFonts w:hint="default" w:ascii="Times New Roman" w:hAnsi="Times New Roman" w:eastAsia="宋体" w:cs="Times New Roman"/>
                <w:b w:val="0"/>
                <w:bCs w:val="0"/>
                <w:color w:val="000000" w:themeColor="text1"/>
                <w:sz w:val="24"/>
                <w:szCs w:val="24"/>
                <w14:textFill>
                  <w14:solidFill>
                    <w14:schemeClr w14:val="tx1"/>
                  </w14:solidFill>
                </w14:textFill>
              </w:rPr>
              <w:t>天</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eastAsia" w:cs="Times New Roman"/>
                <w:b w:val="0"/>
                <w:bCs w:val="0"/>
                <w:color w:val="000000" w:themeColor="text1"/>
                <w:sz w:val="24"/>
                <w:szCs w:val="24"/>
                <w:lang w:eastAsia="zh-CN"/>
                <w14:textFill>
                  <w14:solidFill>
                    <w14:schemeClr w14:val="tx1"/>
                  </w14:solidFill>
                </w14:textFill>
              </w:rPr>
              <w:t>本项目年运行</w:t>
            </w:r>
            <w:r>
              <w:rPr>
                <w:rFonts w:hint="eastAsia" w:cs="Times New Roman"/>
                <w:b w:val="0"/>
                <w:bCs w:val="0"/>
                <w:color w:val="000000" w:themeColor="text1"/>
                <w:sz w:val="24"/>
                <w:szCs w:val="24"/>
                <w:lang w:val="en-US" w:eastAsia="zh-CN"/>
                <w14:textFill>
                  <w14:solidFill>
                    <w14:schemeClr w14:val="tx1"/>
                  </w14:solidFill>
                </w14:textFill>
              </w:rPr>
              <w:t>300天，</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为保证治理效率，建议项目每100天更换一次，</w:t>
            </w:r>
            <w:r>
              <w:rPr>
                <w:rFonts w:hint="default" w:ascii="Times New Roman" w:hAnsi="Times New Roman" w:eastAsia="宋体" w:cs="Times New Roman"/>
                <w:b w:val="0"/>
                <w:bCs w:val="0"/>
                <w:color w:val="000000" w:themeColor="text1"/>
                <w:sz w:val="24"/>
                <w:szCs w:val="24"/>
                <w14:textFill>
                  <w14:solidFill>
                    <w14:schemeClr w14:val="tx1"/>
                  </w14:solidFill>
                </w14:textFill>
              </w:rPr>
              <w:t>则更换的活性炭总量为</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14:textFill>
                  <w14:solidFill>
                    <w14:schemeClr w14:val="tx1"/>
                  </w14:solidFill>
                </w14:textFill>
              </w:rPr>
              <w:t>次</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/a</w:t>
            </w:r>
            <w:r>
              <w:rPr>
                <w:rFonts w:hint="default" w:ascii="Times New Roman" w:hAnsi="Times New Roman" w:eastAsia="宋体" w:cs="Times New Roman"/>
                <w:b w:val="0"/>
                <w:bCs w:val="0"/>
                <w:color w:val="000000" w:themeColor="text1"/>
                <w:sz w:val="24"/>
                <w:szCs w:val="24"/>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0.</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44</w:t>
            </w:r>
            <w:r>
              <w:rPr>
                <w:rFonts w:hint="default" w:ascii="Times New Roman" w:hAnsi="Times New Roman" w:eastAsia="宋体" w:cs="Times New Roman"/>
                <w:b w:val="0"/>
                <w:bCs w:val="0"/>
                <w:color w:val="000000" w:themeColor="text1"/>
                <w:sz w:val="24"/>
                <w:szCs w:val="24"/>
                <w14:textFill>
                  <w14:solidFill>
                    <w14:schemeClr w14:val="tx1"/>
                  </w14:solidFill>
                </w14:textFill>
              </w:rPr>
              <w:t>t/次=</w:t>
            </w:r>
            <w:r>
              <w:rPr>
                <w:rFonts w:hint="eastAsia" w:cs="Times New Roman"/>
                <w:b w:val="0"/>
                <w:bCs w:val="0"/>
                <w:color w:val="000000" w:themeColor="text1"/>
                <w:sz w:val="24"/>
                <w:szCs w:val="24"/>
                <w:lang w:val="en-US" w:eastAsia="zh-CN"/>
                <w14:textFill>
                  <w14:solidFill>
                    <w14:schemeClr w14:val="tx1"/>
                  </w14:solidFill>
                </w14:textFill>
              </w:rPr>
              <w:t>1.32</w:t>
            </w:r>
            <w:r>
              <w:rPr>
                <w:rFonts w:hint="default" w:ascii="Times New Roman" w:hAnsi="Times New Roman" w:eastAsia="宋体" w:cs="Times New Roman"/>
                <w:b w:val="0"/>
                <w:bCs w:val="0"/>
                <w:color w:val="000000" w:themeColor="text1"/>
                <w:sz w:val="24"/>
                <w:szCs w:val="24"/>
                <w14:textFill>
                  <w14:solidFill>
                    <w14:schemeClr w14:val="tx1"/>
                  </w14:solidFill>
                </w14:textFill>
              </w:rPr>
              <w:t>t/a。</w:t>
            </w:r>
          </w:p>
          <w:p w14:paraId="52B021F1">
            <w:pPr>
              <w:pStyle w:val="51"/>
              <w:keepNext w:val="0"/>
              <w:keepLines w:val="0"/>
              <w:pageBreakBefore w:val="0"/>
              <w:widowControl w:val="0"/>
              <w:kinsoku/>
              <w:wordWrap/>
              <w:overflowPunct/>
              <w:topLinePunct w:val="0"/>
              <w:bidi w:val="0"/>
              <w:adjustRightInd/>
              <w:snapToGrid/>
              <w:ind w:leftChars="0" w:firstLine="480" w:firstLineChars="200"/>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根据前文计算，项目活性炭吸附的非甲烷总烃的量为</w:t>
            </w:r>
            <w:r>
              <w:rPr>
                <w:rFonts w:hint="eastAsia" w:cs="Times New Roman"/>
                <w:color w:val="000000" w:themeColor="text1"/>
                <w:sz w:val="24"/>
                <w:highlight w:val="none"/>
                <w:lang w:val="en-US" w:eastAsia="zh-CN"/>
                <w14:textFill>
                  <w14:solidFill>
                    <w14:schemeClr w14:val="tx1"/>
                  </w14:solidFill>
                </w14:textFill>
              </w:rPr>
              <w:t>0.1224</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废活性炭的总量等于吸附的非甲烷总烃量加上更换的活性炭总量，则项目废活性炭的产生量为</w:t>
            </w:r>
            <w:r>
              <w:rPr>
                <w:rFonts w:hint="eastAsia" w:cs="Times New Roman"/>
                <w:b w:val="0"/>
                <w:bCs w:val="0"/>
                <w:color w:val="000000" w:themeColor="text1"/>
                <w:sz w:val="24"/>
                <w:szCs w:val="24"/>
                <w:lang w:val="en-US" w:eastAsia="zh-CN"/>
                <w14:textFill>
                  <w14:solidFill>
                    <w14:schemeClr w14:val="tx1"/>
                  </w14:solidFill>
                </w14:textFill>
              </w:rPr>
              <w:t>1.4424</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t/a。</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项目产生的废活性炭统一收集后暂存于</w:t>
            </w:r>
            <w:r>
              <w:rPr>
                <w:rFonts w:hint="eastAsia" w:cs="Times New Roman"/>
                <w:b w:val="0"/>
                <w:bCs w:val="0"/>
                <w:color w:val="000000" w:themeColor="text1"/>
                <w:sz w:val="24"/>
                <w:szCs w:val="24"/>
                <w:lang w:val="en-US" w:eastAsia="zh-CN"/>
                <w14:textFill>
                  <w14:solidFill>
                    <w14:schemeClr w14:val="tx1"/>
                  </w14:solidFill>
                </w14:textFill>
              </w:rPr>
              <w:t>危废贮存库</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定期</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委托有资质的单位</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清运</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处置。</w:t>
            </w:r>
          </w:p>
          <w:p w14:paraId="44A345F9">
            <w:pPr>
              <w:keepNext w:val="0"/>
              <w:pageBreakBefore w:val="0"/>
              <w:overflowPunct/>
              <w:topLinePunct w:val="0"/>
              <w:autoSpaceDE/>
              <w:autoSpaceDN/>
              <w:bidi w:val="0"/>
              <w:adjustRightInd/>
              <w:snapToGrid/>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表4-</w:t>
            </w:r>
            <w:r>
              <w:rPr>
                <w:rFonts w:hint="eastAsia" w:ascii="Times New Roman" w:hAnsi="Times New Roman" w:cs="Times New Roman"/>
                <w:b/>
                <w:color w:val="000000" w:themeColor="text1"/>
                <w:sz w:val="21"/>
                <w:szCs w:val="21"/>
                <w:lang w:val="en-US" w:eastAsia="zh-CN"/>
                <w14:textFill>
                  <w14:solidFill>
                    <w14:schemeClr w14:val="tx1"/>
                  </w14:solidFill>
                </w14:textFill>
              </w:rPr>
              <w:t>22</w:t>
            </w:r>
            <w:r>
              <w:rPr>
                <w:rFonts w:hint="default" w:ascii="Times New Roman" w:hAnsi="Times New Roman" w:cs="Times New Roman"/>
                <w:b/>
                <w:color w:val="000000" w:themeColor="text1"/>
                <w:sz w:val="21"/>
                <w:szCs w:val="21"/>
                <w14:textFill>
                  <w14:solidFill>
                    <w14:schemeClr w14:val="tx1"/>
                  </w14:solidFill>
                </w14:textFill>
              </w:rPr>
              <w:t xml:space="preserve"> 项目固废产生及处置情况一览表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1350"/>
              <w:gridCol w:w="687"/>
              <w:gridCol w:w="1418"/>
              <w:gridCol w:w="670"/>
              <w:gridCol w:w="1146"/>
              <w:gridCol w:w="1873"/>
            </w:tblGrid>
            <w:tr w14:paraId="4D5BD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4" w:type="pct"/>
                  <w:noWrap w:val="0"/>
                  <w:vAlign w:val="center"/>
                </w:tcPr>
                <w:p w14:paraId="4792BE3C">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产生环节</w:t>
                  </w:r>
                </w:p>
              </w:tc>
              <w:tc>
                <w:tcPr>
                  <w:tcW w:w="823" w:type="pct"/>
                  <w:noWrap w:val="0"/>
                  <w:vAlign w:val="center"/>
                </w:tcPr>
                <w:p w14:paraId="666430E0">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名称</w:t>
                  </w:r>
                </w:p>
              </w:tc>
              <w:tc>
                <w:tcPr>
                  <w:tcW w:w="418" w:type="pct"/>
                  <w:noWrap w:val="0"/>
                  <w:vAlign w:val="center"/>
                </w:tcPr>
                <w:p w14:paraId="18CEB1B2">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属性</w:t>
                  </w:r>
                </w:p>
              </w:tc>
              <w:tc>
                <w:tcPr>
                  <w:tcW w:w="864" w:type="pct"/>
                  <w:noWrap w:val="0"/>
                  <w:vAlign w:val="center"/>
                </w:tcPr>
                <w:p w14:paraId="68F6E95D">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代码</w:t>
                  </w:r>
                </w:p>
              </w:tc>
              <w:tc>
                <w:tcPr>
                  <w:tcW w:w="408" w:type="pct"/>
                  <w:noWrap w:val="0"/>
                  <w:vAlign w:val="center"/>
                </w:tcPr>
                <w:p w14:paraId="5ADD2FA0">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物理性状</w:t>
                  </w:r>
                </w:p>
              </w:tc>
              <w:tc>
                <w:tcPr>
                  <w:tcW w:w="698" w:type="pct"/>
                  <w:noWrap w:val="0"/>
                  <w:vAlign w:val="center"/>
                </w:tcPr>
                <w:p w14:paraId="679DAB07">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产生量t/a</w:t>
                  </w:r>
                </w:p>
              </w:tc>
              <w:tc>
                <w:tcPr>
                  <w:tcW w:w="1141" w:type="pct"/>
                  <w:noWrap w:val="0"/>
                  <w:vAlign w:val="center"/>
                </w:tcPr>
                <w:p w14:paraId="418EE4DA">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利用处置方式和去向</w:t>
                  </w:r>
                </w:p>
              </w:tc>
            </w:tr>
            <w:tr w14:paraId="147FA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4" w:type="pct"/>
                  <w:vMerge w:val="restart"/>
                  <w:noWrap w:val="0"/>
                  <w:vAlign w:val="center"/>
                </w:tcPr>
                <w:p w14:paraId="739B7E22">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员工</w:t>
                  </w:r>
                </w:p>
              </w:tc>
              <w:tc>
                <w:tcPr>
                  <w:tcW w:w="823" w:type="pct"/>
                  <w:noWrap w:val="0"/>
                  <w:vAlign w:val="center"/>
                </w:tcPr>
                <w:p w14:paraId="2DDB02C2">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生活垃圾</w:t>
                  </w:r>
                </w:p>
              </w:tc>
              <w:tc>
                <w:tcPr>
                  <w:tcW w:w="418" w:type="pct"/>
                  <w:noWrap w:val="0"/>
                  <w:vAlign w:val="center"/>
                </w:tcPr>
                <w:p w14:paraId="0578CC04">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生活垃圾</w:t>
                  </w:r>
                </w:p>
              </w:tc>
              <w:tc>
                <w:tcPr>
                  <w:tcW w:w="864" w:type="pct"/>
                  <w:noWrap w:val="0"/>
                  <w:vAlign w:val="center"/>
                </w:tcPr>
                <w:p w14:paraId="01ECD5AA">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w:t>
                  </w:r>
                  <w:r>
                    <w:rPr>
                      <w:rFonts w:hint="default" w:ascii="Times New Roman" w:hAnsi="Times New Roman" w:cs="Times New Roman"/>
                      <w:color w:val="000000" w:themeColor="text1"/>
                      <w:sz w:val="21"/>
                      <w:szCs w:val="21"/>
                      <w:lang w:val="en-US" w:eastAsia="zh-CN"/>
                      <w14:textFill>
                        <w14:solidFill>
                          <w14:schemeClr w14:val="tx1"/>
                        </w14:solidFill>
                      </w14:textFill>
                    </w:rPr>
                    <w:t>01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-S6</w:t>
                  </w: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408" w:type="pct"/>
                  <w:noWrap w:val="0"/>
                  <w:vAlign w:val="center"/>
                </w:tcPr>
                <w:p w14:paraId="42F9DC95">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固态</w:t>
                  </w:r>
                </w:p>
              </w:tc>
              <w:tc>
                <w:tcPr>
                  <w:tcW w:w="698" w:type="pct"/>
                  <w:noWrap w:val="0"/>
                  <w:vAlign w:val="center"/>
                </w:tcPr>
                <w:p w14:paraId="3022A9F3">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本项目无新增员工，故无新增生活垃圾</w:t>
                  </w:r>
                </w:p>
              </w:tc>
              <w:tc>
                <w:tcPr>
                  <w:tcW w:w="1141" w:type="pct"/>
                  <w:noWrap w:val="0"/>
                  <w:vAlign w:val="center"/>
                </w:tcPr>
                <w:p w14:paraId="67A56067">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项目生活垃圾</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经</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垃圾收集桶收集后运至周边生活垃圾收集点，</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由环卫部门清运处置</w:t>
                  </w:r>
                </w:p>
              </w:tc>
            </w:tr>
            <w:tr w14:paraId="412C0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4" w:type="pct"/>
                  <w:vMerge w:val="continue"/>
                  <w:noWrap w:val="0"/>
                  <w:vAlign w:val="center"/>
                </w:tcPr>
                <w:p w14:paraId="7752B5F5">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23" w:type="pct"/>
                  <w:noWrap w:val="0"/>
                  <w:vAlign w:val="center"/>
                </w:tcPr>
                <w:p w14:paraId="17A92FA4">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生活污水处理设施污泥</w:t>
                  </w:r>
                </w:p>
              </w:tc>
              <w:tc>
                <w:tcPr>
                  <w:tcW w:w="418" w:type="pct"/>
                  <w:noWrap w:val="0"/>
                  <w:vAlign w:val="center"/>
                </w:tcPr>
                <w:p w14:paraId="0E582F40">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污泥</w:t>
                  </w:r>
                </w:p>
              </w:tc>
              <w:tc>
                <w:tcPr>
                  <w:tcW w:w="864" w:type="pct"/>
                  <w:noWrap w:val="0"/>
                  <w:vAlign w:val="center"/>
                </w:tcPr>
                <w:p w14:paraId="141E8957">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462-001-S90</w:t>
                  </w:r>
                </w:p>
              </w:tc>
              <w:tc>
                <w:tcPr>
                  <w:tcW w:w="408" w:type="pct"/>
                  <w:noWrap w:val="0"/>
                  <w:vAlign w:val="center"/>
                </w:tcPr>
                <w:p w14:paraId="7D5653D2">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固态</w:t>
                  </w:r>
                </w:p>
              </w:tc>
              <w:tc>
                <w:tcPr>
                  <w:tcW w:w="698" w:type="pct"/>
                  <w:noWrap w:val="0"/>
                  <w:vAlign w:val="center"/>
                </w:tcPr>
                <w:p w14:paraId="13C1BC1D">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2.808</w:t>
                  </w:r>
                </w:p>
              </w:tc>
              <w:tc>
                <w:tcPr>
                  <w:tcW w:w="1141" w:type="pct"/>
                  <w:noWrap w:val="0"/>
                  <w:vAlign w:val="center"/>
                </w:tcPr>
                <w:p w14:paraId="1852B9D2">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污泥委托环卫部门清运处置。</w:t>
                  </w:r>
                </w:p>
              </w:tc>
            </w:tr>
            <w:tr w14:paraId="0241D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4" w:type="pct"/>
                  <w:vMerge w:val="restart"/>
                  <w:noWrap w:val="0"/>
                  <w:vAlign w:val="center"/>
                </w:tcPr>
                <w:p w14:paraId="24C9DD66">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生产</w:t>
                  </w:r>
                </w:p>
              </w:tc>
              <w:tc>
                <w:tcPr>
                  <w:tcW w:w="823" w:type="pct"/>
                  <w:noWrap w:val="0"/>
                  <w:vAlign w:val="center"/>
                </w:tcPr>
                <w:p w14:paraId="75C7A3F1">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废弃包装物</w:t>
                  </w:r>
                </w:p>
              </w:tc>
              <w:tc>
                <w:tcPr>
                  <w:tcW w:w="418" w:type="pct"/>
                  <w:vMerge w:val="restart"/>
                  <w:noWrap w:val="0"/>
                  <w:vAlign w:val="center"/>
                </w:tcPr>
                <w:p w14:paraId="6670A159">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一般工业固废</w:t>
                  </w:r>
                </w:p>
              </w:tc>
              <w:tc>
                <w:tcPr>
                  <w:tcW w:w="864" w:type="pct"/>
                  <w:noWrap w:val="0"/>
                  <w:vAlign w:val="center"/>
                </w:tcPr>
                <w:p w14:paraId="71BC11C2">
                  <w:pPr>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900-099-S59</w:t>
                  </w:r>
                </w:p>
              </w:tc>
              <w:tc>
                <w:tcPr>
                  <w:tcW w:w="408" w:type="pct"/>
                  <w:noWrap w:val="0"/>
                  <w:vAlign w:val="center"/>
                </w:tcPr>
                <w:p w14:paraId="2A3796FC">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固态</w:t>
                  </w:r>
                </w:p>
              </w:tc>
              <w:tc>
                <w:tcPr>
                  <w:tcW w:w="698" w:type="pct"/>
                  <w:noWrap w:val="0"/>
                  <w:vAlign w:val="center"/>
                </w:tcPr>
                <w:p w14:paraId="43F7502D">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0.8</w:t>
                  </w:r>
                </w:p>
              </w:tc>
              <w:tc>
                <w:tcPr>
                  <w:tcW w:w="1141" w:type="pct"/>
                  <w:noWrap w:val="0"/>
                  <w:vAlign w:val="center"/>
                </w:tcPr>
                <w:p w14:paraId="42162A0F">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统一收集后外售</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废品回收站</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处置</w:t>
                  </w:r>
                </w:p>
              </w:tc>
            </w:tr>
            <w:tr w14:paraId="3956D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4" w:type="pct"/>
                  <w:vMerge w:val="continue"/>
                  <w:noWrap w:val="0"/>
                  <w:vAlign w:val="center"/>
                </w:tcPr>
                <w:p w14:paraId="47B72A14">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823" w:type="pct"/>
                  <w:noWrap w:val="0"/>
                  <w:vAlign w:val="center"/>
                </w:tcPr>
                <w:p w14:paraId="5B1E61AE">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不合格品</w:t>
                  </w:r>
                </w:p>
              </w:tc>
              <w:tc>
                <w:tcPr>
                  <w:tcW w:w="418" w:type="pct"/>
                  <w:vMerge w:val="continue"/>
                  <w:noWrap w:val="0"/>
                  <w:vAlign w:val="center"/>
                </w:tcPr>
                <w:p w14:paraId="71CA456C">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4" w:type="pct"/>
                  <w:noWrap w:val="0"/>
                  <w:vAlign w:val="center"/>
                </w:tcPr>
                <w:p w14:paraId="31CC74AE">
                  <w:pPr>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900-099-S59</w:t>
                  </w:r>
                </w:p>
              </w:tc>
              <w:tc>
                <w:tcPr>
                  <w:tcW w:w="408" w:type="pct"/>
                  <w:noWrap w:val="0"/>
                  <w:vAlign w:val="center"/>
                </w:tcPr>
                <w:p w14:paraId="7225BE2F">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固态</w:t>
                  </w:r>
                </w:p>
              </w:tc>
              <w:tc>
                <w:tcPr>
                  <w:tcW w:w="698" w:type="pct"/>
                  <w:noWrap w:val="0"/>
                  <w:vAlign w:val="center"/>
                </w:tcPr>
                <w:p w14:paraId="741CAC36">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0.75</w:t>
                  </w:r>
                </w:p>
              </w:tc>
              <w:tc>
                <w:tcPr>
                  <w:tcW w:w="1141" w:type="pct"/>
                  <w:noWrap w:val="0"/>
                  <w:vAlign w:val="center"/>
                </w:tcPr>
                <w:p w14:paraId="42551712">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统一收集后外售</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废品回收站</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处置</w:t>
                  </w:r>
                </w:p>
              </w:tc>
            </w:tr>
            <w:tr w14:paraId="43D45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4" w:type="pct"/>
                  <w:vMerge w:val="continue"/>
                  <w:noWrap w:val="0"/>
                  <w:vAlign w:val="center"/>
                </w:tcPr>
                <w:p w14:paraId="65019234">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823" w:type="pct"/>
                  <w:noWrap w:val="0"/>
                  <w:vAlign w:val="center"/>
                </w:tcPr>
                <w:p w14:paraId="4264F91F">
                  <w:pPr>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锅炉</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炉渣</w:t>
                  </w:r>
                </w:p>
              </w:tc>
              <w:tc>
                <w:tcPr>
                  <w:tcW w:w="418" w:type="pct"/>
                  <w:vMerge w:val="continue"/>
                  <w:noWrap w:val="0"/>
                  <w:vAlign w:val="center"/>
                </w:tcPr>
                <w:p w14:paraId="3CC21961">
                  <w:pPr>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4" w:type="pct"/>
                  <w:noWrap w:val="0"/>
                  <w:vAlign w:val="center"/>
                </w:tcPr>
                <w:p w14:paraId="05C56C2E">
                  <w:pPr>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900-099-S</w:t>
                  </w:r>
                  <w:r>
                    <w:rPr>
                      <w:rFonts w:hint="eastAsia" w:cs="Times New Roman"/>
                      <w:color w:val="000000" w:themeColor="text1"/>
                      <w:sz w:val="21"/>
                      <w:szCs w:val="21"/>
                      <w:lang w:val="en-US" w:eastAsia="zh-CN"/>
                      <w14:textFill>
                        <w14:solidFill>
                          <w14:schemeClr w14:val="tx1"/>
                        </w14:solidFill>
                      </w14:textFill>
                    </w:rPr>
                    <w:t>03</w:t>
                  </w:r>
                </w:p>
              </w:tc>
              <w:tc>
                <w:tcPr>
                  <w:tcW w:w="408" w:type="pct"/>
                  <w:noWrap w:val="0"/>
                  <w:vAlign w:val="center"/>
                </w:tcPr>
                <w:p w14:paraId="152AC27C">
                  <w:pPr>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698" w:type="pct"/>
                  <w:noWrap w:val="0"/>
                  <w:vAlign w:val="center"/>
                </w:tcPr>
                <w:p w14:paraId="7C651FD7">
                  <w:pPr>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8.374</w:t>
                  </w:r>
                </w:p>
              </w:tc>
              <w:tc>
                <w:tcPr>
                  <w:tcW w:w="1141" w:type="pct"/>
                  <w:vMerge w:val="restart"/>
                  <w:noWrap w:val="0"/>
                  <w:vAlign w:val="center"/>
                </w:tcPr>
                <w:p w14:paraId="522CEBF3">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生物质锅炉</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炉渣</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、布袋除尘灰</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定期清理袋装后暂存于</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堆渣棚</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内，</w:t>
                  </w:r>
                  <w:r>
                    <w:rPr>
                      <w:rFonts w:hint="eastAsia" w:cs="Times New Roman"/>
                      <w:b w:val="0"/>
                      <w:bCs w:val="0"/>
                      <w:color w:val="000000" w:themeColor="text1"/>
                      <w:sz w:val="21"/>
                      <w:szCs w:val="21"/>
                      <w:lang w:val="en-US" w:eastAsia="zh-CN"/>
                      <w14:textFill>
                        <w14:solidFill>
                          <w14:schemeClr w14:val="tx1"/>
                        </w14:solidFill>
                      </w14:textFill>
                    </w:rPr>
                    <w:t>作为原料外售其他企业进行综合利用</w:t>
                  </w:r>
                </w:p>
              </w:tc>
            </w:tr>
            <w:tr w14:paraId="1E448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4" w:type="pct"/>
                  <w:vMerge w:val="continue"/>
                  <w:noWrap w:val="0"/>
                  <w:vAlign w:val="center"/>
                </w:tcPr>
                <w:p w14:paraId="2D10A2AD">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823" w:type="pct"/>
                  <w:noWrap w:val="0"/>
                  <w:vAlign w:val="center"/>
                </w:tcPr>
                <w:p w14:paraId="3C1FBF3E">
                  <w:pPr>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除尘灰</w:t>
                  </w:r>
                </w:p>
              </w:tc>
              <w:tc>
                <w:tcPr>
                  <w:tcW w:w="418" w:type="pct"/>
                  <w:vMerge w:val="continue"/>
                  <w:noWrap w:val="0"/>
                  <w:vAlign w:val="center"/>
                </w:tcPr>
                <w:p w14:paraId="40B634F8">
                  <w:pPr>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4" w:type="pct"/>
                  <w:noWrap w:val="0"/>
                  <w:vAlign w:val="center"/>
                </w:tcPr>
                <w:p w14:paraId="3A827026">
                  <w:pPr>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900-099-S59</w:t>
                  </w:r>
                </w:p>
              </w:tc>
              <w:tc>
                <w:tcPr>
                  <w:tcW w:w="408" w:type="pct"/>
                  <w:noWrap w:val="0"/>
                  <w:vAlign w:val="center"/>
                </w:tcPr>
                <w:p w14:paraId="56B5F900">
                  <w:pPr>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698" w:type="pct"/>
                  <w:noWrap w:val="0"/>
                  <w:vAlign w:val="center"/>
                </w:tcPr>
                <w:p w14:paraId="3DCBA32F">
                  <w:pPr>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4.8921</w:t>
                  </w:r>
                </w:p>
              </w:tc>
              <w:tc>
                <w:tcPr>
                  <w:tcW w:w="1141" w:type="pct"/>
                  <w:vMerge w:val="continue"/>
                  <w:noWrap w:val="0"/>
                  <w:vAlign w:val="center"/>
                </w:tcPr>
                <w:p w14:paraId="73E9330C">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14:paraId="3AA8C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4" w:type="pct"/>
                  <w:vMerge w:val="continue"/>
                  <w:noWrap w:val="0"/>
                  <w:vAlign w:val="center"/>
                </w:tcPr>
                <w:p w14:paraId="78CA5E04">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823" w:type="pct"/>
                  <w:noWrap w:val="0"/>
                  <w:vAlign w:val="center"/>
                </w:tcPr>
                <w:p w14:paraId="63EAE36C">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废布袋</w:t>
                  </w:r>
                </w:p>
              </w:tc>
              <w:tc>
                <w:tcPr>
                  <w:tcW w:w="418" w:type="pct"/>
                  <w:vMerge w:val="continue"/>
                  <w:noWrap w:val="0"/>
                  <w:vAlign w:val="center"/>
                </w:tcPr>
                <w:p w14:paraId="012C7BDF">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4" w:type="pct"/>
                  <w:noWrap w:val="0"/>
                  <w:vAlign w:val="center"/>
                </w:tcPr>
                <w:p w14:paraId="50B0337C">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900-099-S</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59</w:t>
                  </w:r>
                </w:p>
              </w:tc>
              <w:tc>
                <w:tcPr>
                  <w:tcW w:w="408" w:type="pct"/>
                  <w:noWrap w:val="0"/>
                  <w:vAlign w:val="center"/>
                </w:tcPr>
                <w:p w14:paraId="4975EA86">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固态</w:t>
                  </w:r>
                </w:p>
              </w:tc>
              <w:tc>
                <w:tcPr>
                  <w:tcW w:w="698" w:type="pct"/>
                  <w:noWrap w:val="0"/>
                  <w:vAlign w:val="center"/>
                </w:tcPr>
                <w:p w14:paraId="1F463EE1">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0.05</w:t>
                  </w:r>
                </w:p>
              </w:tc>
              <w:tc>
                <w:tcPr>
                  <w:tcW w:w="1141" w:type="pct"/>
                  <w:noWrap w:val="0"/>
                  <w:vAlign w:val="center"/>
                </w:tcPr>
                <w:p w14:paraId="59AE6510">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统一收集后外售</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废品回收站</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处置</w:t>
                  </w:r>
                </w:p>
              </w:tc>
            </w:tr>
            <w:tr w14:paraId="25A7F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4" w:type="pct"/>
                  <w:vMerge w:val="continue"/>
                  <w:noWrap w:val="0"/>
                  <w:vAlign w:val="center"/>
                </w:tcPr>
                <w:p w14:paraId="76CA198E">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823" w:type="pct"/>
                  <w:noWrap w:val="0"/>
                  <w:vAlign w:val="center"/>
                </w:tcPr>
                <w:p w14:paraId="336466D8">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废离子交换树脂</w:t>
                  </w:r>
                </w:p>
              </w:tc>
              <w:tc>
                <w:tcPr>
                  <w:tcW w:w="418" w:type="pct"/>
                  <w:vMerge w:val="continue"/>
                  <w:noWrap w:val="0"/>
                  <w:vAlign w:val="center"/>
                </w:tcPr>
                <w:p w14:paraId="6236E8CE">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4" w:type="pct"/>
                  <w:noWrap w:val="0"/>
                  <w:vAlign w:val="center"/>
                </w:tcPr>
                <w:p w14:paraId="7DB9E199">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900-099-S</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59</w:t>
                  </w:r>
                </w:p>
              </w:tc>
              <w:tc>
                <w:tcPr>
                  <w:tcW w:w="408" w:type="pct"/>
                  <w:noWrap w:val="0"/>
                  <w:vAlign w:val="center"/>
                </w:tcPr>
                <w:p w14:paraId="54B92633">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固态</w:t>
                  </w:r>
                </w:p>
              </w:tc>
              <w:tc>
                <w:tcPr>
                  <w:tcW w:w="698" w:type="pct"/>
                  <w:noWrap w:val="0"/>
                  <w:vAlign w:val="center"/>
                </w:tcPr>
                <w:p w14:paraId="7388D4CF">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w:t>
                  </w:r>
                </w:p>
              </w:tc>
              <w:tc>
                <w:tcPr>
                  <w:tcW w:w="1141" w:type="pct"/>
                  <w:noWrap w:val="0"/>
                  <w:vAlign w:val="center"/>
                </w:tcPr>
                <w:p w14:paraId="4B75E77E">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由厂家直接回收，不在厂内暂存</w:t>
                  </w:r>
                </w:p>
              </w:tc>
            </w:tr>
            <w:tr w14:paraId="05E58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4" w:type="pct"/>
                  <w:noWrap w:val="0"/>
                  <w:vAlign w:val="center"/>
                </w:tcPr>
                <w:p w14:paraId="06837994">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设备维护保养</w:t>
                  </w:r>
                </w:p>
              </w:tc>
              <w:tc>
                <w:tcPr>
                  <w:tcW w:w="823" w:type="pct"/>
                  <w:noWrap w:val="0"/>
                  <w:vAlign w:val="center"/>
                </w:tcPr>
                <w:p w14:paraId="08021F6E">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废机油</w:t>
                  </w:r>
                </w:p>
              </w:tc>
              <w:tc>
                <w:tcPr>
                  <w:tcW w:w="418" w:type="pct"/>
                  <w:vMerge w:val="restart"/>
                  <w:noWrap w:val="0"/>
                  <w:vAlign w:val="center"/>
                </w:tcPr>
                <w:p w14:paraId="17989421">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危险废物</w:t>
                  </w:r>
                </w:p>
              </w:tc>
              <w:tc>
                <w:tcPr>
                  <w:tcW w:w="864" w:type="pct"/>
                  <w:noWrap w:val="0"/>
                  <w:vAlign w:val="center"/>
                </w:tcPr>
                <w:p w14:paraId="2D5FA2EB">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900-2</w:t>
                  </w:r>
                  <w:r>
                    <w:rPr>
                      <w:rFonts w:hint="eastAsia" w:cs="Times New Roman"/>
                      <w:color w:val="000000" w:themeColor="text1"/>
                      <w:sz w:val="21"/>
                      <w:szCs w:val="21"/>
                      <w:lang w:val="en-US" w:eastAsia="zh-CN"/>
                      <w14:textFill>
                        <w14:solidFill>
                          <w14:schemeClr w14:val="tx1"/>
                        </w14:solidFill>
                      </w14:textFill>
                    </w:rPr>
                    <w:t>49</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-08</w:t>
                  </w:r>
                </w:p>
              </w:tc>
              <w:tc>
                <w:tcPr>
                  <w:tcW w:w="408" w:type="pct"/>
                  <w:noWrap w:val="0"/>
                  <w:vAlign w:val="center"/>
                </w:tcPr>
                <w:p w14:paraId="6DFE7322">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液态</w:t>
                  </w:r>
                </w:p>
              </w:tc>
              <w:tc>
                <w:tcPr>
                  <w:tcW w:w="698" w:type="pct"/>
                  <w:noWrap w:val="0"/>
                  <w:vAlign w:val="center"/>
                </w:tcPr>
                <w:p w14:paraId="2D761CA4">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ascii="Times New Roman" w:hAnsi="Times New Roman"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1</w:t>
                  </w:r>
                </w:p>
              </w:tc>
              <w:tc>
                <w:tcPr>
                  <w:tcW w:w="1141" w:type="pct"/>
                  <w:vMerge w:val="restart"/>
                  <w:noWrap w:val="0"/>
                  <w:vAlign w:val="center"/>
                </w:tcPr>
                <w:p w14:paraId="6200AEC9">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危险废物经收集后分类暂存于</w:t>
                  </w:r>
                  <w:r>
                    <w:rPr>
                      <w:rFonts w:hint="eastAsia" w:cs="Times New Roman"/>
                      <w:color w:val="000000" w:themeColor="text1"/>
                      <w:sz w:val="21"/>
                      <w:szCs w:val="21"/>
                      <w:lang w:val="en-US" w:eastAsia="zh-CN"/>
                      <w14:textFill>
                        <w14:solidFill>
                          <w14:schemeClr w14:val="tx1"/>
                        </w14:solidFill>
                      </w14:textFill>
                    </w:rPr>
                    <w:t>危废贮存库</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，定期委托有资质单位清运处置</w:t>
                  </w:r>
                </w:p>
              </w:tc>
            </w:tr>
            <w:tr w14:paraId="58DAE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4" w:type="pct"/>
                  <w:noWrap w:val="0"/>
                  <w:vAlign w:val="center"/>
                </w:tcPr>
                <w:p w14:paraId="4C6B44ED">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生产</w:t>
                  </w:r>
                </w:p>
              </w:tc>
              <w:tc>
                <w:tcPr>
                  <w:tcW w:w="823" w:type="pct"/>
                  <w:noWrap w:val="0"/>
                  <w:vAlign w:val="center"/>
                </w:tcPr>
                <w:p w14:paraId="2EC7DF69">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废活性炭</w:t>
                  </w:r>
                </w:p>
              </w:tc>
              <w:tc>
                <w:tcPr>
                  <w:tcW w:w="418" w:type="pct"/>
                  <w:vMerge w:val="continue"/>
                  <w:noWrap w:val="0"/>
                  <w:vAlign w:val="center"/>
                </w:tcPr>
                <w:p w14:paraId="0B669AF0">
                  <w:pPr>
                    <w:pStyle w:val="129"/>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4" w:type="pct"/>
                  <w:noWrap w:val="0"/>
                  <w:vAlign w:val="center"/>
                </w:tcPr>
                <w:p w14:paraId="15697090">
                  <w:pPr>
                    <w:pStyle w:val="129"/>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900-039-49</w:t>
                  </w:r>
                </w:p>
              </w:tc>
              <w:tc>
                <w:tcPr>
                  <w:tcW w:w="408" w:type="pct"/>
                  <w:noWrap w:val="0"/>
                  <w:vAlign w:val="center"/>
                </w:tcPr>
                <w:p w14:paraId="7005FC37">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固态</w:t>
                  </w:r>
                </w:p>
              </w:tc>
              <w:tc>
                <w:tcPr>
                  <w:tcW w:w="698" w:type="pct"/>
                  <w:noWrap w:val="0"/>
                  <w:vAlign w:val="center"/>
                </w:tcPr>
                <w:p w14:paraId="7AA6C03F">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1.4424</w:t>
                  </w:r>
                </w:p>
              </w:tc>
              <w:tc>
                <w:tcPr>
                  <w:tcW w:w="1141" w:type="pct"/>
                  <w:vMerge w:val="continue"/>
                  <w:noWrap w:val="0"/>
                  <w:vAlign w:val="center"/>
                </w:tcPr>
                <w:p w14:paraId="706B2002">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bl>
          <w:p w14:paraId="62BBA306">
            <w:pPr>
              <w:keepNext w:val="0"/>
              <w:keepLines/>
              <w:pageBreakBefore w:val="0"/>
              <w:widowControl/>
              <w:kinsoku/>
              <w:overflowPunct/>
              <w:bidi w:val="0"/>
              <w:adjustRightInd/>
              <w:spacing w:line="360" w:lineRule="auto"/>
              <w:ind w:firstLine="482" w:firstLineChars="200"/>
              <w:jc w:val="left"/>
              <w:rPr>
                <w:rFonts w:hint="default" w:ascii="Times New Roman" w:hAnsi="Times New Roman" w:cs="Times New Roman"/>
                <w:b/>
                <w:bCs/>
                <w:color w:val="000000" w:themeColor="text1"/>
                <w:kern w:val="0"/>
                <w:sz w:val="24"/>
                <w14:textFill>
                  <w14:solidFill>
                    <w14:schemeClr w14:val="tx1"/>
                  </w14:solidFill>
                </w14:textFill>
              </w:rPr>
            </w:pPr>
            <w:r>
              <w:rPr>
                <w:rFonts w:hint="default" w:ascii="Times New Roman" w:hAnsi="Times New Roman" w:cs="Times New Roman"/>
                <w:b/>
                <w:bCs/>
                <w:color w:val="000000" w:themeColor="text1"/>
                <w:kern w:val="0"/>
                <w:sz w:val="24"/>
                <w14:textFill>
                  <w14:solidFill>
                    <w14:schemeClr w14:val="tx1"/>
                  </w14:solidFill>
                </w14:textFill>
              </w:rPr>
              <w:t>（2）危险废物属性及环境危险特性</w:t>
            </w:r>
          </w:p>
          <w:p w14:paraId="2B4530F3">
            <w:pPr>
              <w:pStyle w:val="17"/>
              <w:keepNext w:val="0"/>
              <w:keepLines/>
              <w:pageBreakBefore w:val="0"/>
              <w:kinsoku/>
              <w:overflowPunct/>
              <w:bidi w:val="0"/>
              <w:adjustRightInd/>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w:t>
            </w:r>
            <w:r>
              <w:rPr>
                <w:rFonts w:hint="default" w:ascii="Times New Roman" w:hAnsi="Times New Roman" w:cs="Times New Roman"/>
                <w:b/>
                <w:bCs/>
                <w:color w:val="000000" w:themeColor="text1"/>
                <w:sz w:val="21"/>
                <w:szCs w:val="21"/>
                <w:lang w:val="en-US" w:eastAsia="zh-CN"/>
                <w14:textFill>
                  <w14:solidFill>
                    <w14:schemeClr w14:val="tx1"/>
                  </w14:solidFill>
                </w14:textFill>
              </w:rPr>
              <w:t>2</w:t>
            </w:r>
            <w:r>
              <w:rPr>
                <w:rFonts w:hint="eastAsia" w:ascii="Times New Roman" w:hAnsi="Times New Roman" w:cs="Times New Roman"/>
                <w:b/>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 xml:space="preserve"> 危险废物属性及环境危险特性一览表</w:t>
            </w:r>
          </w:p>
          <w:tbl>
            <w:tblPr>
              <w:tblStyle w:val="33"/>
              <w:tblW w:w="499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799"/>
              <w:gridCol w:w="1368"/>
              <w:gridCol w:w="917"/>
              <w:gridCol w:w="1035"/>
              <w:gridCol w:w="3337"/>
              <w:gridCol w:w="737"/>
            </w:tblGrid>
            <w:tr w14:paraId="58137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799" w:type="dxa"/>
                  <w:tcBorders>
                    <w:tl2br w:val="nil"/>
                    <w:tr2bl w:val="nil"/>
                  </w:tcBorders>
                  <w:vAlign w:val="center"/>
                </w:tcPr>
                <w:p w14:paraId="339A6B28">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名称</w:t>
                  </w:r>
                </w:p>
              </w:tc>
              <w:tc>
                <w:tcPr>
                  <w:tcW w:w="1368" w:type="dxa"/>
                  <w:tcBorders>
                    <w:tl2br w:val="nil"/>
                    <w:tr2bl w:val="nil"/>
                  </w:tcBorders>
                  <w:vAlign w:val="center"/>
                </w:tcPr>
                <w:p w14:paraId="28E46AAF">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废物类别</w:t>
                  </w:r>
                </w:p>
              </w:tc>
              <w:tc>
                <w:tcPr>
                  <w:tcW w:w="917" w:type="dxa"/>
                  <w:tcBorders>
                    <w:tl2br w:val="nil"/>
                    <w:tr2bl w:val="nil"/>
                  </w:tcBorders>
                  <w:vAlign w:val="center"/>
                </w:tcPr>
                <w:p w14:paraId="4872AB5D">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行业来源</w:t>
                  </w:r>
                </w:p>
              </w:tc>
              <w:tc>
                <w:tcPr>
                  <w:tcW w:w="1035" w:type="dxa"/>
                  <w:tcBorders>
                    <w:tl2br w:val="nil"/>
                    <w:tr2bl w:val="nil"/>
                  </w:tcBorders>
                  <w:vAlign w:val="center"/>
                </w:tcPr>
                <w:p w14:paraId="539ECC7D">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废物代码</w:t>
                  </w:r>
                </w:p>
              </w:tc>
              <w:tc>
                <w:tcPr>
                  <w:tcW w:w="3337" w:type="dxa"/>
                  <w:tcBorders>
                    <w:tl2br w:val="nil"/>
                    <w:tr2bl w:val="nil"/>
                  </w:tcBorders>
                  <w:vAlign w:val="center"/>
                </w:tcPr>
                <w:p w14:paraId="1E5BC859">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危险废物</w:t>
                  </w:r>
                </w:p>
              </w:tc>
              <w:tc>
                <w:tcPr>
                  <w:tcW w:w="737" w:type="dxa"/>
                  <w:tcBorders>
                    <w:tl2br w:val="nil"/>
                    <w:tr2bl w:val="nil"/>
                  </w:tcBorders>
                  <w:vAlign w:val="center"/>
                </w:tcPr>
                <w:p w14:paraId="239A5304">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危险特性</w:t>
                  </w:r>
                </w:p>
              </w:tc>
            </w:tr>
            <w:tr w14:paraId="4CB98A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799" w:type="dxa"/>
                  <w:tcBorders>
                    <w:tl2br w:val="nil"/>
                    <w:tr2bl w:val="nil"/>
                  </w:tcBorders>
                  <w:vAlign w:val="center"/>
                </w:tcPr>
                <w:p w14:paraId="1C5DB639">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废</w:t>
                  </w:r>
                  <w:r>
                    <w:rPr>
                      <w:rFonts w:hint="default" w:ascii="Times New Roman" w:hAnsi="Times New Roman" w:cs="Times New Roman"/>
                      <w:color w:val="000000" w:themeColor="text1"/>
                      <w:sz w:val="21"/>
                      <w:szCs w:val="21"/>
                      <w:lang w:eastAsia="zh-CN"/>
                      <w14:textFill>
                        <w14:solidFill>
                          <w14:schemeClr w14:val="tx1"/>
                        </w14:solidFill>
                      </w14:textFill>
                    </w:rPr>
                    <w:t>机油</w:t>
                  </w:r>
                </w:p>
              </w:tc>
              <w:tc>
                <w:tcPr>
                  <w:tcW w:w="1368" w:type="dxa"/>
                  <w:tcBorders>
                    <w:tl2br w:val="nil"/>
                    <w:tr2bl w:val="nil"/>
                  </w:tcBorders>
                  <w:vAlign w:val="center"/>
                </w:tcPr>
                <w:p w14:paraId="3D6B125A">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HW08废矿物油</w:t>
                  </w:r>
                </w:p>
              </w:tc>
              <w:tc>
                <w:tcPr>
                  <w:tcW w:w="917" w:type="dxa"/>
                  <w:tcBorders>
                    <w:tl2br w:val="nil"/>
                    <w:tr2bl w:val="nil"/>
                  </w:tcBorders>
                  <w:vAlign w:val="center"/>
                </w:tcPr>
                <w:p w14:paraId="1EF4A080">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非特定行业</w:t>
                  </w:r>
                </w:p>
              </w:tc>
              <w:tc>
                <w:tcPr>
                  <w:tcW w:w="1035" w:type="dxa"/>
                  <w:tcBorders>
                    <w:tl2br w:val="nil"/>
                    <w:tr2bl w:val="nil"/>
                  </w:tcBorders>
                  <w:vAlign w:val="center"/>
                </w:tcPr>
                <w:p w14:paraId="7E55DDE8">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900-2</w:t>
                  </w:r>
                  <w:r>
                    <w:rPr>
                      <w:rFonts w:hint="eastAsia" w:cs="Times New Roman"/>
                      <w:color w:val="000000" w:themeColor="text1"/>
                      <w:sz w:val="21"/>
                      <w:szCs w:val="21"/>
                      <w:lang w:val="en-US" w:eastAsia="zh-CN"/>
                      <w14:textFill>
                        <w14:solidFill>
                          <w14:schemeClr w14:val="tx1"/>
                        </w14:solidFill>
                      </w14:textFill>
                    </w:rPr>
                    <w:t>49</w:t>
                  </w:r>
                  <w:r>
                    <w:rPr>
                      <w:rFonts w:hint="default" w:ascii="Times New Roman" w:hAnsi="Times New Roman" w:eastAsia="宋体" w:cs="Times New Roman"/>
                      <w:color w:val="000000" w:themeColor="text1"/>
                      <w:sz w:val="21"/>
                      <w:szCs w:val="21"/>
                      <w14:textFill>
                        <w14:solidFill>
                          <w14:schemeClr w14:val="tx1"/>
                        </w14:solidFill>
                      </w14:textFill>
                    </w:rPr>
                    <w:t>-08</w:t>
                  </w:r>
                </w:p>
              </w:tc>
              <w:tc>
                <w:tcPr>
                  <w:tcW w:w="3337" w:type="dxa"/>
                  <w:tcBorders>
                    <w:tl2br w:val="nil"/>
                    <w:tr2bl w:val="nil"/>
                  </w:tcBorders>
                  <w:vAlign w:val="center"/>
                </w:tcPr>
                <w:p w14:paraId="2955B3A5">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其他生产、销售、使用过程中产生的废矿物油及沾染矿物油的废弃包装物</w:t>
                  </w:r>
                </w:p>
              </w:tc>
              <w:tc>
                <w:tcPr>
                  <w:tcW w:w="737" w:type="dxa"/>
                  <w:tcBorders>
                    <w:tl2br w:val="nil"/>
                    <w:tr2bl w:val="nil"/>
                  </w:tcBorders>
                  <w:vAlign w:val="center"/>
                </w:tcPr>
                <w:p w14:paraId="556B9BBB">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T，I</w:t>
                  </w:r>
                </w:p>
              </w:tc>
            </w:tr>
            <w:tr w14:paraId="6C8DA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799" w:type="dxa"/>
                  <w:tcBorders>
                    <w:tl2br w:val="nil"/>
                    <w:tr2bl w:val="nil"/>
                  </w:tcBorders>
                  <w:vAlign w:val="center"/>
                </w:tcPr>
                <w:p w14:paraId="742DE89A">
                  <w:pPr>
                    <w:pStyle w:val="129"/>
                    <w:ind w:firstLine="0" w:firstLineChars="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废活性炭</w:t>
                  </w:r>
                </w:p>
              </w:tc>
              <w:tc>
                <w:tcPr>
                  <w:tcW w:w="1368" w:type="dxa"/>
                  <w:tcBorders>
                    <w:tl2br w:val="nil"/>
                    <w:tr2bl w:val="nil"/>
                  </w:tcBorders>
                  <w:vAlign w:val="center"/>
                </w:tcPr>
                <w:p w14:paraId="5CD2DC77">
                  <w:pPr>
                    <w:pStyle w:val="129"/>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HW49其他废物</w:t>
                  </w:r>
                </w:p>
              </w:tc>
              <w:tc>
                <w:tcPr>
                  <w:tcW w:w="917" w:type="dxa"/>
                  <w:tcBorders>
                    <w:tl2br w:val="nil"/>
                    <w:tr2bl w:val="nil"/>
                  </w:tcBorders>
                  <w:vAlign w:val="center"/>
                </w:tcPr>
                <w:p w14:paraId="097E0EA1">
                  <w:pPr>
                    <w:pStyle w:val="129"/>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非特定行业</w:t>
                  </w:r>
                </w:p>
              </w:tc>
              <w:tc>
                <w:tcPr>
                  <w:tcW w:w="1035" w:type="dxa"/>
                  <w:tcBorders>
                    <w:tl2br w:val="nil"/>
                    <w:tr2bl w:val="nil"/>
                  </w:tcBorders>
                  <w:vAlign w:val="center"/>
                </w:tcPr>
                <w:p w14:paraId="5AA64C51">
                  <w:pPr>
                    <w:pStyle w:val="129"/>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900-039-49</w:t>
                  </w:r>
                </w:p>
              </w:tc>
              <w:tc>
                <w:tcPr>
                  <w:tcW w:w="3337" w:type="dxa"/>
                  <w:tcBorders>
                    <w:tl2br w:val="nil"/>
                    <w:tr2bl w:val="nil"/>
                  </w:tcBorders>
                  <w:vAlign w:val="center"/>
                </w:tcPr>
                <w:p w14:paraId="4884DCDE">
                  <w:pPr>
                    <w:pStyle w:val="129"/>
                    <w:ind w:firstLine="0" w:firstLineChars="0"/>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烟气、VOCs治理过程（不包括餐饮行业油烟治理过程）产生的废活性炭</w:t>
                  </w:r>
                </w:p>
              </w:tc>
              <w:tc>
                <w:tcPr>
                  <w:tcW w:w="737" w:type="dxa"/>
                  <w:tcBorders>
                    <w:tl2br w:val="nil"/>
                    <w:tr2bl w:val="nil"/>
                  </w:tcBorders>
                  <w:vAlign w:val="center"/>
                </w:tcPr>
                <w:p w14:paraId="1EB0F943">
                  <w:pPr>
                    <w:pStyle w:val="129"/>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w:t>
                  </w:r>
                </w:p>
              </w:tc>
            </w:tr>
          </w:tbl>
          <w:p w14:paraId="3D24B949">
            <w:pPr>
              <w:pStyle w:val="151"/>
              <w:ind w:firstLine="482"/>
              <w:rPr>
                <w:rFonts w:hint="default" w:ascii="Times New Roman" w:hAnsi="Times New Roman" w:cs="Times New Roman"/>
                <w:b/>
                <w:bCs/>
                <w:color w:val="000000" w:themeColor="text1"/>
                <w:szCs w:val="24"/>
                <w14:textFill>
                  <w14:solidFill>
                    <w14:schemeClr w14:val="tx1"/>
                  </w14:solidFill>
                </w14:textFill>
              </w:rPr>
            </w:pPr>
            <w:r>
              <w:rPr>
                <w:rFonts w:hint="default" w:ascii="Times New Roman" w:hAnsi="Times New Roman" w:cs="Times New Roman"/>
                <w:b/>
                <w:bCs/>
                <w:color w:val="000000" w:themeColor="text1"/>
                <w:szCs w:val="24"/>
                <w14:textFill>
                  <w14:solidFill>
                    <w14:schemeClr w14:val="tx1"/>
                  </w14:solidFill>
                </w14:textFill>
              </w:rPr>
              <w:t>（3）环境管理要求</w:t>
            </w:r>
          </w:p>
          <w:p w14:paraId="4E7DB971">
            <w:pPr>
              <w:adjustRightInd w:val="0"/>
              <w:snapToGrid w:val="0"/>
              <w:spacing w:line="360" w:lineRule="auto"/>
              <w:ind w:firstLine="480" w:firstLineChars="200"/>
              <w:rPr>
                <w:rFonts w:hint="default" w:ascii="Times New Roman" w:hAnsi="Times New Roman" w:cs="Times New Roman"/>
                <w:color w:val="000000" w:themeColor="text1"/>
                <w:sz w:val="24"/>
                <w:lang w:val="zh-CN"/>
                <w14:textFill>
                  <w14:solidFill>
                    <w14:schemeClr w14:val="tx1"/>
                  </w14:solidFill>
                </w14:textFill>
              </w:rPr>
            </w:pPr>
            <w:r>
              <w:rPr>
                <w:rFonts w:hint="default" w:ascii="Times New Roman" w:hAnsi="Times New Roman" w:cs="Times New Roman"/>
                <w:color w:val="000000" w:themeColor="text1"/>
                <w:sz w:val="24"/>
                <w:lang w:val="zh-CN"/>
                <w14:textFill>
                  <w14:solidFill>
                    <w14:schemeClr w14:val="tx1"/>
                  </w14:solidFill>
                </w14:textFill>
              </w:rPr>
              <w:t>1）固体废物贮存、处置场按《环境保护图形标志固体废物贮存（处置）场（GB15562.2-1995）》及修改单要求，设置图形标志。危险废物装载容器和包装物张贴标签；收集、贮存、运输、利用、处置危险废物的设施、场所设置危险废物警示标志和危险废物标签，标识标志正确、清晰、完好。</w:t>
            </w:r>
          </w:p>
          <w:p w14:paraId="684431DC">
            <w:pPr>
              <w:adjustRightInd w:val="0"/>
              <w:snapToGrid w:val="0"/>
              <w:spacing w:line="360" w:lineRule="auto"/>
              <w:ind w:firstLine="480" w:firstLineChars="200"/>
              <w:rPr>
                <w:rFonts w:hint="default" w:ascii="Times New Roman" w:hAnsi="Times New Roman" w:cs="Times New Roman"/>
                <w:color w:val="000000" w:themeColor="text1"/>
                <w:sz w:val="24"/>
                <w:lang w:val="zh-CN"/>
                <w14:textFill>
                  <w14:solidFill>
                    <w14:schemeClr w14:val="tx1"/>
                  </w14:solidFill>
                </w14:textFill>
              </w:rPr>
            </w:pPr>
            <w:r>
              <w:rPr>
                <w:rFonts w:hint="default" w:ascii="Times New Roman" w:hAnsi="Times New Roman" w:cs="Times New Roman"/>
                <w:color w:val="000000" w:themeColor="text1"/>
                <w:sz w:val="24"/>
                <w:lang w:val="zh-CN"/>
                <w14:textFill>
                  <w14:solidFill>
                    <w14:schemeClr w14:val="tx1"/>
                  </w14:solidFill>
                </w14:textFill>
              </w:rPr>
              <w:t>2）应制定危险废物管理计划，管理计划内容包括所产生的全部危险废物种类，根据实际生产情况预测产生量并提出减少产生量的措施。</w:t>
            </w:r>
          </w:p>
          <w:p w14:paraId="73A4649F">
            <w:pPr>
              <w:adjustRightInd w:val="0"/>
              <w:snapToGrid w:val="0"/>
              <w:spacing w:line="360" w:lineRule="auto"/>
              <w:ind w:firstLine="480" w:firstLineChars="200"/>
              <w:rPr>
                <w:rFonts w:hint="default" w:ascii="Times New Roman" w:hAnsi="Times New Roman" w:cs="Times New Roman"/>
                <w:color w:val="000000" w:themeColor="text1"/>
                <w:sz w:val="24"/>
                <w:lang w:val="zh-CN"/>
                <w14:textFill>
                  <w14:solidFill>
                    <w14:schemeClr w14:val="tx1"/>
                  </w14:solidFill>
                </w14:textFill>
              </w:rPr>
            </w:pPr>
            <w:r>
              <w:rPr>
                <w:rFonts w:hint="default" w:ascii="Times New Roman" w:hAnsi="Times New Roman" w:cs="Times New Roman"/>
                <w:color w:val="000000" w:themeColor="text1"/>
                <w:sz w:val="24"/>
                <w:lang w:val="zh-CN"/>
                <w14:textFill>
                  <w14:solidFill>
                    <w14:schemeClr w14:val="tx1"/>
                  </w14:solidFill>
                </w14:textFill>
              </w:rPr>
              <w:t>3）危险废物贮存设施符合《危险废物贮存污染控制标准》（GB18597-2023）的有关要求。</w:t>
            </w:r>
            <w:r>
              <w:rPr>
                <w:rFonts w:hint="eastAsia" w:cs="Times New Roman"/>
                <w:color w:val="000000" w:themeColor="text1"/>
                <w:sz w:val="24"/>
                <w:lang w:val="zh-CN"/>
                <w14:textFill>
                  <w14:solidFill>
                    <w14:schemeClr w14:val="tx1"/>
                  </w14:solidFill>
                </w14:textFill>
              </w:rPr>
              <w:t>危险废物贮存库</w:t>
            </w:r>
            <w:r>
              <w:rPr>
                <w:rFonts w:hint="default" w:ascii="Times New Roman" w:hAnsi="Times New Roman" w:cs="Times New Roman"/>
                <w:color w:val="000000" w:themeColor="text1"/>
                <w:sz w:val="24"/>
                <w:lang w:val="zh-CN"/>
                <w14:textFill>
                  <w14:solidFill>
                    <w14:schemeClr w14:val="tx1"/>
                  </w14:solidFill>
                </w14:textFill>
              </w:rPr>
              <w:t>采取必要的防风、防晒、防雨、防漏、防渗、防腐以及其他环境污染防治措施，不应露天堆放危险废物。</w:t>
            </w:r>
          </w:p>
          <w:p w14:paraId="10175DBD">
            <w:pPr>
              <w:adjustRightInd w:val="0"/>
              <w:snapToGrid w:val="0"/>
              <w:spacing w:line="360" w:lineRule="auto"/>
              <w:ind w:firstLine="480" w:firstLineChars="200"/>
              <w:rPr>
                <w:rFonts w:hint="default" w:ascii="Times New Roman" w:hAnsi="Times New Roman" w:cs="Times New Roman"/>
                <w:color w:val="000000" w:themeColor="text1"/>
                <w:sz w:val="24"/>
                <w:lang w:val="zh-CN"/>
                <w14:textFill>
                  <w14:solidFill>
                    <w14:schemeClr w14:val="tx1"/>
                  </w14:solidFill>
                </w14:textFill>
              </w:rPr>
            </w:pPr>
            <w:r>
              <w:rPr>
                <w:rFonts w:hint="default" w:ascii="Times New Roman" w:hAnsi="Times New Roman" w:cs="Times New Roman"/>
                <w:color w:val="000000" w:themeColor="text1"/>
                <w:sz w:val="24"/>
                <w:lang w:val="zh-CN"/>
                <w14:textFill>
                  <w14:solidFill>
                    <w14:schemeClr w14:val="tx1"/>
                  </w14:solidFill>
                </w14:textFill>
              </w:rPr>
              <w:t>4）按照危险废物特性分类进行收集、贮存。不同种类的危险废物分开存放，有明显间隔，摆放整齐划一，每一类危险废物单独设置标识牌，不存放除危险废物和应急工具以外的物品。</w:t>
            </w:r>
          </w:p>
          <w:p w14:paraId="058CBB28">
            <w:pPr>
              <w:adjustRightInd w:val="0"/>
              <w:snapToGrid w:val="0"/>
              <w:spacing w:line="360" w:lineRule="auto"/>
              <w:ind w:firstLine="480" w:firstLineChars="200"/>
              <w:rPr>
                <w:rFonts w:hint="default" w:ascii="Times New Roman" w:hAnsi="Times New Roman" w:cs="Times New Roman"/>
                <w:color w:val="000000" w:themeColor="text1"/>
                <w:sz w:val="24"/>
                <w:lang w:val="zh-CN"/>
                <w14:textFill>
                  <w14:solidFill>
                    <w14:schemeClr w14:val="tx1"/>
                  </w14:solidFill>
                </w14:textFill>
              </w:rPr>
            </w:pPr>
            <w:r>
              <w:rPr>
                <w:rFonts w:hint="default" w:ascii="Times New Roman" w:hAnsi="Times New Roman" w:cs="Times New Roman"/>
                <w:color w:val="000000" w:themeColor="text1"/>
                <w:sz w:val="24"/>
                <w:lang w:val="zh-CN"/>
                <w14:textFill>
                  <w14:solidFill>
                    <w14:schemeClr w14:val="tx1"/>
                  </w14:solidFill>
                </w14:textFill>
              </w:rPr>
              <w:t>5）建设单位应结合自身实际生产情况，如实记载危险废物的种类、产生量、流向、贮存、利用处置等信息，定期汇总，并分类装订成册，由专人管理，防止遗失。可通过</w:t>
            </w:r>
            <w:r>
              <w:rPr>
                <w:rFonts w:hint="default" w:ascii="Times New Roman" w:hAnsi="Times New Roman" w:cs="Times New Roman"/>
                <w:color w:val="000000" w:themeColor="text1"/>
                <w:sz w:val="24"/>
                <w:lang w:val="zh-CN" w:eastAsia="zh-CN"/>
                <w14:textFill>
                  <w14:solidFill>
                    <w14:schemeClr w14:val="tx1"/>
                  </w14:solidFill>
                </w14:textFill>
              </w:rPr>
              <w:t>“</w:t>
            </w:r>
            <w:r>
              <w:rPr>
                <w:rFonts w:hint="default" w:ascii="Times New Roman" w:hAnsi="Times New Roman" w:cs="Times New Roman"/>
                <w:color w:val="000000" w:themeColor="text1"/>
                <w:sz w:val="24"/>
                <w:lang w:val="zh-CN"/>
                <w14:textFill>
                  <w14:solidFill>
                    <w14:schemeClr w14:val="tx1"/>
                  </w14:solidFill>
                </w14:textFill>
              </w:rPr>
              <w:t>固体废物管理信息平台</w:t>
            </w:r>
            <w:r>
              <w:rPr>
                <w:rFonts w:hint="default" w:ascii="Times New Roman" w:hAnsi="Times New Roman" w:cs="Times New Roman"/>
                <w:color w:val="000000" w:themeColor="text1"/>
                <w:sz w:val="24"/>
                <w:lang w:val="zh-CN" w:eastAsia="zh-CN"/>
                <w14:textFill>
                  <w14:solidFill>
                    <w14:schemeClr w14:val="tx1"/>
                  </w14:solidFill>
                </w14:textFill>
              </w:rPr>
              <w:t>”</w:t>
            </w:r>
            <w:r>
              <w:rPr>
                <w:rFonts w:hint="default" w:ascii="Times New Roman" w:hAnsi="Times New Roman" w:cs="Times New Roman"/>
                <w:color w:val="000000" w:themeColor="text1"/>
                <w:sz w:val="24"/>
                <w:lang w:val="zh-CN"/>
                <w14:textFill>
                  <w14:solidFill>
                    <w14:schemeClr w14:val="tx1"/>
                  </w14:solidFill>
                </w14:textFill>
              </w:rPr>
              <w:t>对危险废物管理台账进行信息化管理。具体要求详见《危险废物产生单位建立台账的要求》。</w:t>
            </w:r>
          </w:p>
          <w:p w14:paraId="3EEDEC0D">
            <w:pPr>
              <w:adjustRightInd w:val="0"/>
              <w:snapToGrid w:val="0"/>
              <w:spacing w:line="360" w:lineRule="auto"/>
              <w:ind w:firstLine="480" w:firstLineChars="200"/>
              <w:rPr>
                <w:rFonts w:hint="default" w:ascii="Times New Roman" w:hAnsi="Times New Roman" w:cs="Times New Roman"/>
                <w:color w:val="000000" w:themeColor="text1"/>
                <w:sz w:val="24"/>
                <w:lang w:val="zh-CN"/>
                <w14:textFill>
                  <w14:solidFill>
                    <w14:schemeClr w14:val="tx1"/>
                  </w14:solidFill>
                </w14:textFill>
              </w:rPr>
            </w:pPr>
            <w:r>
              <w:rPr>
                <w:rFonts w:hint="default" w:ascii="Times New Roman" w:hAnsi="Times New Roman" w:cs="Times New Roman"/>
                <w:color w:val="000000" w:themeColor="text1"/>
                <w:sz w:val="24"/>
                <w:lang w:val="zh-CN"/>
                <w14:textFill>
                  <w14:solidFill>
                    <w14:schemeClr w14:val="tx1"/>
                  </w14:solidFill>
                </w14:textFill>
              </w:rPr>
              <w:t>6）签订危险废物转移合同，且合同在有效期内。并办理危险废物转移联单，且转移联单上的危险废物种类、数量与实际产生情况相符，至少保存5年。</w:t>
            </w:r>
          </w:p>
          <w:p w14:paraId="4AA3C4A8">
            <w:pPr>
              <w:pStyle w:val="151"/>
              <w:ind w:firstLine="482"/>
              <w:rPr>
                <w:rFonts w:hint="default" w:ascii="Times New Roman" w:hAnsi="Times New Roman" w:cs="Times New Roman"/>
                <w:b/>
                <w:bCs/>
                <w:color w:val="000000" w:themeColor="text1"/>
                <w:szCs w:val="24"/>
                <w:lang w:val="en-US" w:eastAsia="zh-CN"/>
                <w14:textFill>
                  <w14:solidFill>
                    <w14:schemeClr w14:val="tx1"/>
                  </w14:solidFill>
                </w14:textFill>
              </w:rPr>
            </w:pPr>
            <w:r>
              <w:rPr>
                <w:rFonts w:hint="eastAsia" w:cs="Times New Roman"/>
                <w:b/>
                <w:bCs/>
                <w:color w:val="000000" w:themeColor="text1"/>
                <w:szCs w:val="24"/>
                <w:lang w:val="en-US" w:eastAsia="zh-CN"/>
                <w14:textFill>
                  <w14:solidFill>
                    <w14:schemeClr w14:val="tx1"/>
                  </w14:solidFill>
                </w14:textFill>
              </w:rPr>
              <w:t>5、</w:t>
            </w:r>
            <w:r>
              <w:rPr>
                <w:rFonts w:hint="eastAsia"/>
                <w:b/>
                <w:bCs/>
                <w:color w:val="000000" w:themeColor="text1"/>
                <w:szCs w:val="24"/>
                <w:lang w:val="en-US" w:eastAsia="zh-CN"/>
                <w14:textFill>
                  <w14:solidFill>
                    <w14:schemeClr w14:val="tx1"/>
                  </w14:solidFill>
                </w14:textFill>
              </w:rPr>
              <w:t>三本账核算</w:t>
            </w:r>
          </w:p>
          <w:p w14:paraId="71488BC2">
            <w:pPr>
              <w:pStyle w:val="17"/>
              <w:adjustRightIn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w:t>
            </w:r>
            <w:r>
              <w:rPr>
                <w:rFonts w:hint="eastAsia" w:ascii="Times New Roman" w:hAnsi="Times New Roman" w:cs="Times New Roman"/>
                <w:b/>
                <w:color w:val="000000" w:themeColor="text1"/>
                <w:sz w:val="21"/>
                <w:szCs w:val="21"/>
                <w:lang w:val="en-US" w:eastAsia="zh-CN"/>
                <w14:textFill>
                  <w14:solidFill>
                    <w14:schemeClr w14:val="tx1"/>
                  </w14:solidFill>
                </w14:textFill>
              </w:rPr>
              <w:t>4-24</w:t>
            </w:r>
            <w:r>
              <w:rPr>
                <w:rFonts w:hint="default" w:ascii="Times New Roman" w:hAnsi="Times New Roman" w:eastAsia="宋体" w:cs="Times New Roman"/>
                <w:b/>
                <w:color w:val="000000" w:themeColor="text1"/>
                <w:sz w:val="21"/>
                <w:szCs w:val="21"/>
                <w14:textFill>
                  <w14:solidFill>
                    <w14:schemeClr w14:val="tx1"/>
                  </w14:solidFill>
                </w14:textFill>
              </w:rPr>
              <w:t xml:space="preserve"> 本项目污染物</w:t>
            </w:r>
            <w:r>
              <w:rPr>
                <w:rFonts w:hint="eastAsia" w:ascii="Times New Roman" w:hAnsi="Times New Roman" w:cs="Times New Roman"/>
                <w:b/>
                <w:color w:val="000000" w:themeColor="text1"/>
                <w:sz w:val="21"/>
                <w:szCs w:val="21"/>
                <w:lang w:eastAsia="zh-CN"/>
                <w14:textFill>
                  <w14:solidFill>
                    <w14:schemeClr w14:val="tx1"/>
                  </w14:solidFill>
                </w14:textFill>
              </w:rPr>
              <w:t>“</w:t>
            </w:r>
            <w:r>
              <w:rPr>
                <w:rFonts w:hint="default" w:ascii="Times New Roman" w:hAnsi="Times New Roman" w:eastAsia="宋体" w:cs="Times New Roman"/>
                <w:b/>
                <w:color w:val="000000" w:themeColor="text1"/>
                <w:sz w:val="21"/>
                <w:szCs w:val="21"/>
                <w14:textFill>
                  <w14:solidFill>
                    <w14:schemeClr w14:val="tx1"/>
                  </w14:solidFill>
                </w14:textFill>
              </w:rPr>
              <w:t>三本账</w:t>
            </w:r>
            <w:r>
              <w:rPr>
                <w:rFonts w:hint="eastAsia" w:ascii="Times New Roman" w:hAnsi="Times New Roman" w:cs="Times New Roman"/>
                <w:b/>
                <w:color w:val="000000" w:themeColor="text1"/>
                <w:sz w:val="21"/>
                <w:szCs w:val="21"/>
                <w:lang w:eastAsia="zh-CN"/>
                <w14:textFill>
                  <w14:solidFill>
                    <w14:schemeClr w14:val="tx1"/>
                  </w14:solidFill>
                </w14:textFill>
              </w:rPr>
              <w:t>”</w:t>
            </w:r>
            <w:r>
              <w:rPr>
                <w:rFonts w:hint="default" w:ascii="Times New Roman" w:hAnsi="Times New Roman" w:eastAsia="宋体" w:cs="Times New Roman"/>
                <w:b/>
                <w:color w:val="000000" w:themeColor="text1"/>
                <w:sz w:val="21"/>
                <w:szCs w:val="21"/>
                <w14:textFill>
                  <w14:solidFill>
                    <w14:schemeClr w14:val="tx1"/>
                  </w14:solidFill>
                </w14:textFill>
              </w:rPr>
              <w:t>核算一览表</w:t>
            </w:r>
          </w:p>
          <w:tbl>
            <w:tblPr>
              <w:tblStyle w:val="3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518"/>
              <w:gridCol w:w="737"/>
              <w:gridCol w:w="1244"/>
              <w:gridCol w:w="1185"/>
              <w:gridCol w:w="1244"/>
              <w:gridCol w:w="1314"/>
              <w:gridCol w:w="1432"/>
            </w:tblGrid>
            <w:tr w14:paraId="5E86F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restart"/>
                  <w:noWrap w:val="0"/>
                  <w:vAlign w:val="center"/>
                </w:tcPr>
                <w:p w14:paraId="5B07CAA1">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类别</w:t>
                  </w:r>
                </w:p>
              </w:tc>
              <w:tc>
                <w:tcPr>
                  <w:tcW w:w="765" w:type="pct"/>
                  <w:gridSpan w:val="2"/>
                  <w:vMerge w:val="restart"/>
                  <w:noWrap w:val="0"/>
                  <w:vAlign w:val="center"/>
                </w:tcPr>
                <w:p w14:paraId="7F0D9434">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w:t>
                  </w:r>
                </w:p>
              </w:tc>
              <w:tc>
                <w:tcPr>
                  <w:tcW w:w="758" w:type="pct"/>
                  <w:noWrap w:val="0"/>
                  <w:vAlign w:val="center"/>
                </w:tcPr>
                <w:p w14:paraId="79C3D195">
                  <w:pPr>
                    <w:jc w:val="center"/>
                    <w:rPr>
                      <w:b/>
                      <w:bCs/>
                      <w:color w:val="000000" w:themeColor="text1"/>
                      <w:szCs w:val="21"/>
                      <w14:textFill>
                        <w14:solidFill>
                          <w14:schemeClr w14:val="tx1"/>
                        </w14:solidFill>
                      </w14:textFill>
                    </w:rPr>
                  </w:pPr>
                  <w:r>
                    <w:rPr>
                      <w:rFonts w:hint="eastAsia"/>
                      <w:b/>
                      <w:bCs/>
                      <w:color w:val="000000" w:themeColor="text1"/>
                      <w:szCs w:val="21"/>
                      <w:lang w:eastAsia="zh-CN"/>
                      <w14:textFill>
                        <w14:solidFill>
                          <w14:schemeClr w14:val="tx1"/>
                        </w14:solidFill>
                      </w14:textFill>
                    </w:rPr>
                    <w:t>现有项目</w:t>
                  </w:r>
                  <w:r>
                    <w:rPr>
                      <w:b/>
                      <w:bCs/>
                      <w:color w:val="000000" w:themeColor="text1"/>
                      <w:szCs w:val="21"/>
                      <w14:textFill>
                        <w14:solidFill>
                          <w14:schemeClr w14:val="tx1"/>
                        </w14:solidFill>
                      </w14:textFill>
                    </w:rPr>
                    <w:t>产排情况</w:t>
                  </w:r>
                </w:p>
              </w:tc>
              <w:tc>
                <w:tcPr>
                  <w:tcW w:w="722" w:type="pct"/>
                  <w:noWrap w:val="0"/>
                  <w:vAlign w:val="center"/>
                </w:tcPr>
                <w:p w14:paraId="522CF0A3">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拟建项目产排情况</w:t>
                  </w:r>
                </w:p>
              </w:tc>
              <w:tc>
                <w:tcPr>
                  <w:tcW w:w="758" w:type="pct"/>
                  <w:vMerge w:val="restart"/>
                  <w:noWrap w:val="0"/>
                  <w:vAlign w:val="center"/>
                </w:tcPr>
                <w:p w14:paraId="55D363AF">
                  <w:pPr>
                    <w:jc w:val="center"/>
                    <w:rPr>
                      <w:b/>
                      <w:bCs/>
                      <w:color w:val="000000" w:themeColor="text1"/>
                      <w:szCs w:val="21"/>
                      <w14:textFill>
                        <w14:solidFill>
                          <w14:schemeClr w14:val="tx1"/>
                        </w14:solidFill>
                      </w14:textFill>
                    </w:rPr>
                  </w:pPr>
                  <w:r>
                    <w:rPr>
                      <w:rFonts w:hint="eastAsia"/>
                      <w:b/>
                      <w:bCs/>
                      <w:color w:val="000000" w:themeColor="text1"/>
                      <w:szCs w:val="21"/>
                      <w:lang w:eastAsia="zh-CN"/>
                      <w14:textFill>
                        <w14:solidFill>
                          <w14:schemeClr w14:val="tx1"/>
                        </w14:solidFill>
                      </w14:textFill>
                    </w:rPr>
                    <w:t>“</w:t>
                  </w:r>
                  <w:r>
                    <w:rPr>
                      <w:b/>
                      <w:bCs/>
                      <w:color w:val="000000" w:themeColor="text1"/>
                      <w:szCs w:val="21"/>
                      <w14:textFill>
                        <w14:solidFill>
                          <w14:schemeClr w14:val="tx1"/>
                        </w14:solidFill>
                      </w14:textFill>
                    </w:rPr>
                    <w:t>以新带老</w:t>
                  </w:r>
                  <w:r>
                    <w:rPr>
                      <w:rFonts w:hint="eastAsia"/>
                      <w:b/>
                      <w:bCs/>
                      <w:color w:val="000000" w:themeColor="text1"/>
                      <w:szCs w:val="21"/>
                      <w:lang w:eastAsia="zh-CN"/>
                      <w14:textFill>
                        <w14:solidFill>
                          <w14:schemeClr w14:val="tx1"/>
                        </w14:solidFill>
                      </w14:textFill>
                    </w:rPr>
                    <w:t>”</w:t>
                  </w:r>
                  <w:r>
                    <w:rPr>
                      <w:b/>
                      <w:bCs/>
                      <w:color w:val="000000" w:themeColor="text1"/>
                      <w:szCs w:val="21"/>
                      <w14:textFill>
                        <w14:solidFill>
                          <w14:schemeClr w14:val="tx1"/>
                        </w14:solidFill>
                      </w14:textFill>
                    </w:rPr>
                    <w:t>削减量</w:t>
                  </w:r>
                </w:p>
                <w:p w14:paraId="5F6E9B6B">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（t/a）</w:t>
                  </w:r>
                </w:p>
              </w:tc>
              <w:tc>
                <w:tcPr>
                  <w:tcW w:w="801" w:type="pct"/>
                  <w:vMerge w:val="restart"/>
                  <w:noWrap w:val="0"/>
                  <w:vAlign w:val="center"/>
                </w:tcPr>
                <w:p w14:paraId="66E649B7">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改建完成后排放量</w:t>
                  </w:r>
                </w:p>
                <w:p w14:paraId="3B950796">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（t/a）</w:t>
                  </w:r>
                </w:p>
              </w:tc>
              <w:tc>
                <w:tcPr>
                  <w:tcW w:w="873" w:type="pct"/>
                  <w:vMerge w:val="restart"/>
                  <w:noWrap w:val="0"/>
                  <w:vAlign w:val="center"/>
                </w:tcPr>
                <w:p w14:paraId="35FF777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排放变化增减量（t/a）</w:t>
                  </w:r>
                </w:p>
              </w:tc>
            </w:tr>
            <w:tr w14:paraId="5E712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continue"/>
                  <w:noWrap w:val="0"/>
                  <w:vAlign w:val="center"/>
                </w:tcPr>
                <w:p w14:paraId="4940F707">
                  <w:pPr>
                    <w:jc w:val="center"/>
                    <w:rPr>
                      <w:color w:val="000000" w:themeColor="text1"/>
                      <w:szCs w:val="21"/>
                      <w14:textFill>
                        <w14:solidFill>
                          <w14:schemeClr w14:val="tx1"/>
                        </w14:solidFill>
                      </w14:textFill>
                    </w:rPr>
                  </w:pPr>
                </w:p>
              </w:tc>
              <w:tc>
                <w:tcPr>
                  <w:tcW w:w="765" w:type="pct"/>
                  <w:gridSpan w:val="2"/>
                  <w:vMerge w:val="continue"/>
                  <w:noWrap w:val="0"/>
                  <w:vAlign w:val="center"/>
                </w:tcPr>
                <w:p w14:paraId="3C6662D7">
                  <w:pPr>
                    <w:jc w:val="center"/>
                    <w:rPr>
                      <w:color w:val="000000" w:themeColor="text1"/>
                      <w:szCs w:val="21"/>
                      <w14:textFill>
                        <w14:solidFill>
                          <w14:schemeClr w14:val="tx1"/>
                        </w14:solidFill>
                      </w14:textFill>
                    </w:rPr>
                  </w:pPr>
                </w:p>
              </w:tc>
              <w:tc>
                <w:tcPr>
                  <w:tcW w:w="758" w:type="pct"/>
                  <w:noWrap w:val="0"/>
                  <w:vAlign w:val="center"/>
                </w:tcPr>
                <w:p w14:paraId="0834611B">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排放量（t/a）</w:t>
                  </w:r>
                </w:p>
              </w:tc>
              <w:tc>
                <w:tcPr>
                  <w:tcW w:w="722" w:type="pct"/>
                  <w:noWrap w:val="0"/>
                  <w:vAlign w:val="center"/>
                </w:tcPr>
                <w:p w14:paraId="28EE0A5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排放量（t/a）</w:t>
                  </w:r>
                </w:p>
              </w:tc>
              <w:tc>
                <w:tcPr>
                  <w:tcW w:w="758" w:type="pct"/>
                  <w:vMerge w:val="continue"/>
                  <w:noWrap w:val="0"/>
                  <w:vAlign w:val="center"/>
                </w:tcPr>
                <w:p w14:paraId="79A1FDB4">
                  <w:pPr>
                    <w:jc w:val="center"/>
                    <w:rPr>
                      <w:color w:val="000000" w:themeColor="text1"/>
                      <w:szCs w:val="21"/>
                      <w14:textFill>
                        <w14:solidFill>
                          <w14:schemeClr w14:val="tx1"/>
                        </w14:solidFill>
                      </w14:textFill>
                    </w:rPr>
                  </w:pPr>
                </w:p>
              </w:tc>
              <w:tc>
                <w:tcPr>
                  <w:tcW w:w="801" w:type="pct"/>
                  <w:vMerge w:val="continue"/>
                  <w:noWrap w:val="0"/>
                  <w:vAlign w:val="center"/>
                </w:tcPr>
                <w:p w14:paraId="2A9F1E89">
                  <w:pPr>
                    <w:jc w:val="center"/>
                    <w:rPr>
                      <w:color w:val="000000" w:themeColor="text1"/>
                      <w:szCs w:val="21"/>
                      <w14:textFill>
                        <w14:solidFill>
                          <w14:schemeClr w14:val="tx1"/>
                        </w14:solidFill>
                      </w14:textFill>
                    </w:rPr>
                  </w:pPr>
                </w:p>
              </w:tc>
              <w:tc>
                <w:tcPr>
                  <w:tcW w:w="873" w:type="pct"/>
                  <w:vMerge w:val="continue"/>
                  <w:noWrap w:val="0"/>
                  <w:vAlign w:val="center"/>
                </w:tcPr>
                <w:p w14:paraId="1648F8F1">
                  <w:pPr>
                    <w:jc w:val="center"/>
                    <w:rPr>
                      <w:color w:val="000000" w:themeColor="text1"/>
                      <w:szCs w:val="21"/>
                      <w14:textFill>
                        <w14:solidFill>
                          <w14:schemeClr w14:val="tx1"/>
                        </w14:solidFill>
                      </w14:textFill>
                    </w:rPr>
                  </w:pPr>
                </w:p>
              </w:tc>
            </w:tr>
            <w:tr w14:paraId="3B142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restart"/>
                  <w:noWrap w:val="0"/>
                  <w:vAlign w:val="center"/>
                </w:tcPr>
                <w:p w14:paraId="5176426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316" w:type="pct"/>
                  <w:vMerge w:val="restart"/>
                  <w:noWrap w:val="0"/>
                  <w:vAlign w:val="center"/>
                </w:tcPr>
                <w:p w14:paraId="451A6A87">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有机废气</w:t>
                  </w:r>
                </w:p>
              </w:tc>
              <w:tc>
                <w:tcPr>
                  <w:tcW w:w="448" w:type="pct"/>
                  <w:noWrap w:val="0"/>
                  <w:vAlign w:val="center"/>
                </w:tcPr>
                <w:p w14:paraId="0C56280A">
                  <w:pPr>
                    <w:jc w:val="center"/>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非甲烷总烃</w:t>
                  </w:r>
                </w:p>
              </w:tc>
              <w:tc>
                <w:tcPr>
                  <w:tcW w:w="758" w:type="pct"/>
                  <w:noWrap w:val="0"/>
                  <w:vAlign w:val="center"/>
                </w:tcPr>
                <w:p w14:paraId="31141547">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0.2</w:t>
                  </w:r>
                  <w:r>
                    <w:rPr>
                      <w:rFonts w:hint="eastAsia" w:cs="Times New Roman"/>
                      <w:color w:val="000000" w:themeColor="text1"/>
                      <w:szCs w:val="21"/>
                      <w:lang w:val="en-US" w:eastAsia="zh-CN"/>
                      <w14:textFill>
                        <w14:solidFill>
                          <w14:schemeClr w14:val="tx1"/>
                        </w14:solidFill>
                      </w14:textFill>
                    </w:rPr>
                    <w:t>268</w:t>
                  </w:r>
                </w:p>
              </w:tc>
              <w:tc>
                <w:tcPr>
                  <w:tcW w:w="722" w:type="pct"/>
                  <w:noWrap w:val="0"/>
                  <w:vAlign w:val="center"/>
                </w:tcPr>
                <w:p w14:paraId="31FC846D">
                  <w:pPr>
                    <w:keepNext w:val="0"/>
                    <w:pageBreakBefore w:val="0"/>
                    <w:widowControl/>
                    <w:overflowPunct/>
                    <w:topLinePunct w:val="0"/>
                    <w:bidi w:val="0"/>
                    <w:adjustRightInd/>
                    <w:snapToGrid/>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0.1044</w:t>
                  </w:r>
                </w:p>
              </w:tc>
              <w:tc>
                <w:tcPr>
                  <w:tcW w:w="758" w:type="pct"/>
                  <w:noWrap w:val="0"/>
                  <w:vAlign w:val="center"/>
                </w:tcPr>
                <w:p w14:paraId="77FFBFE9">
                  <w:pPr>
                    <w:jc w:val="center"/>
                    <w:rPr>
                      <w:rFonts w:hint="eastAsia" w:eastAsia="宋体"/>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0.2268</w:t>
                  </w:r>
                </w:p>
              </w:tc>
              <w:tc>
                <w:tcPr>
                  <w:tcW w:w="801" w:type="pct"/>
                  <w:noWrap w:val="0"/>
                  <w:vAlign w:val="center"/>
                </w:tcPr>
                <w:p w14:paraId="6DABE82D">
                  <w:pPr>
                    <w:keepNext w:val="0"/>
                    <w:pageBreakBefore w:val="0"/>
                    <w:widowControl/>
                    <w:overflowPunct/>
                    <w:topLinePunct w:val="0"/>
                    <w:bidi w:val="0"/>
                    <w:adjustRightInd/>
                    <w:snapToGrid/>
                    <w:jc w:val="center"/>
                    <w:textAlignment w:val="center"/>
                    <w:rPr>
                      <w:rFonts w:hint="eastAsia" w:eastAsia="宋体"/>
                      <w:color w:val="000000" w:themeColor="text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0.1044</w:t>
                  </w:r>
                </w:p>
              </w:tc>
              <w:tc>
                <w:tcPr>
                  <w:tcW w:w="873" w:type="pct"/>
                  <w:noWrap w:val="0"/>
                  <w:vAlign w:val="center"/>
                </w:tcPr>
                <w:p w14:paraId="2AEEE465">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-0.1224</w:t>
                  </w:r>
                </w:p>
              </w:tc>
            </w:tr>
            <w:tr w14:paraId="7EAA3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continue"/>
                  <w:noWrap w:val="0"/>
                  <w:vAlign w:val="center"/>
                </w:tcPr>
                <w:p w14:paraId="7BE5B531">
                  <w:pPr>
                    <w:jc w:val="center"/>
                    <w:rPr>
                      <w:color w:val="000000" w:themeColor="text1"/>
                      <w:szCs w:val="21"/>
                      <w14:textFill>
                        <w14:solidFill>
                          <w14:schemeClr w14:val="tx1"/>
                        </w14:solidFill>
                      </w14:textFill>
                    </w:rPr>
                  </w:pPr>
                </w:p>
              </w:tc>
              <w:tc>
                <w:tcPr>
                  <w:tcW w:w="316" w:type="pct"/>
                  <w:vMerge w:val="continue"/>
                  <w:noWrap w:val="0"/>
                  <w:vAlign w:val="center"/>
                </w:tcPr>
                <w:p w14:paraId="47F66BA4">
                  <w:pPr>
                    <w:jc w:val="center"/>
                    <w:rPr>
                      <w:rFonts w:hint="eastAsia"/>
                      <w:color w:val="000000" w:themeColor="text1"/>
                      <w:szCs w:val="21"/>
                      <w:lang w:eastAsia="zh-CN"/>
                      <w14:textFill>
                        <w14:solidFill>
                          <w14:schemeClr w14:val="tx1"/>
                        </w14:solidFill>
                      </w14:textFill>
                    </w:rPr>
                  </w:pPr>
                </w:p>
              </w:tc>
              <w:tc>
                <w:tcPr>
                  <w:tcW w:w="448" w:type="pct"/>
                  <w:noWrap w:val="0"/>
                  <w:vAlign w:val="center"/>
                </w:tcPr>
                <w:p w14:paraId="33099EF8">
                  <w:pPr>
                    <w:jc w:val="center"/>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甲苯</w:t>
                  </w:r>
                </w:p>
              </w:tc>
              <w:tc>
                <w:tcPr>
                  <w:tcW w:w="758" w:type="pct"/>
                  <w:noWrap w:val="0"/>
                  <w:vAlign w:val="center"/>
                </w:tcPr>
                <w:p w14:paraId="03585CEC">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0.0007128</w:t>
                  </w:r>
                </w:p>
              </w:tc>
              <w:tc>
                <w:tcPr>
                  <w:tcW w:w="722" w:type="pct"/>
                  <w:noWrap w:val="0"/>
                  <w:vAlign w:val="center"/>
                </w:tcPr>
                <w:p w14:paraId="54566500">
                  <w:pPr>
                    <w:keepNext w:val="0"/>
                    <w:pageBreakBefore w:val="0"/>
                    <w:widowControl/>
                    <w:overflowPunct/>
                    <w:topLinePunct w:val="0"/>
                    <w:bidi w:val="0"/>
                    <w:adjustRightInd/>
                    <w:snapToGrid/>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0.0003168</w:t>
                  </w:r>
                </w:p>
              </w:tc>
              <w:tc>
                <w:tcPr>
                  <w:tcW w:w="758" w:type="pct"/>
                  <w:noWrap w:val="0"/>
                  <w:vAlign w:val="center"/>
                </w:tcPr>
                <w:p w14:paraId="03A1B568">
                  <w:pPr>
                    <w:jc w:val="center"/>
                    <w:rPr>
                      <w:rFonts w:hint="eastAsia" w:eastAsia="宋体"/>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0.0007128</w:t>
                  </w:r>
                </w:p>
              </w:tc>
              <w:tc>
                <w:tcPr>
                  <w:tcW w:w="801" w:type="pct"/>
                  <w:noWrap w:val="0"/>
                  <w:vAlign w:val="center"/>
                </w:tcPr>
                <w:p w14:paraId="001C4187">
                  <w:pPr>
                    <w:keepNext w:val="0"/>
                    <w:pageBreakBefore w:val="0"/>
                    <w:widowControl/>
                    <w:overflowPunct/>
                    <w:topLinePunct w:val="0"/>
                    <w:bidi w:val="0"/>
                    <w:adjustRightInd/>
                    <w:snapToGrid/>
                    <w:jc w:val="center"/>
                    <w:textAlignment w:val="center"/>
                    <w:rPr>
                      <w:rFonts w:hint="eastAsia" w:eastAsia="宋体"/>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0.0003168</w:t>
                  </w:r>
                </w:p>
              </w:tc>
              <w:tc>
                <w:tcPr>
                  <w:tcW w:w="873" w:type="pct"/>
                  <w:noWrap w:val="0"/>
                  <w:vAlign w:val="center"/>
                </w:tcPr>
                <w:p w14:paraId="5579AF93">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-0.000396</w:t>
                  </w:r>
                </w:p>
              </w:tc>
            </w:tr>
            <w:tr w14:paraId="00081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continue"/>
                  <w:noWrap w:val="0"/>
                  <w:vAlign w:val="center"/>
                </w:tcPr>
                <w:p w14:paraId="4CF118E3">
                  <w:pPr>
                    <w:jc w:val="center"/>
                    <w:rPr>
                      <w:color w:val="000000" w:themeColor="text1"/>
                      <w:szCs w:val="21"/>
                      <w14:textFill>
                        <w14:solidFill>
                          <w14:schemeClr w14:val="tx1"/>
                        </w14:solidFill>
                      </w14:textFill>
                    </w:rPr>
                  </w:pPr>
                </w:p>
              </w:tc>
              <w:tc>
                <w:tcPr>
                  <w:tcW w:w="316" w:type="pct"/>
                  <w:vMerge w:val="continue"/>
                  <w:noWrap w:val="0"/>
                  <w:vAlign w:val="center"/>
                </w:tcPr>
                <w:p w14:paraId="21DB3ED3">
                  <w:pPr>
                    <w:jc w:val="center"/>
                    <w:rPr>
                      <w:rFonts w:hint="eastAsia"/>
                      <w:color w:val="000000" w:themeColor="text1"/>
                      <w:szCs w:val="21"/>
                      <w:lang w:eastAsia="zh-CN"/>
                      <w14:textFill>
                        <w14:solidFill>
                          <w14:schemeClr w14:val="tx1"/>
                        </w14:solidFill>
                      </w14:textFill>
                    </w:rPr>
                  </w:pPr>
                </w:p>
              </w:tc>
              <w:tc>
                <w:tcPr>
                  <w:tcW w:w="448" w:type="pct"/>
                  <w:noWrap w:val="0"/>
                  <w:vAlign w:val="center"/>
                </w:tcPr>
                <w:p w14:paraId="13519AC2">
                  <w:pPr>
                    <w:jc w:val="center"/>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乙苯</w:t>
                  </w:r>
                </w:p>
              </w:tc>
              <w:tc>
                <w:tcPr>
                  <w:tcW w:w="758" w:type="pct"/>
                  <w:noWrap w:val="0"/>
                  <w:vAlign w:val="center"/>
                </w:tcPr>
                <w:p w14:paraId="7104CAD2">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0.0005</w:t>
                  </w:r>
                  <w:r>
                    <w:rPr>
                      <w:rFonts w:hint="eastAsia" w:cs="Times New Roman"/>
                      <w:color w:val="000000" w:themeColor="text1"/>
                      <w:szCs w:val="21"/>
                      <w:lang w:val="en-US" w:eastAsia="zh-CN"/>
                      <w14:textFill>
                        <w14:solidFill>
                          <w14:schemeClr w14:val="tx1"/>
                        </w14:solidFill>
                      </w14:textFill>
                    </w:rPr>
                    <w:t>8</w:t>
                  </w:r>
                  <w:r>
                    <w:rPr>
                      <w:rFonts w:hint="eastAsia" w:ascii="Times New Roman" w:hAnsi="Times New Roman" w:eastAsia="宋体" w:cs="Times New Roman"/>
                      <w:color w:val="000000" w:themeColor="text1"/>
                      <w:szCs w:val="21"/>
                      <w14:textFill>
                        <w14:solidFill>
                          <w14:schemeClr w14:val="tx1"/>
                        </w14:solidFill>
                      </w14:textFill>
                    </w:rPr>
                    <w:t>32</w:t>
                  </w:r>
                </w:p>
              </w:tc>
              <w:tc>
                <w:tcPr>
                  <w:tcW w:w="722" w:type="pct"/>
                  <w:noWrap w:val="0"/>
                  <w:vAlign w:val="center"/>
                </w:tcPr>
                <w:p w14:paraId="0B28593C">
                  <w:pPr>
                    <w:keepNext w:val="0"/>
                    <w:pageBreakBefore w:val="0"/>
                    <w:widowControl/>
                    <w:overflowPunct/>
                    <w:topLinePunct w:val="0"/>
                    <w:bidi w:val="0"/>
                    <w:adjustRightInd/>
                    <w:snapToGrid/>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0.0002592</w:t>
                  </w:r>
                </w:p>
              </w:tc>
              <w:tc>
                <w:tcPr>
                  <w:tcW w:w="758" w:type="pct"/>
                  <w:noWrap w:val="0"/>
                  <w:vAlign w:val="center"/>
                </w:tcPr>
                <w:p w14:paraId="6B30C74D">
                  <w:pPr>
                    <w:jc w:val="center"/>
                    <w:rPr>
                      <w:rFonts w:hint="eastAsia" w:eastAsia="宋体"/>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0.0005</w:t>
                  </w:r>
                  <w:r>
                    <w:rPr>
                      <w:rFonts w:hint="eastAsia" w:cs="Times New Roman"/>
                      <w:color w:val="000000" w:themeColor="text1"/>
                      <w:szCs w:val="21"/>
                      <w:lang w:val="en-US" w:eastAsia="zh-CN"/>
                      <w14:textFill>
                        <w14:solidFill>
                          <w14:schemeClr w14:val="tx1"/>
                        </w14:solidFill>
                      </w14:textFill>
                    </w:rPr>
                    <w:t>8</w:t>
                  </w:r>
                  <w:r>
                    <w:rPr>
                      <w:rFonts w:hint="eastAsia" w:ascii="Times New Roman" w:hAnsi="Times New Roman" w:eastAsia="宋体" w:cs="Times New Roman"/>
                      <w:color w:val="000000" w:themeColor="text1"/>
                      <w:szCs w:val="21"/>
                      <w14:textFill>
                        <w14:solidFill>
                          <w14:schemeClr w14:val="tx1"/>
                        </w14:solidFill>
                      </w14:textFill>
                    </w:rPr>
                    <w:t>32</w:t>
                  </w:r>
                </w:p>
              </w:tc>
              <w:tc>
                <w:tcPr>
                  <w:tcW w:w="801" w:type="pct"/>
                  <w:noWrap w:val="0"/>
                  <w:vAlign w:val="center"/>
                </w:tcPr>
                <w:p w14:paraId="35CB64DD">
                  <w:pPr>
                    <w:keepNext w:val="0"/>
                    <w:pageBreakBefore w:val="0"/>
                    <w:widowControl/>
                    <w:overflowPunct/>
                    <w:topLinePunct w:val="0"/>
                    <w:bidi w:val="0"/>
                    <w:adjustRightInd/>
                    <w:snapToGrid/>
                    <w:jc w:val="center"/>
                    <w:textAlignment w:val="center"/>
                    <w:rPr>
                      <w:rFonts w:hint="eastAsia" w:eastAsia="宋体"/>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0.0002592</w:t>
                  </w:r>
                </w:p>
              </w:tc>
              <w:tc>
                <w:tcPr>
                  <w:tcW w:w="873" w:type="pct"/>
                  <w:noWrap w:val="0"/>
                  <w:vAlign w:val="center"/>
                </w:tcPr>
                <w:p w14:paraId="150175A5">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-0.000324</w:t>
                  </w:r>
                </w:p>
              </w:tc>
            </w:tr>
            <w:tr w14:paraId="78824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continue"/>
                  <w:noWrap w:val="0"/>
                  <w:vAlign w:val="center"/>
                </w:tcPr>
                <w:p w14:paraId="78F96632">
                  <w:pPr>
                    <w:jc w:val="center"/>
                    <w:rPr>
                      <w:color w:val="000000" w:themeColor="text1"/>
                      <w:szCs w:val="21"/>
                      <w14:textFill>
                        <w14:solidFill>
                          <w14:schemeClr w14:val="tx1"/>
                        </w14:solidFill>
                      </w14:textFill>
                    </w:rPr>
                  </w:pPr>
                </w:p>
              </w:tc>
              <w:tc>
                <w:tcPr>
                  <w:tcW w:w="316" w:type="pct"/>
                  <w:vMerge w:val="continue"/>
                  <w:noWrap w:val="0"/>
                  <w:vAlign w:val="center"/>
                </w:tcPr>
                <w:p w14:paraId="2FFCBF7B">
                  <w:pPr>
                    <w:jc w:val="center"/>
                    <w:rPr>
                      <w:rFonts w:hint="eastAsia"/>
                      <w:color w:val="000000" w:themeColor="text1"/>
                      <w:szCs w:val="21"/>
                      <w:lang w:eastAsia="zh-CN"/>
                      <w14:textFill>
                        <w14:solidFill>
                          <w14:schemeClr w14:val="tx1"/>
                        </w14:solidFill>
                      </w14:textFill>
                    </w:rPr>
                  </w:pPr>
                </w:p>
              </w:tc>
              <w:tc>
                <w:tcPr>
                  <w:tcW w:w="448" w:type="pct"/>
                  <w:noWrap w:val="0"/>
                  <w:vAlign w:val="center"/>
                </w:tcPr>
                <w:p w14:paraId="0AC62658">
                  <w:pPr>
                    <w:jc w:val="center"/>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苯乙烯</w:t>
                  </w:r>
                </w:p>
              </w:tc>
              <w:tc>
                <w:tcPr>
                  <w:tcW w:w="758" w:type="pct"/>
                  <w:noWrap w:val="0"/>
                  <w:vAlign w:val="center"/>
                </w:tcPr>
                <w:p w14:paraId="475D7206">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0.018</w:t>
                  </w:r>
                </w:p>
              </w:tc>
              <w:tc>
                <w:tcPr>
                  <w:tcW w:w="722" w:type="pct"/>
                  <w:noWrap w:val="0"/>
                  <w:vAlign w:val="center"/>
                </w:tcPr>
                <w:p w14:paraId="5D05A889">
                  <w:pPr>
                    <w:keepNext w:val="0"/>
                    <w:pageBreakBefore w:val="0"/>
                    <w:widowControl/>
                    <w:overflowPunct/>
                    <w:topLinePunct w:val="0"/>
                    <w:bidi w:val="0"/>
                    <w:adjustRightInd/>
                    <w:snapToGrid/>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0.0072</w:t>
                  </w:r>
                </w:p>
              </w:tc>
              <w:tc>
                <w:tcPr>
                  <w:tcW w:w="758" w:type="pct"/>
                  <w:noWrap w:val="0"/>
                  <w:vAlign w:val="center"/>
                </w:tcPr>
                <w:p w14:paraId="7F0DE720">
                  <w:pPr>
                    <w:jc w:val="center"/>
                    <w:rPr>
                      <w:rFonts w:hint="eastAsia" w:eastAsia="宋体"/>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0.018</w:t>
                  </w:r>
                </w:p>
              </w:tc>
              <w:tc>
                <w:tcPr>
                  <w:tcW w:w="801" w:type="pct"/>
                  <w:noWrap w:val="0"/>
                  <w:vAlign w:val="center"/>
                </w:tcPr>
                <w:p w14:paraId="34C041C8">
                  <w:pPr>
                    <w:keepNext w:val="0"/>
                    <w:pageBreakBefore w:val="0"/>
                    <w:widowControl/>
                    <w:overflowPunct/>
                    <w:topLinePunct w:val="0"/>
                    <w:bidi w:val="0"/>
                    <w:adjustRightInd/>
                    <w:snapToGrid/>
                    <w:jc w:val="center"/>
                    <w:textAlignment w:val="center"/>
                    <w:rPr>
                      <w:rFonts w:hint="eastAsia" w:eastAsia="宋体"/>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0.0072</w:t>
                  </w:r>
                </w:p>
              </w:tc>
              <w:tc>
                <w:tcPr>
                  <w:tcW w:w="873" w:type="pct"/>
                  <w:noWrap w:val="0"/>
                  <w:vAlign w:val="center"/>
                </w:tcPr>
                <w:p w14:paraId="4BAF330D">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-0.0108</w:t>
                  </w:r>
                </w:p>
              </w:tc>
            </w:tr>
            <w:tr w14:paraId="67563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continue"/>
                  <w:noWrap w:val="0"/>
                  <w:vAlign w:val="center"/>
                </w:tcPr>
                <w:p w14:paraId="64A9CB84">
                  <w:pPr>
                    <w:jc w:val="center"/>
                    <w:rPr>
                      <w:color w:val="000000" w:themeColor="text1"/>
                      <w:szCs w:val="21"/>
                      <w14:textFill>
                        <w14:solidFill>
                          <w14:schemeClr w14:val="tx1"/>
                        </w14:solidFill>
                      </w14:textFill>
                    </w:rPr>
                  </w:pPr>
                </w:p>
              </w:tc>
              <w:tc>
                <w:tcPr>
                  <w:tcW w:w="765" w:type="pct"/>
                  <w:gridSpan w:val="2"/>
                  <w:noWrap w:val="0"/>
                  <w:vAlign w:val="center"/>
                </w:tcPr>
                <w:p w14:paraId="138E012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275" w:type="dxa"/>
                  <w:noWrap w:val="0"/>
                  <w:vAlign w:val="center"/>
                </w:tcPr>
                <w:p w14:paraId="24F22641">
                  <w:pPr>
                    <w:spacing w:line="240" w:lineRule="auto"/>
                    <w:ind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3.4343</w:t>
                  </w:r>
                </w:p>
              </w:tc>
              <w:tc>
                <w:tcPr>
                  <w:tcW w:w="1215" w:type="dxa"/>
                  <w:noWrap w:val="0"/>
                  <w:vAlign w:val="center"/>
                </w:tcPr>
                <w:p w14:paraId="7EB397FD">
                  <w:pPr>
                    <w:spacing w:line="240" w:lineRule="auto"/>
                    <w:ind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0.0494</w:t>
                  </w:r>
                </w:p>
              </w:tc>
              <w:tc>
                <w:tcPr>
                  <w:tcW w:w="1275" w:type="dxa"/>
                  <w:noWrap w:val="0"/>
                  <w:vAlign w:val="center"/>
                </w:tcPr>
                <w:p w14:paraId="31F94D51">
                  <w:pPr>
                    <w:spacing w:line="240" w:lineRule="auto"/>
                    <w:ind w:firstLine="0" w:firstLineChars="0"/>
                    <w:jc w:val="center"/>
                    <w:rPr>
                      <w:rFonts w:hint="eastAsia" w:eastAsia="宋体"/>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3.4343</w:t>
                  </w:r>
                </w:p>
              </w:tc>
              <w:tc>
                <w:tcPr>
                  <w:tcW w:w="1347" w:type="dxa"/>
                  <w:noWrap w:val="0"/>
                  <w:vAlign w:val="center"/>
                </w:tcPr>
                <w:p w14:paraId="7573DFE5">
                  <w:pPr>
                    <w:spacing w:line="240" w:lineRule="auto"/>
                    <w:ind w:firstLine="0" w:firstLineChars="0"/>
                    <w:jc w:val="center"/>
                    <w:rPr>
                      <w:rFonts w:hint="eastAsia" w:eastAsia="宋体"/>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0.0494</w:t>
                  </w:r>
                </w:p>
              </w:tc>
              <w:tc>
                <w:tcPr>
                  <w:tcW w:w="1468" w:type="dxa"/>
                  <w:noWrap w:val="0"/>
                  <w:vAlign w:val="center"/>
                </w:tcPr>
                <w:p w14:paraId="022F16CC">
                  <w:pPr>
                    <w:spacing w:line="240" w:lineRule="auto"/>
                    <w:ind w:firstLine="0" w:firstLineChars="0"/>
                    <w:jc w:val="center"/>
                    <w:rPr>
                      <w:rFonts w:hint="eastAsia"/>
                      <w:color w:val="000000" w:themeColor="text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-3.3849</w:t>
                  </w:r>
                </w:p>
              </w:tc>
            </w:tr>
            <w:tr w14:paraId="5D448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continue"/>
                  <w:noWrap w:val="0"/>
                  <w:vAlign w:val="center"/>
                </w:tcPr>
                <w:p w14:paraId="58A1D9D6">
                  <w:pPr>
                    <w:jc w:val="center"/>
                    <w:rPr>
                      <w:color w:val="000000" w:themeColor="text1"/>
                      <w:szCs w:val="21"/>
                      <w14:textFill>
                        <w14:solidFill>
                          <w14:schemeClr w14:val="tx1"/>
                        </w14:solidFill>
                      </w14:textFill>
                    </w:rPr>
                  </w:pPr>
                </w:p>
              </w:tc>
              <w:tc>
                <w:tcPr>
                  <w:tcW w:w="765" w:type="pct"/>
                  <w:gridSpan w:val="2"/>
                  <w:noWrap w:val="0"/>
                  <w:vAlign w:val="center"/>
                </w:tcPr>
                <w:p w14:paraId="41CF3322">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二氧化硫</w:t>
                  </w:r>
                </w:p>
              </w:tc>
              <w:tc>
                <w:tcPr>
                  <w:tcW w:w="1275" w:type="dxa"/>
                  <w:noWrap w:val="0"/>
                  <w:vAlign w:val="center"/>
                </w:tcPr>
                <w:p w14:paraId="46DC7569">
                  <w:pPr>
                    <w:spacing w:line="240" w:lineRule="auto"/>
                    <w:ind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0.828</w:t>
                  </w:r>
                </w:p>
              </w:tc>
              <w:tc>
                <w:tcPr>
                  <w:tcW w:w="1215" w:type="dxa"/>
                  <w:noWrap w:val="0"/>
                  <w:vAlign w:val="center"/>
                </w:tcPr>
                <w:p w14:paraId="47D96C6E">
                  <w:pPr>
                    <w:spacing w:line="240" w:lineRule="auto"/>
                    <w:ind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0.2104</w:t>
                  </w:r>
                </w:p>
              </w:tc>
              <w:tc>
                <w:tcPr>
                  <w:tcW w:w="1275" w:type="dxa"/>
                  <w:noWrap w:val="0"/>
                  <w:vAlign w:val="center"/>
                </w:tcPr>
                <w:p w14:paraId="432A08C5">
                  <w:pPr>
                    <w:spacing w:line="240" w:lineRule="auto"/>
                    <w:ind w:firstLine="0" w:firstLineChars="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0.828</w:t>
                  </w:r>
                </w:p>
              </w:tc>
              <w:tc>
                <w:tcPr>
                  <w:tcW w:w="1347" w:type="dxa"/>
                  <w:noWrap w:val="0"/>
                  <w:vAlign w:val="center"/>
                </w:tcPr>
                <w:p w14:paraId="755A2D3D">
                  <w:pPr>
                    <w:spacing w:line="240" w:lineRule="auto"/>
                    <w:ind w:firstLine="0" w:firstLineChars="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0.2104</w:t>
                  </w:r>
                </w:p>
              </w:tc>
              <w:tc>
                <w:tcPr>
                  <w:tcW w:w="1468" w:type="dxa"/>
                  <w:noWrap w:val="0"/>
                  <w:vAlign w:val="center"/>
                </w:tcPr>
                <w:p w14:paraId="168A2C97">
                  <w:pPr>
                    <w:spacing w:line="240" w:lineRule="auto"/>
                    <w:ind w:firstLine="0" w:firstLineChars="0"/>
                    <w:jc w:val="center"/>
                    <w:rPr>
                      <w:rFonts w:hint="default"/>
                      <w:color w:val="000000" w:themeColor="text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r>
                    <w:rPr>
                      <w:rFonts w:hint="default"/>
                      <w:color w:val="000000" w:themeColor="text1"/>
                      <w:sz w:val="21"/>
                      <w:szCs w:val="21"/>
                      <w:lang w:val="en-US" w:eastAsia="zh-CN"/>
                      <w14:textFill>
                        <w14:solidFill>
                          <w14:schemeClr w14:val="tx1"/>
                        </w14:solidFill>
                      </w14:textFill>
                    </w:rPr>
                    <w:t>0.6176</w:t>
                  </w:r>
                </w:p>
              </w:tc>
            </w:tr>
            <w:tr w14:paraId="38B7D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continue"/>
                  <w:noWrap w:val="0"/>
                  <w:vAlign w:val="center"/>
                </w:tcPr>
                <w:p w14:paraId="1CF66CAE">
                  <w:pPr>
                    <w:jc w:val="center"/>
                    <w:rPr>
                      <w:color w:val="000000" w:themeColor="text1"/>
                      <w:szCs w:val="21"/>
                      <w14:textFill>
                        <w14:solidFill>
                          <w14:schemeClr w14:val="tx1"/>
                        </w14:solidFill>
                      </w14:textFill>
                    </w:rPr>
                  </w:pPr>
                </w:p>
              </w:tc>
              <w:tc>
                <w:tcPr>
                  <w:tcW w:w="765" w:type="pct"/>
                  <w:gridSpan w:val="2"/>
                  <w:noWrap w:val="0"/>
                  <w:vAlign w:val="center"/>
                </w:tcPr>
                <w:p w14:paraId="06FA5495">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氮氧化物</w:t>
                  </w:r>
                </w:p>
              </w:tc>
              <w:tc>
                <w:tcPr>
                  <w:tcW w:w="1275" w:type="dxa"/>
                  <w:noWrap w:val="0"/>
                  <w:vAlign w:val="center"/>
                </w:tcPr>
                <w:p w14:paraId="445BFD7A">
                  <w:pPr>
                    <w:spacing w:line="240" w:lineRule="auto"/>
                    <w:ind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1.9196</w:t>
                  </w:r>
                </w:p>
              </w:tc>
              <w:tc>
                <w:tcPr>
                  <w:tcW w:w="1215" w:type="dxa"/>
                  <w:noWrap w:val="0"/>
                  <w:vAlign w:val="center"/>
                </w:tcPr>
                <w:p w14:paraId="305652D0">
                  <w:pPr>
                    <w:spacing w:line="240" w:lineRule="auto"/>
                    <w:ind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0.9733</w:t>
                  </w:r>
                </w:p>
              </w:tc>
              <w:tc>
                <w:tcPr>
                  <w:tcW w:w="1275" w:type="dxa"/>
                  <w:noWrap w:val="0"/>
                  <w:vAlign w:val="center"/>
                </w:tcPr>
                <w:p w14:paraId="31C0EF9B">
                  <w:pPr>
                    <w:spacing w:line="240" w:lineRule="auto"/>
                    <w:ind w:firstLine="0" w:firstLineChars="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1.9196</w:t>
                  </w:r>
                </w:p>
              </w:tc>
              <w:tc>
                <w:tcPr>
                  <w:tcW w:w="1347" w:type="dxa"/>
                  <w:noWrap w:val="0"/>
                  <w:vAlign w:val="center"/>
                </w:tcPr>
                <w:p w14:paraId="576D052B">
                  <w:pPr>
                    <w:spacing w:line="240" w:lineRule="auto"/>
                    <w:ind w:firstLine="0" w:firstLineChars="0"/>
                    <w:jc w:val="center"/>
                    <w:rPr>
                      <w:rFonts w:hint="eastAsia"/>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0.9733</w:t>
                  </w:r>
                </w:p>
              </w:tc>
              <w:tc>
                <w:tcPr>
                  <w:tcW w:w="1468" w:type="dxa"/>
                  <w:noWrap w:val="0"/>
                  <w:vAlign w:val="center"/>
                </w:tcPr>
                <w:p w14:paraId="4FC48F13">
                  <w:pPr>
                    <w:spacing w:line="240" w:lineRule="auto"/>
                    <w:ind w:firstLine="0" w:firstLineChars="0"/>
                    <w:jc w:val="center"/>
                    <w:rPr>
                      <w:rFonts w:hint="default"/>
                      <w:color w:val="000000" w:themeColor="text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-0.9463</w:t>
                  </w:r>
                </w:p>
              </w:tc>
            </w:tr>
            <w:tr w14:paraId="70441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continue"/>
                  <w:noWrap w:val="0"/>
                  <w:vAlign w:val="center"/>
                </w:tcPr>
                <w:p w14:paraId="38C19F87">
                  <w:pPr>
                    <w:jc w:val="center"/>
                    <w:rPr>
                      <w:color w:val="000000" w:themeColor="text1"/>
                      <w:szCs w:val="21"/>
                      <w14:textFill>
                        <w14:solidFill>
                          <w14:schemeClr w14:val="tx1"/>
                        </w14:solidFill>
                      </w14:textFill>
                    </w:rPr>
                  </w:pPr>
                </w:p>
              </w:tc>
              <w:tc>
                <w:tcPr>
                  <w:tcW w:w="765" w:type="pct"/>
                  <w:gridSpan w:val="2"/>
                  <w:noWrap w:val="0"/>
                  <w:vAlign w:val="center"/>
                </w:tcPr>
                <w:p w14:paraId="5B84C947">
                  <w:pPr>
                    <w:jc w:val="center"/>
                    <w:rPr>
                      <w:rFonts w:hint="eastAsia"/>
                      <w:color w:val="000000" w:themeColor="text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汞及其化合物</w:t>
                  </w:r>
                </w:p>
              </w:tc>
              <w:tc>
                <w:tcPr>
                  <w:tcW w:w="758" w:type="pct"/>
                  <w:noWrap w:val="0"/>
                  <w:vAlign w:val="center"/>
                </w:tcPr>
                <w:p w14:paraId="7E984967">
                  <w:pPr>
                    <w:spacing w:line="240" w:lineRule="auto"/>
                    <w:ind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0.0001478</w:t>
                  </w:r>
                </w:p>
              </w:tc>
              <w:tc>
                <w:tcPr>
                  <w:tcW w:w="722" w:type="pct"/>
                  <w:noWrap w:val="0"/>
                  <w:vAlign w:val="center"/>
                </w:tcPr>
                <w:p w14:paraId="1984A75D">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277" w:type="dxa"/>
                  <w:noWrap w:val="0"/>
                  <w:vAlign w:val="center"/>
                </w:tcPr>
                <w:p w14:paraId="26F22C2E">
                  <w:pPr>
                    <w:spacing w:line="240" w:lineRule="auto"/>
                    <w:ind w:firstLine="0" w:firstLineChars="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0.0001478</w:t>
                  </w:r>
                </w:p>
              </w:tc>
              <w:tc>
                <w:tcPr>
                  <w:tcW w:w="801" w:type="pct"/>
                  <w:noWrap w:val="0"/>
                  <w:vAlign w:val="center"/>
                </w:tcPr>
                <w:p w14:paraId="766AB259">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873" w:type="pct"/>
                  <w:noWrap w:val="0"/>
                  <w:vAlign w:val="center"/>
                </w:tcPr>
                <w:p w14:paraId="5C9B70F2">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-0.0001478</w:t>
                  </w:r>
                </w:p>
              </w:tc>
            </w:tr>
            <w:tr w14:paraId="55C4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continue"/>
                  <w:noWrap w:val="0"/>
                  <w:vAlign w:val="center"/>
                </w:tcPr>
                <w:p w14:paraId="16DEBA32">
                  <w:pPr>
                    <w:jc w:val="center"/>
                    <w:rPr>
                      <w:color w:val="000000" w:themeColor="text1"/>
                      <w:szCs w:val="21"/>
                      <w14:textFill>
                        <w14:solidFill>
                          <w14:schemeClr w14:val="tx1"/>
                        </w14:solidFill>
                      </w14:textFill>
                    </w:rPr>
                  </w:pPr>
                </w:p>
              </w:tc>
              <w:tc>
                <w:tcPr>
                  <w:tcW w:w="765" w:type="pct"/>
                  <w:gridSpan w:val="2"/>
                  <w:noWrap w:val="0"/>
                  <w:vAlign w:val="center"/>
                </w:tcPr>
                <w:p w14:paraId="57D2B85A">
                  <w:pPr>
                    <w:jc w:val="center"/>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食堂油烟</w:t>
                  </w:r>
                </w:p>
              </w:tc>
              <w:tc>
                <w:tcPr>
                  <w:tcW w:w="758" w:type="pct"/>
                  <w:noWrap w:val="0"/>
                  <w:vAlign w:val="center"/>
                </w:tcPr>
                <w:p w14:paraId="658C77EC">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0.00306</w:t>
                  </w:r>
                </w:p>
              </w:tc>
              <w:tc>
                <w:tcPr>
                  <w:tcW w:w="722" w:type="pct"/>
                  <w:noWrap w:val="0"/>
                  <w:vAlign w:val="center"/>
                </w:tcPr>
                <w:p w14:paraId="576ED887">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0.00107</w:t>
                  </w:r>
                </w:p>
              </w:tc>
              <w:tc>
                <w:tcPr>
                  <w:tcW w:w="758" w:type="pct"/>
                  <w:noWrap w:val="0"/>
                  <w:vAlign w:val="center"/>
                </w:tcPr>
                <w:p w14:paraId="40B58042">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0.00306</w:t>
                  </w:r>
                </w:p>
              </w:tc>
              <w:tc>
                <w:tcPr>
                  <w:tcW w:w="801" w:type="pct"/>
                  <w:noWrap w:val="0"/>
                  <w:vAlign w:val="center"/>
                </w:tcPr>
                <w:p w14:paraId="33165649">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0.00107</w:t>
                  </w:r>
                </w:p>
              </w:tc>
              <w:tc>
                <w:tcPr>
                  <w:tcW w:w="873" w:type="pct"/>
                  <w:noWrap w:val="0"/>
                  <w:vAlign w:val="center"/>
                </w:tcPr>
                <w:p w14:paraId="73783A04">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-0.00199</w:t>
                  </w:r>
                </w:p>
              </w:tc>
            </w:tr>
            <w:tr w14:paraId="17766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restart"/>
                  <w:noWrap w:val="0"/>
                  <w:vAlign w:val="center"/>
                </w:tcPr>
                <w:p w14:paraId="0CAE1E8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765" w:type="pct"/>
                  <w:gridSpan w:val="2"/>
                  <w:noWrap w:val="0"/>
                  <w:vAlign w:val="center"/>
                </w:tcPr>
                <w:p w14:paraId="5258382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生产废水</w:t>
                  </w:r>
                </w:p>
              </w:tc>
              <w:tc>
                <w:tcPr>
                  <w:tcW w:w="758" w:type="pct"/>
                  <w:noWrap w:val="0"/>
                  <w:vAlign w:val="center"/>
                </w:tcPr>
                <w:p w14:paraId="5634B3EC">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722" w:type="pct"/>
                  <w:noWrap w:val="0"/>
                  <w:vAlign w:val="center"/>
                </w:tcPr>
                <w:p w14:paraId="2DF611CB">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758" w:type="pct"/>
                  <w:noWrap w:val="0"/>
                  <w:vAlign w:val="center"/>
                </w:tcPr>
                <w:p w14:paraId="219FFC28">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801" w:type="pct"/>
                  <w:noWrap w:val="0"/>
                  <w:vAlign w:val="center"/>
                </w:tcPr>
                <w:p w14:paraId="391C466B">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873" w:type="pct"/>
                  <w:noWrap w:val="0"/>
                  <w:vAlign w:val="center"/>
                </w:tcPr>
                <w:p w14:paraId="622EDB8D">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r>
            <w:tr w14:paraId="4ABD6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9" w:type="pct"/>
                  <w:vMerge w:val="continue"/>
                  <w:noWrap w:val="0"/>
                  <w:vAlign w:val="center"/>
                </w:tcPr>
                <w:p w14:paraId="1ABCB59C">
                  <w:pPr>
                    <w:jc w:val="center"/>
                    <w:rPr>
                      <w:color w:val="000000" w:themeColor="text1"/>
                      <w:szCs w:val="21"/>
                      <w14:textFill>
                        <w14:solidFill>
                          <w14:schemeClr w14:val="tx1"/>
                        </w14:solidFill>
                      </w14:textFill>
                    </w:rPr>
                  </w:pPr>
                </w:p>
              </w:tc>
              <w:tc>
                <w:tcPr>
                  <w:tcW w:w="765" w:type="pct"/>
                  <w:gridSpan w:val="2"/>
                  <w:noWrap w:val="0"/>
                  <w:vAlign w:val="center"/>
                </w:tcPr>
                <w:p w14:paraId="46F1DB1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生活废水</w:t>
                  </w:r>
                </w:p>
              </w:tc>
              <w:tc>
                <w:tcPr>
                  <w:tcW w:w="758" w:type="pct"/>
                  <w:noWrap w:val="0"/>
                  <w:vAlign w:val="center"/>
                </w:tcPr>
                <w:p w14:paraId="24E139A8">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722" w:type="pct"/>
                  <w:noWrap w:val="0"/>
                  <w:vAlign w:val="center"/>
                </w:tcPr>
                <w:p w14:paraId="3DB54EDC">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758" w:type="pct"/>
                  <w:noWrap w:val="0"/>
                  <w:vAlign w:val="center"/>
                </w:tcPr>
                <w:p w14:paraId="3AB57C55">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801" w:type="pct"/>
                  <w:noWrap w:val="0"/>
                  <w:vAlign w:val="center"/>
                </w:tcPr>
                <w:p w14:paraId="7DCCBE7E">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873" w:type="pct"/>
                  <w:noWrap w:val="0"/>
                  <w:vAlign w:val="center"/>
                </w:tcPr>
                <w:p w14:paraId="72D12C29">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r>
            <w:tr w14:paraId="0C3B9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restart"/>
                  <w:noWrap w:val="0"/>
                  <w:vAlign w:val="center"/>
                </w:tcPr>
                <w:p w14:paraId="665774A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一般固废</w:t>
                  </w:r>
                </w:p>
              </w:tc>
              <w:tc>
                <w:tcPr>
                  <w:tcW w:w="765" w:type="pct"/>
                  <w:gridSpan w:val="2"/>
                  <w:noWrap w:val="0"/>
                  <w:vAlign w:val="center"/>
                </w:tcPr>
                <w:p w14:paraId="724F617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758" w:type="pct"/>
                  <w:noWrap w:val="0"/>
                  <w:vAlign w:val="center"/>
                </w:tcPr>
                <w:p w14:paraId="03725323">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1.8</w:t>
                  </w:r>
                </w:p>
              </w:tc>
              <w:tc>
                <w:tcPr>
                  <w:tcW w:w="722" w:type="pct"/>
                  <w:noWrap w:val="0"/>
                  <w:vAlign w:val="center"/>
                </w:tcPr>
                <w:p w14:paraId="06601ADD">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eastAsia="宋体"/>
                      <w:color w:val="000000" w:themeColor="text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758" w:type="pct"/>
                  <w:noWrap w:val="0"/>
                  <w:vAlign w:val="center"/>
                </w:tcPr>
                <w:p w14:paraId="4637908B">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801" w:type="pct"/>
                  <w:noWrap w:val="0"/>
                  <w:vAlign w:val="center"/>
                </w:tcPr>
                <w:p w14:paraId="19373194">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1.8</w:t>
                  </w:r>
                </w:p>
              </w:tc>
              <w:tc>
                <w:tcPr>
                  <w:tcW w:w="873" w:type="pct"/>
                  <w:noWrap w:val="0"/>
                  <w:vAlign w:val="center"/>
                </w:tcPr>
                <w:p w14:paraId="5B79160F">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r>
            <w:tr w14:paraId="65D3E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9" w:type="pct"/>
                  <w:vMerge w:val="continue"/>
                  <w:noWrap w:val="0"/>
                  <w:vAlign w:val="center"/>
                </w:tcPr>
                <w:p w14:paraId="62D3F222">
                  <w:pPr>
                    <w:jc w:val="center"/>
                    <w:rPr>
                      <w:color w:val="000000" w:themeColor="text1"/>
                      <w:szCs w:val="21"/>
                      <w14:textFill>
                        <w14:solidFill>
                          <w14:schemeClr w14:val="tx1"/>
                        </w14:solidFill>
                      </w14:textFill>
                    </w:rPr>
                  </w:pPr>
                </w:p>
              </w:tc>
              <w:tc>
                <w:tcPr>
                  <w:tcW w:w="765" w:type="pct"/>
                  <w:gridSpan w:val="2"/>
                  <w:noWrap w:val="0"/>
                  <w:vAlign w:val="center"/>
                </w:tcPr>
                <w:p w14:paraId="49FFCFE0">
                  <w:pPr>
                    <w:jc w:val="center"/>
                    <w:rPr>
                      <w:color w:val="000000" w:themeColor="text1"/>
                      <w:szCs w:val="21"/>
                      <w14:textFill>
                        <w14:solidFill>
                          <w14:schemeClr w14:val="tx1"/>
                        </w14:solidFill>
                      </w14:textFill>
                    </w:rPr>
                  </w:pPr>
                  <w:r>
                    <w:rPr>
                      <w:rFonts w:hint="eastAsia"/>
                      <w:bCs/>
                      <w:color w:val="000000" w:themeColor="text1"/>
                      <w:szCs w:val="21"/>
                      <w:lang w:eastAsia="zh-CN"/>
                      <w14:textFill>
                        <w14:solidFill>
                          <w14:schemeClr w14:val="tx1"/>
                        </w14:solidFill>
                      </w14:textFill>
                    </w:rPr>
                    <w:t>一体化生活污水处理设施污泥</w:t>
                  </w:r>
                </w:p>
              </w:tc>
              <w:tc>
                <w:tcPr>
                  <w:tcW w:w="758" w:type="pct"/>
                  <w:noWrap w:val="0"/>
                  <w:vAlign w:val="center"/>
                </w:tcPr>
                <w:p w14:paraId="6AE240A9">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0.72</w:t>
                  </w:r>
                </w:p>
              </w:tc>
              <w:tc>
                <w:tcPr>
                  <w:tcW w:w="722" w:type="pct"/>
                  <w:noWrap w:val="0"/>
                  <w:vAlign w:val="center"/>
                </w:tcPr>
                <w:p w14:paraId="63F0BB18">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3.528</w:t>
                  </w:r>
                </w:p>
              </w:tc>
              <w:tc>
                <w:tcPr>
                  <w:tcW w:w="758" w:type="pct"/>
                  <w:noWrap w:val="0"/>
                  <w:vAlign w:val="center"/>
                </w:tcPr>
                <w:p w14:paraId="127A320B">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801" w:type="pct"/>
                  <w:noWrap w:val="0"/>
                  <w:vAlign w:val="center"/>
                </w:tcPr>
                <w:p w14:paraId="51C4C697">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3.528</w:t>
                  </w:r>
                </w:p>
              </w:tc>
              <w:tc>
                <w:tcPr>
                  <w:tcW w:w="873" w:type="pct"/>
                  <w:noWrap w:val="0"/>
                  <w:vAlign w:val="center"/>
                </w:tcPr>
                <w:p w14:paraId="46DED8D7">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+2.808</w:t>
                  </w:r>
                </w:p>
              </w:tc>
            </w:tr>
            <w:tr w14:paraId="28ABB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continue"/>
                  <w:noWrap w:val="0"/>
                  <w:vAlign w:val="center"/>
                </w:tcPr>
                <w:p w14:paraId="2DD0652D">
                  <w:pPr>
                    <w:jc w:val="center"/>
                    <w:rPr>
                      <w:color w:val="000000" w:themeColor="text1"/>
                      <w:szCs w:val="21"/>
                      <w14:textFill>
                        <w14:solidFill>
                          <w14:schemeClr w14:val="tx1"/>
                        </w14:solidFill>
                      </w14:textFill>
                    </w:rPr>
                  </w:pPr>
                </w:p>
              </w:tc>
              <w:tc>
                <w:tcPr>
                  <w:tcW w:w="765" w:type="pct"/>
                  <w:gridSpan w:val="2"/>
                  <w:noWrap w:val="0"/>
                  <w:vAlign w:val="center"/>
                </w:tcPr>
                <w:p w14:paraId="2641D1F5">
                  <w:pPr>
                    <w:jc w:val="center"/>
                    <w:rPr>
                      <w:rFonts w:hint="eastAsia"/>
                      <w:bCs/>
                      <w:color w:val="000000" w:themeColor="text1"/>
                      <w:szCs w:val="21"/>
                      <w:lang w:eastAsia="zh-CN"/>
                      <w14:textFill>
                        <w14:solidFill>
                          <w14:schemeClr w14:val="tx1"/>
                        </w14:solidFill>
                      </w14:textFill>
                    </w:rPr>
                  </w:pPr>
                  <w:r>
                    <w:rPr>
                      <w:rFonts w:hint="eastAsia"/>
                      <w:bCs/>
                      <w:color w:val="000000" w:themeColor="text1"/>
                      <w:szCs w:val="21"/>
                      <w:lang w:eastAsia="zh-CN"/>
                      <w14:textFill>
                        <w14:solidFill>
                          <w14:schemeClr w14:val="tx1"/>
                        </w14:solidFill>
                      </w14:textFill>
                    </w:rPr>
                    <w:t>废弃包装物</w:t>
                  </w:r>
                </w:p>
              </w:tc>
              <w:tc>
                <w:tcPr>
                  <w:tcW w:w="758" w:type="pct"/>
                  <w:noWrap w:val="0"/>
                  <w:vAlign w:val="center"/>
                </w:tcPr>
                <w:p w14:paraId="20050527">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0.8</w:t>
                  </w:r>
                </w:p>
              </w:tc>
              <w:tc>
                <w:tcPr>
                  <w:tcW w:w="722" w:type="pct"/>
                  <w:noWrap w:val="0"/>
                  <w:vAlign w:val="center"/>
                </w:tcPr>
                <w:p w14:paraId="492EDC7A">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758" w:type="pct"/>
                  <w:noWrap w:val="0"/>
                  <w:vAlign w:val="center"/>
                </w:tcPr>
                <w:p w14:paraId="38584F48">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801" w:type="pct"/>
                  <w:noWrap w:val="0"/>
                  <w:vAlign w:val="center"/>
                </w:tcPr>
                <w:p w14:paraId="50F6F882">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0.8</w:t>
                  </w:r>
                </w:p>
              </w:tc>
              <w:tc>
                <w:tcPr>
                  <w:tcW w:w="873" w:type="pct"/>
                  <w:noWrap w:val="0"/>
                  <w:vAlign w:val="center"/>
                </w:tcPr>
                <w:p w14:paraId="6816E63C">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r>
            <w:tr w14:paraId="71370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continue"/>
                  <w:noWrap w:val="0"/>
                  <w:vAlign w:val="center"/>
                </w:tcPr>
                <w:p w14:paraId="0A2A3E1F">
                  <w:pPr>
                    <w:jc w:val="center"/>
                    <w:rPr>
                      <w:color w:val="000000" w:themeColor="text1"/>
                      <w:szCs w:val="21"/>
                      <w14:textFill>
                        <w14:solidFill>
                          <w14:schemeClr w14:val="tx1"/>
                        </w14:solidFill>
                      </w14:textFill>
                    </w:rPr>
                  </w:pPr>
                </w:p>
              </w:tc>
              <w:tc>
                <w:tcPr>
                  <w:tcW w:w="765" w:type="pct"/>
                  <w:gridSpan w:val="2"/>
                  <w:noWrap w:val="0"/>
                  <w:vAlign w:val="center"/>
                </w:tcPr>
                <w:p w14:paraId="70275FAB">
                  <w:pPr>
                    <w:jc w:val="center"/>
                    <w:rPr>
                      <w:rFonts w:hint="eastAsia"/>
                      <w:bCs/>
                      <w:color w:val="000000" w:themeColor="text1"/>
                      <w:szCs w:val="21"/>
                      <w:lang w:eastAsia="zh-CN"/>
                      <w14:textFill>
                        <w14:solidFill>
                          <w14:schemeClr w14:val="tx1"/>
                        </w14:solidFill>
                      </w14:textFill>
                    </w:rPr>
                  </w:pPr>
                  <w:r>
                    <w:rPr>
                      <w:rFonts w:hint="eastAsia"/>
                      <w:bCs/>
                      <w:color w:val="000000" w:themeColor="text1"/>
                      <w:szCs w:val="21"/>
                      <w:lang w:eastAsia="zh-CN"/>
                      <w14:textFill>
                        <w14:solidFill>
                          <w14:schemeClr w14:val="tx1"/>
                        </w14:solidFill>
                      </w14:textFill>
                    </w:rPr>
                    <w:t>不合格品</w:t>
                  </w:r>
                </w:p>
              </w:tc>
              <w:tc>
                <w:tcPr>
                  <w:tcW w:w="758" w:type="pct"/>
                  <w:noWrap w:val="0"/>
                  <w:vAlign w:val="center"/>
                </w:tcPr>
                <w:p w14:paraId="2D27437C">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0.75</w:t>
                  </w:r>
                </w:p>
              </w:tc>
              <w:tc>
                <w:tcPr>
                  <w:tcW w:w="722" w:type="pct"/>
                  <w:noWrap w:val="0"/>
                  <w:vAlign w:val="center"/>
                </w:tcPr>
                <w:p w14:paraId="28F782A6">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758" w:type="pct"/>
                  <w:noWrap w:val="0"/>
                  <w:vAlign w:val="center"/>
                </w:tcPr>
                <w:p w14:paraId="702708AA">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801" w:type="pct"/>
                  <w:noWrap w:val="0"/>
                  <w:vAlign w:val="center"/>
                </w:tcPr>
                <w:p w14:paraId="04EAA752">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0.75</w:t>
                  </w:r>
                </w:p>
              </w:tc>
              <w:tc>
                <w:tcPr>
                  <w:tcW w:w="873" w:type="pct"/>
                  <w:noWrap w:val="0"/>
                  <w:vAlign w:val="center"/>
                </w:tcPr>
                <w:p w14:paraId="4A1B465A">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r>
            <w:tr w14:paraId="53CC9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continue"/>
                  <w:noWrap w:val="0"/>
                  <w:vAlign w:val="center"/>
                </w:tcPr>
                <w:p w14:paraId="20337BF4">
                  <w:pPr>
                    <w:jc w:val="center"/>
                    <w:rPr>
                      <w:color w:val="000000" w:themeColor="text1"/>
                      <w:szCs w:val="21"/>
                      <w14:textFill>
                        <w14:solidFill>
                          <w14:schemeClr w14:val="tx1"/>
                        </w14:solidFill>
                      </w14:textFill>
                    </w:rPr>
                  </w:pPr>
                </w:p>
              </w:tc>
              <w:tc>
                <w:tcPr>
                  <w:tcW w:w="765" w:type="pct"/>
                  <w:gridSpan w:val="2"/>
                  <w:noWrap w:val="0"/>
                  <w:vAlign w:val="center"/>
                </w:tcPr>
                <w:p w14:paraId="4520668B">
                  <w:pPr>
                    <w:autoSpaceDE w:val="0"/>
                    <w:autoSpaceDN w:val="0"/>
                    <w:jc w:val="center"/>
                    <w:rPr>
                      <w:color w:val="000000" w:themeColor="text1"/>
                      <w:szCs w:val="21"/>
                      <w14:textFill>
                        <w14:solidFill>
                          <w14:schemeClr w14:val="tx1"/>
                        </w14:solidFill>
                      </w14:textFill>
                    </w:rPr>
                  </w:pPr>
                  <w:r>
                    <w:rPr>
                      <w:rFonts w:hint="eastAsia" w:eastAsia="宋体"/>
                      <w:bCs/>
                      <w:color w:val="000000" w:themeColor="text1"/>
                      <w:szCs w:val="21"/>
                      <w:lang w:eastAsia="zh-CN"/>
                      <w14:textFill>
                        <w14:solidFill>
                          <w14:schemeClr w14:val="tx1"/>
                        </w14:solidFill>
                      </w14:textFill>
                    </w:rPr>
                    <w:t>锅炉炉渣</w:t>
                  </w:r>
                </w:p>
              </w:tc>
              <w:tc>
                <w:tcPr>
                  <w:tcW w:w="758" w:type="pct"/>
                  <w:noWrap w:val="0"/>
                  <w:vAlign w:val="center"/>
                </w:tcPr>
                <w:p w14:paraId="72734AC0">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191.2458</w:t>
                  </w:r>
                </w:p>
              </w:tc>
              <w:tc>
                <w:tcPr>
                  <w:tcW w:w="722" w:type="pct"/>
                  <w:shd w:val="clear" w:color="auto" w:fill="auto"/>
                  <w:noWrap w:val="0"/>
                  <w:vAlign w:val="center"/>
                </w:tcPr>
                <w:p w14:paraId="265A7C98">
                  <w:pPr>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8.374</w:t>
                  </w:r>
                </w:p>
              </w:tc>
              <w:tc>
                <w:tcPr>
                  <w:tcW w:w="758" w:type="pct"/>
                  <w:noWrap w:val="0"/>
                  <w:vAlign w:val="center"/>
                </w:tcPr>
                <w:p w14:paraId="1AA1D6D9">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191.2458</w:t>
                  </w:r>
                </w:p>
              </w:tc>
              <w:tc>
                <w:tcPr>
                  <w:tcW w:w="801" w:type="pct"/>
                  <w:noWrap w:val="0"/>
                  <w:vAlign w:val="center"/>
                </w:tcPr>
                <w:p w14:paraId="420E7DC5">
                  <w:pPr>
                    <w:autoSpaceDE w:val="0"/>
                    <w:autoSpaceDN w:val="0"/>
                    <w:jc w:val="center"/>
                    <w:rPr>
                      <w:color w:val="000000" w:themeColor="text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8.374</w:t>
                  </w:r>
                </w:p>
              </w:tc>
              <w:tc>
                <w:tcPr>
                  <w:tcW w:w="873" w:type="pct"/>
                  <w:noWrap w:val="0"/>
                  <w:vAlign w:val="center"/>
                </w:tcPr>
                <w:p w14:paraId="0ED395A8">
                  <w:pPr>
                    <w:autoSpaceDE w:val="0"/>
                    <w:autoSpaceDN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-182.8718</w:t>
                  </w:r>
                </w:p>
              </w:tc>
            </w:tr>
            <w:tr w14:paraId="0E6F7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319" w:type="pct"/>
                  <w:vMerge w:val="continue"/>
                  <w:noWrap w:val="0"/>
                  <w:vAlign w:val="center"/>
                </w:tcPr>
                <w:p w14:paraId="75AAE087">
                  <w:pPr>
                    <w:jc w:val="center"/>
                    <w:rPr>
                      <w:color w:val="000000" w:themeColor="text1"/>
                      <w:szCs w:val="21"/>
                      <w14:textFill>
                        <w14:solidFill>
                          <w14:schemeClr w14:val="tx1"/>
                        </w14:solidFill>
                      </w14:textFill>
                    </w:rPr>
                  </w:pPr>
                </w:p>
              </w:tc>
              <w:tc>
                <w:tcPr>
                  <w:tcW w:w="765" w:type="pct"/>
                  <w:gridSpan w:val="2"/>
                  <w:noWrap w:val="0"/>
                  <w:vAlign w:val="center"/>
                </w:tcPr>
                <w:p w14:paraId="4BED96A0">
                  <w:pPr>
                    <w:autoSpaceDE w:val="0"/>
                    <w:autoSpaceDN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脱硫废渣</w:t>
                  </w:r>
                </w:p>
              </w:tc>
              <w:tc>
                <w:tcPr>
                  <w:tcW w:w="758" w:type="pct"/>
                  <w:noWrap w:val="0"/>
                  <w:vAlign w:val="center"/>
                </w:tcPr>
                <w:p w14:paraId="53B6A1C2">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6.84</w:t>
                  </w:r>
                </w:p>
              </w:tc>
              <w:tc>
                <w:tcPr>
                  <w:tcW w:w="722" w:type="pct"/>
                  <w:shd w:val="clear" w:color="auto" w:fill="auto"/>
                  <w:noWrap w:val="0"/>
                  <w:vAlign w:val="center"/>
                </w:tcPr>
                <w:p w14:paraId="5ED2CF0E">
                  <w:pPr>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w:t>
                  </w:r>
                </w:p>
              </w:tc>
              <w:tc>
                <w:tcPr>
                  <w:tcW w:w="758" w:type="pct"/>
                  <w:noWrap w:val="0"/>
                  <w:vAlign w:val="center"/>
                </w:tcPr>
                <w:p w14:paraId="49E48883">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6.84</w:t>
                  </w:r>
                </w:p>
              </w:tc>
              <w:tc>
                <w:tcPr>
                  <w:tcW w:w="801" w:type="pct"/>
                  <w:noWrap w:val="0"/>
                  <w:vAlign w:val="center"/>
                </w:tcPr>
                <w:p w14:paraId="3C1684CF">
                  <w:pPr>
                    <w:autoSpaceDE w:val="0"/>
                    <w:autoSpaceDN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873" w:type="pct"/>
                  <w:noWrap w:val="0"/>
                  <w:vAlign w:val="center"/>
                </w:tcPr>
                <w:p w14:paraId="4A88EA63">
                  <w:pPr>
                    <w:autoSpaceDE w:val="0"/>
                    <w:autoSpaceDN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-6.84</w:t>
                  </w:r>
                </w:p>
              </w:tc>
            </w:tr>
            <w:tr w14:paraId="5FD9B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9" w:type="pct"/>
                  <w:vMerge w:val="continue"/>
                  <w:noWrap w:val="0"/>
                  <w:vAlign w:val="center"/>
                </w:tcPr>
                <w:p w14:paraId="2743D099">
                  <w:pPr>
                    <w:jc w:val="center"/>
                    <w:rPr>
                      <w:color w:val="000000" w:themeColor="text1"/>
                      <w:szCs w:val="21"/>
                      <w14:textFill>
                        <w14:solidFill>
                          <w14:schemeClr w14:val="tx1"/>
                        </w14:solidFill>
                      </w14:textFill>
                    </w:rPr>
                  </w:pPr>
                </w:p>
              </w:tc>
              <w:tc>
                <w:tcPr>
                  <w:tcW w:w="765" w:type="pct"/>
                  <w:gridSpan w:val="2"/>
                  <w:noWrap w:val="0"/>
                  <w:vAlign w:val="center"/>
                </w:tcPr>
                <w:p w14:paraId="2022D6C2">
                  <w:pPr>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除尘灰</w:t>
                  </w:r>
                </w:p>
              </w:tc>
              <w:tc>
                <w:tcPr>
                  <w:tcW w:w="758" w:type="pct"/>
                  <w:noWrap w:val="0"/>
                  <w:vAlign w:val="center"/>
                </w:tcPr>
                <w:p w14:paraId="77C16000">
                  <w:pPr>
                    <w:autoSpaceDE w:val="0"/>
                    <w:autoSpaceDN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w:t>
                  </w:r>
                </w:p>
              </w:tc>
              <w:tc>
                <w:tcPr>
                  <w:tcW w:w="722" w:type="pct"/>
                  <w:noWrap w:val="0"/>
                  <w:vAlign w:val="center"/>
                </w:tcPr>
                <w:p w14:paraId="3EBB171A">
                  <w:pPr>
                    <w:autoSpaceDE w:val="0"/>
                    <w:autoSpaceDN w:val="0"/>
                    <w:jc w:val="center"/>
                    <w:rPr>
                      <w:rFonts w:hint="eastAsia" w:ascii="Times New Roman" w:hAnsi="Times New Roman" w:eastAsia="宋体" w:cs="Times New Roman"/>
                      <w:bCs/>
                      <w:color w:val="000000" w:themeColor="text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4.8921</w:t>
                  </w:r>
                </w:p>
              </w:tc>
              <w:tc>
                <w:tcPr>
                  <w:tcW w:w="758" w:type="pct"/>
                  <w:noWrap w:val="0"/>
                  <w:vAlign w:val="center"/>
                </w:tcPr>
                <w:p w14:paraId="041B0151">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801" w:type="pct"/>
                  <w:noWrap w:val="0"/>
                  <w:vAlign w:val="center"/>
                </w:tcPr>
                <w:p w14:paraId="232108D2">
                  <w:pPr>
                    <w:autoSpaceDE w:val="0"/>
                    <w:autoSpaceDN w:val="0"/>
                    <w:jc w:val="center"/>
                    <w:rPr>
                      <w:color w:val="000000" w:themeColor="text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4.8921</w:t>
                  </w:r>
                </w:p>
              </w:tc>
              <w:tc>
                <w:tcPr>
                  <w:tcW w:w="873" w:type="pct"/>
                  <w:noWrap w:val="0"/>
                  <w:vAlign w:val="center"/>
                </w:tcPr>
                <w:p w14:paraId="17536699">
                  <w:pPr>
                    <w:autoSpaceDE w:val="0"/>
                    <w:autoSpaceDN w:val="0"/>
                    <w:jc w:val="center"/>
                    <w:rPr>
                      <w:rFonts w:hint="default"/>
                      <w:color w:val="000000" w:themeColor="text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+4.8921</w:t>
                  </w:r>
                </w:p>
              </w:tc>
            </w:tr>
            <w:tr w14:paraId="3F10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9" w:type="pct"/>
                  <w:vMerge w:val="continue"/>
                  <w:noWrap w:val="0"/>
                  <w:vAlign w:val="center"/>
                </w:tcPr>
                <w:p w14:paraId="6D341E96">
                  <w:pPr>
                    <w:jc w:val="center"/>
                    <w:rPr>
                      <w:color w:val="000000" w:themeColor="text1"/>
                      <w:szCs w:val="21"/>
                      <w14:textFill>
                        <w14:solidFill>
                          <w14:schemeClr w14:val="tx1"/>
                        </w14:solidFill>
                      </w14:textFill>
                    </w:rPr>
                  </w:pPr>
                </w:p>
              </w:tc>
              <w:tc>
                <w:tcPr>
                  <w:tcW w:w="765" w:type="pct"/>
                  <w:gridSpan w:val="2"/>
                  <w:noWrap w:val="0"/>
                  <w:vAlign w:val="center"/>
                </w:tcPr>
                <w:p w14:paraId="0A0D1EC2">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eastAsia" w:eastAsia="宋体"/>
                      <w:bCs/>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废布袋</w:t>
                  </w:r>
                </w:p>
              </w:tc>
              <w:tc>
                <w:tcPr>
                  <w:tcW w:w="758" w:type="pct"/>
                  <w:noWrap w:val="0"/>
                  <w:vAlign w:val="center"/>
                </w:tcPr>
                <w:p w14:paraId="6807B109">
                  <w:pPr>
                    <w:autoSpaceDE w:val="0"/>
                    <w:autoSpaceDN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w:t>
                  </w:r>
                </w:p>
              </w:tc>
              <w:tc>
                <w:tcPr>
                  <w:tcW w:w="722" w:type="pct"/>
                  <w:noWrap w:val="0"/>
                  <w:vAlign w:val="center"/>
                </w:tcPr>
                <w:p w14:paraId="1C0CA6EF">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eastAsia"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0.05</w:t>
                  </w:r>
                </w:p>
              </w:tc>
              <w:tc>
                <w:tcPr>
                  <w:tcW w:w="758" w:type="pct"/>
                  <w:noWrap w:val="0"/>
                  <w:vAlign w:val="center"/>
                </w:tcPr>
                <w:p w14:paraId="63479A08">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0</w:t>
                  </w:r>
                </w:p>
              </w:tc>
              <w:tc>
                <w:tcPr>
                  <w:tcW w:w="801" w:type="pct"/>
                  <w:noWrap w:val="0"/>
                  <w:vAlign w:val="center"/>
                </w:tcPr>
                <w:p w14:paraId="75980AD1">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eastAsia"/>
                      <w:bCs/>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0.05</w:t>
                  </w:r>
                </w:p>
              </w:tc>
              <w:tc>
                <w:tcPr>
                  <w:tcW w:w="873" w:type="pct"/>
                  <w:noWrap w:val="0"/>
                  <w:vAlign w:val="center"/>
                </w:tcPr>
                <w:p w14:paraId="161298CE">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eastAsia"/>
                      <w:color w:val="000000" w:themeColor="text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0.05</w:t>
                  </w:r>
                </w:p>
              </w:tc>
            </w:tr>
            <w:tr w14:paraId="3D0D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9" w:type="pct"/>
                  <w:vMerge w:val="continue"/>
                  <w:noWrap w:val="0"/>
                  <w:vAlign w:val="center"/>
                </w:tcPr>
                <w:p w14:paraId="1F810399">
                  <w:pPr>
                    <w:jc w:val="center"/>
                    <w:rPr>
                      <w:color w:val="000000" w:themeColor="text1"/>
                      <w:szCs w:val="21"/>
                      <w14:textFill>
                        <w14:solidFill>
                          <w14:schemeClr w14:val="tx1"/>
                        </w14:solidFill>
                      </w14:textFill>
                    </w:rPr>
                  </w:pPr>
                </w:p>
              </w:tc>
              <w:tc>
                <w:tcPr>
                  <w:tcW w:w="765" w:type="pct"/>
                  <w:gridSpan w:val="2"/>
                  <w:noWrap w:val="0"/>
                  <w:vAlign w:val="center"/>
                </w:tcPr>
                <w:p w14:paraId="059D9321">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eastAsia" w:eastAsia="宋体"/>
                      <w:bCs/>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废离子交换树脂</w:t>
                  </w:r>
                </w:p>
              </w:tc>
              <w:tc>
                <w:tcPr>
                  <w:tcW w:w="758" w:type="pct"/>
                  <w:noWrap w:val="0"/>
                  <w:vAlign w:val="center"/>
                </w:tcPr>
                <w:p w14:paraId="22A417AE">
                  <w:pPr>
                    <w:autoSpaceDE w:val="0"/>
                    <w:autoSpaceDN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w:t>
                  </w:r>
                </w:p>
              </w:tc>
              <w:tc>
                <w:tcPr>
                  <w:tcW w:w="722" w:type="pct"/>
                  <w:noWrap w:val="0"/>
                  <w:vAlign w:val="center"/>
                </w:tcPr>
                <w:p w14:paraId="2782D9FA">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eastAsia"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w:t>
                  </w:r>
                </w:p>
              </w:tc>
              <w:tc>
                <w:tcPr>
                  <w:tcW w:w="758" w:type="pct"/>
                  <w:noWrap w:val="0"/>
                  <w:vAlign w:val="center"/>
                </w:tcPr>
                <w:p w14:paraId="40EBF39F">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0</w:t>
                  </w:r>
                </w:p>
              </w:tc>
              <w:tc>
                <w:tcPr>
                  <w:tcW w:w="801" w:type="pct"/>
                  <w:noWrap w:val="0"/>
                  <w:vAlign w:val="center"/>
                </w:tcPr>
                <w:p w14:paraId="132E9BFE">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eastAsia"/>
                      <w:bCs/>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w:t>
                  </w:r>
                </w:p>
              </w:tc>
              <w:tc>
                <w:tcPr>
                  <w:tcW w:w="873" w:type="pct"/>
                  <w:noWrap w:val="0"/>
                  <w:vAlign w:val="center"/>
                </w:tcPr>
                <w:p w14:paraId="472D41FF">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eastAsia"/>
                      <w:color w:val="000000" w:themeColor="text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w:t>
                  </w:r>
                </w:p>
              </w:tc>
            </w:tr>
            <w:tr w14:paraId="4A8FC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319" w:type="pct"/>
                  <w:vMerge w:val="restart"/>
                  <w:noWrap w:val="0"/>
                  <w:vAlign w:val="center"/>
                </w:tcPr>
                <w:p w14:paraId="71E24A1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c>
                <w:tcPr>
                  <w:tcW w:w="765" w:type="pct"/>
                  <w:gridSpan w:val="2"/>
                  <w:noWrap w:val="0"/>
                  <w:vAlign w:val="center"/>
                </w:tcPr>
                <w:p w14:paraId="7DF82FE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废矿物油</w:t>
                  </w:r>
                </w:p>
              </w:tc>
              <w:tc>
                <w:tcPr>
                  <w:tcW w:w="758" w:type="pct"/>
                  <w:noWrap w:val="0"/>
                  <w:vAlign w:val="center"/>
                </w:tcPr>
                <w:p w14:paraId="30F9921C">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0.05</w:t>
                  </w:r>
                </w:p>
              </w:tc>
              <w:tc>
                <w:tcPr>
                  <w:tcW w:w="722" w:type="pct"/>
                  <w:noWrap w:val="0"/>
                  <w:vAlign w:val="center"/>
                </w:tcPr>
                <w:p w14:paraId="7FE4F6F5">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eastAsia" w:eastAsia="宋体"/>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ascii="Times New Roman" w:hAnsi="Times New Roman"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1</w:t>
                  </w:r>
                </w:p>
              </w:tc>
              <w:tc>
                <w:tcPr>
                  <w:tcW w:w="758" w:type="pct"/>
                  <w:noWrap w:val="0"/>
                  <w:vAlign w:val="center"/>
                </w:tcPr>
                <w:p w14:paraId="7630C8FE">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801" w:type="pct"/>
                  <w:noWrap w:val="0"/>
                  <w:vAlign w:val="center"/>
                </w:tcPr>
                <w:p w14:paraId="17E346DE">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0.06</w:t>
                  </w:r>
                </w:p>
              </w:tc>
              <w:tc>
                <w:tcPr>
                  <w:tcW w:w="873" w:type="pct"/>
                  <w:noWrap w:val="0"/>
                  <w:vAlign w:val="center"/>
                </w:tcPr>
                <w:p w14:paraId="7880E175">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+0.01</w:t>
                  </w:r>
                </w:p>
              </w:tc>
            </w:tr>
            <w:tr w14:paraId="2C0C9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continue"/>
                  <w:noWrap w:val="0"/>
                  <w:vAlign w:val="center"/>
                </w:tcPr>
                <w:p w14:paraId="7D31F4B7">
                  <w:pPr>
                    <w:jc w:val="center"/>
                    <w:rPr>
                      <w:color w:val="000000" w:themeColor="text1"/>
                      <w:szCs w:val="21"/>
                      <w14:textFill>
                        <w14:solidFill>
                          <w14:schemeClr w14:val="tx1"/>
                        </w14:solidFill>
                      </w14:textFill>
                    </w:rPr>
                  </w:pPr>
                </w:p>
              </w:tc>
              <w:tc>
                <w:tcPr>
                  <w:tcW w:w="765" w:type="pct"/>
                  <w:gridSpan w:val="2"/>
                  <w:noWrap w:val="0"/>
                  <w:vAlign w:val="center"/>
                </w:tcPr>
                <w:p w14:paraId="016756D0">
                  <w:pPr>
                    <w:jc w:val="center"/>
                    <w:rPr>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废活性炭</w:t>
                  </w:r>
                </w:p>
              </w:tc>
              <w:tc>
                <w:tcPr>
                  <w:tcW w:w="758" w:type="pct"/>
                  <w:noWrap w:val="0"/>
                  <w:vAlign w:val="center"/>
                </w:tcPr>
                <w:p w14:paraId="47CE0CD8">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722" w:type="pct"/>
                  <w:noWrap w:val="0"/>
                  <w:vAlign w:val="center"/>
                </w:tcPr>
                <w:p w14:paraId="3A3D9C02">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eastAsia" w:eastAsia="宋体"/>
                      <w:color w:val="000000" w:themeColor="text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1.4424</w:t>
                  </w:r>
                </w:p>
              </w:tc>
              <w:tc>
                <w:tcPr>
                  <w:tcW w:w="758" w:type="pct"/>
                  <w:noWrap w:val="0"/>
                  <w:vAlign w:val="center"/>
                </w:tcPr>
                <w:p w14:paraId="6CEB798D">
                  <w:pPr>
                    <w:jc w:val="center"/>
                    <w:rPr>
                      <w:color w:val="000000" w:themeColor="text1"/>
                      <w:szCs w:val="21"/>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0</w:t>
                  </w:r>
                </w:p>
              </w:tc>
              <w:tc>
                <w:tcPr>
                  <w:tcW w:w="801" w:type="pct"/>
                  <w:noWrap w:val="0"/>
                  <w:vAlign w:val="center"/>
                </w:tcPr>
                <w:p w14:paraId="4D0A012F">
                  <w:pPr>
                    <w:jc w:val="center"/>
                    <w:rPr>
                      <w:rFonts w:hint="eastAsia" w:eastAsia="宋体"/>
                      <w:color w:val="000000" w:themeColor="text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1.4424</w:t>
                  </w:r>
                </w:p>
              </w:tc>
              <w:tc>
                <w:tcPr>
                  <w:tcW w:w="873" w:type="pct"/>
                  <w:noWrap w:val="0"/>
                  <w:vAlign w:val="center"/>
                </w:tcPr>
                <w:p w14:paraId="51C4C7E0">
                  <w:pPr>
                    <w:jc w:val="center"/>
                    <w:rPr>
                      <w:color w:val="000000" w:themeColor="text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+1.4424</w:t>
                  </w:r>
                </w:p>
              </w:tc>
            </w:tr>
          </w:tbl>
          <w:p w14:paraId="165A3282">
            <w:pPr>
              <w:pStyle w:val="151"/>
              <w:keepNext w:val="0"/>
              <w:keepLines/>
              <w:pageBreakBefore w:val="0"/>
              <w:kinsoku/>
              <w:overflowPunct/>
              <w:bidi w:val="0"/>
              <w:adjustRightInd/>
              <w:ind w:firstLine="482"/>
              <w:rPr>
                <w:rFonts w:hint="default" w:ascii="Times New Roman" w:hAnsi="Times New Roman" w:cs="Times New Roman"/>
                <w:b/>
                <w:bCs/>
                <w:color w:val="000000" w:themeColor="text1"/>
                <w:szCs w:val="24"/>
                <w14:textFill>
                  <w14:solidFill>
                    <w14:schemeClr w14:val="tx1"/>
                  </w14:solidFill>
                </w14:textFill>
              </w:rPr>
            </w:pPr>
            <w:r>
              <w:rPr>
                <w:rFonts w:hint="default" w:ascii="Times New Roman" w:hAnsi="Times New Roman" w:cs="Times New Roman"/>
                <w:b/>
                <w:bCs/>
                <w:color w:val="000000" w:themeColor="text1"/>
                <w:szCs w:val="24"/>
                <w:lang w:val="en-US" w:eastAsia="zh-CN"/>
                <w14:textFill>
                  <w14:solidFill>
                    <w14:schemeClr w14:val="tx1"/>
                  </w14:solidFill>
                </w14:textFill>
              </w:rPr>
              <w:t>5</w:t>
            </w:r>
            <w:r>
              <w:rPr>
                <w:rFonts w:hint="default" w:ascii="Times New Roman" w:hAnsi="Times New Roman" w:cs="Times New Roman"/>
                <w:b/>
                <w:bCs/>
                <w:color w:val="000000" w:themeColor="text1"/>
                <w:szCs w:val="24"/>
                <w14:textFill>
                  <w14:solidFill>
                    <w14:schemeClr w14:val="tx1"/>
                  </w14:solidFill>
                </w14:textFill>
              </w:rPr>
              <w:t>、土壤、地下水环境影响</w:t>
            </w:r>
          </w:p>
          <w:p w14:paraId="29DE58D1">
            <w:pPr>
              <w:pStyle w:val="18"/>
              <w:pageBreakBefore w:val="0"/>
              <w:kinsoku/>
              <w:overflowPunct/>
              <w:topLinePunct w:val="0"/>
              <w:autoSpaceDE/>
              <w:autoSpaceDN/>
              <w:bidi w:val="0"/>
              <w:adjustRightInd/>
              <w:spacing w:line="360" w:lineRule="auto"/>
              <w:ind w:left="0" w:leftChars="0" w:right="0" w:firstLine="482" w:firstLineChars="20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（1）污染源分析</w:t>
            </w:r>
          </w:p>
          <w:p w14:paraId="2AFFC6E8">
            <w:pPr>
              <w:pStyle w:val="18"/>
              <w:pageBreakBefore w:val="0"/>
              <w:kinsoku/>
              <w:overflowPunct/>
              <w:topLinePunct w:val="0"/>
              <w:autoSpaceDE/>
              <w:autoSpaceDN/>
              <w:bidi w:val="0"/>
              <w:adjustRightInd/>
              <w:spacing w:line="360" w:lineRule="auto"/>
              <w:ind w:left="0" w:leftChars="0" w:right="0" w:firstLine="480" w:firstLineChars="20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本项目生产设备均布设于密闭式生产车间内，生产车间地面进行水泥硬化处理，正常工况下，项目不会产生地下水、土壤污染。</w:t>
            </w:r>
          </w:p>
          <w:p w14:paraId="20FD80E2">
            <w:pPr>
              <w:adjustRightInd w:val="0"/>
              <w:snapToGrid w:val="0"/>
              <w:spacing w:line="360" w:lineRule="auto"/>
              <w:ind w:firstLine="480" w:firstLineChars="200"/>
              <w:rPr>
                <w:rFonts w:hint="default" w:ascii="Times New Roman" w:hAnsi="Times New Roman" w:cs="Times New Roman"/>
                <w:color w:val="000000" w:themeColor="text1"/>
                <w:sz w:val="24"/>
                <w:lang w:val="zh-CN"/>
                <w14:textFill>
                  <w14:solidFill>
                    <w14:schemeClr w14:val="tx1"/>
                  </w14:solidFill>
                </w14:textFill>
              </w:rPr>
            </w:pPr>
            <w:r>
              <w:rPr>
                <w:rFonts w:hint="default" w:ascii="Times New Roman" w:hAnsi="Times New Roman" w:cs="Times New Roman"/>
                <w:color w:val="000000" w:themeColor="text1"/>
                <w:sz w:val="24"/>
                <w:lang w:val="zh-CN"/>
                <w14:textFill>
                  <w14:solidFill>
                    <w14:schemeClr w14:val="tx1"/>
                  </w14:solidFill>
                </w14:textFill>
              </w:rPr>
              <w:t>在事故状态下，</w:t>
            </w:r>
            <w:r>
              <w:rPr>
                <w:rFonts w:hint="default" w:ascii="Times New Roman" w:hAnsi="Times New Roman" w:cs="Times New Roman"/>
                <w:color w:val="000000" w:themeColor="text1"/>
                <w:sz w:val="24"/>
                <w14:textFill>
                  <w14:solidFill>
                    <w14:schemeClr w14:val="tx1"/>
                  </w14:solidFill>
                </w14:textFill>
              </w:rPr>
              <w:t>生产废水</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zh-CN"/>
                <w14:textFill>
                  <w14:solidFill>
                    <w14:schemeClr w14:val="tx1"/>
                  </w14:solidFill>
                </w14:textFill>
              </w:rPr>
              <w:t>项目内暂存的危险废物可能会发生</w:t>
            </w:r>
            <w:r>
              <w:rPr>
                <w:rFonts w:hint="default" w:ascii="Times New Roman" w:hAnsi="Times New Roman" w:cs="Times New Roman"/>
                <w:color w:val="000000" w:themeColor="text1"/>
                <w:sz w:val="24"/>
                <w14:textFill>
                  <w14:solidFill>
                    <w14:schemeClr w14:val="tx1"/>
                  </w14:solidFill>
                </w14:textFill>
              </w:rPr>
              <w:t>泄漏</w:t>
            </w:r>
            <w:r>
              <w:rPr>
                <w:rFonts w:hint="default" w:ascii="Times New Roman" w:hAnsi="Times New Roman" w:cs="Times New Roman"/>
                <w:color w:val="000000" w:themeColor="text1"/>
                <w:sz w:val="24"/>
                <w:lang w:val="zh-CN"/>
                <w14:textFill>
                  <w14:solidFill>
                    <w14:schemeClr w14:val="tx1"/>
                  </w14:solidFill>
                </w14:textFill>
              </w:rPr>
              <w:t>等情况，可能对周边土壤造成污染，长时间</w:t>
            </w:r>
            <w:r>
              <w:rPr>
                <w:rFonts w:hint="default" w:ascii="Times New Roman" w:hAnsi="Times New Roman" w:cs="Times New Roman"/>
                <w:color w:val="000000" w:themeColor="text1"/>
                <w:sz w:val="24"/>
                <w14:textFill>
                  <w14:solidFill>
                    <w14:schemeClr w14:val="tx1"/>
                  </w14:solidFill>
                </w14:textFill>
              </w:rPr>
              <w:t>泄漏</w:t>
            </w:r>
            <w:r>
              <w:rPr>
                <w:rFonts w:hint="default" w:ascii="Times New Roman" w:hAnsi="Times New Roman" w:cs="Times New Roman"/>
                <w:color w:val="000000" w:themeColor="text1"/>
                <w:sz w:val="24"/>
                <w:lang w:val="zh-CN"/>
                <w14:textFill>
                  <w14:solidFill>
                    <w14:schemeClr w14:val="tx1"/>
                  </w14:solidFill>
                </w14:textFill>
              </w:rPr>
              <w:t>可能深入地下对地下水造成污染。</w:t>
            </w:r>
          </w:p>
          <w:p w14:paraId="1F807C19">
            <w:pPr>
              <w:adjustRightInd w:val="0"/>
              <w:snapToGrid w:val="0"/>
              <w:spacing w:line="360" w:lineRule="auto"/>
              <w:ind w:firstLine="480" w:firstLineChars="200"/>
              <w:rPr>
                <w:rFonts w:hint="default" w:ascii="Times New Roman" w:hAnsi="Times New Roman" w:cs="Times New Roman"/>
                <w:color w:val="000000" w:themeColor="text1"/>
                <w:sz w:val="24"/>
                <w:lang w:val="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项目对</w:t>
            </w:r>
            <w:r>
              <w:rPr>
                <w:rFonts w:hint="default" w:ascii="Times New Roman" w:hAnsi="Times New Roman" w:cs="Times New Roman"/>
                <w:color w:val="000000" w:themeColor="text1"/>
                <w:sz w:val="24"/>
                <w:lang w:val="zh-CN"/>
                <w14:textFill>
                  <w14:solidFill>
                    <w14:schemeClr w14:val="tx1"/>
                  </w14:solidFill>
                </w14:textFill>
              </w:rPr>
              <w:t>土壤、</w:t>
            </w:r>
            <w:r>
              <w:rPr>
                <w:rFonts w:hint="default" w:ascii="Times New Roman" w:hAnsi="Times New Roman" w:cs="Times New Roman"/>
                <w:color w:val="000000" w:themeColor="text1"/>
                <w:sz w:val="24"/>
                <w14:textFill>
                  <w14:solidFill>
                    <w14:schemeClr w14:val="tx1"/>
                  </w14:solidFill>
                </w14:textFill>
              </w:rPr>
              <w:t>地下水</w:t>
            </w:r>
            <w:r>
              <w:rPr>
                <w:rFonts w:hint="default" w:ascii="Times New Roman" w:hAnsi="Times New Roman" w:cs="Times New Roman"/>
                <w:color w:val="000000" w:themeColor="text1"/>
                <w:sz w:val="24"/>
                <w:lang w:val="zh-CN"/>
                <w14:textFill>
                  <w14:solidFill>
                    <w14:schemeClr w14:val="tx1"/>
                  </w14:solidFill>
                </w14:textFill>
              </w:rPr>
              <w:t>环境</w:t>
            </w:r>
            <w:r>
              <w:rPr>
                <w:rFonts w:hint="default" w:ascii="Times New Roman" w:hAnsi="Times New Roman" w:cs="Times New Roman"/>
                <w:color w:val="000000" w:themeColor="text1"/>
                <w:sz w:val="24"/>
                <w14:textFill>
                  <w14:solidFill>
                    <w14:schemeClr w14:val="tx1"/>
                  </w14:solidFill>
                </w14:textFill>
              </w:rPr>
              <w:t>的</w:t>
            </w:r>
            <w:r>
              <w:rPr>
                <w:rFonts w:hint="default" w:ascii="Times New Roman" w:hAnsi="Times New Roman" w:cs="Times New Roman"/>
                <w:color w:val="000000" w:themeColor="text1"/>
                <w:sz w:val="24"/>
                <w:lang w:val="zh-CN"/>
                <w14:textFill>
                  <w14:solidFill>
                    <w14:schemeClr w14:val="tx1"/>
                  </w14:solidFill>
                </w14:textFill>
              </w:rPr>
              <w:t>影响</w:t>
            </w:r>
            <w:r>
              <w:rPr>
                <w:rFonts w:hint="default" w:ascii="Times New Roman" w:hAnsi="Times New Roman" w:cs="Times New Roman"/>
                <w:color w:val="000000" w:themeColor="text1"/>
                <w:sz w:val="24"/>
                <w14:textFill>
                  <w14:solidFill>
                    <w14:schemeClr w14:val="tx1"/>
                  </w14:solidFill>
                </w14:textFill>
              </w:rPr>
              <w:t>源及影响因子</w:t>
            </w:r>
            <w:r>
              <w:rPr>
                <w:rFonts w:hint="default" w:ascii="Times New Roman" w:hAnsi="Times New Roman" w:cs="Times New Roman"/>
                <w:color w:val="000000" w:themeColor="text1"/>
                <w:sz w:val="24"/>
                <w:lang w:val="zh-CN"/>
                <w14:textFill>
                  <w14:solidFill>
                    <w14:schemeClr w14:val="tx1"/>
                  </w14:solidFill>
                </w14:textFill>
              </w:rPr>
              <w:t>见下表。</w:t>
            </w:r>
          </w:p>
          <w:p w14:paraId="31C65760">
            <w:pPr>
              <w:pStyle w:val="65"/>
              <w:adjustRightInd w:val="0"/>
              <w:snapToGrid w:val="0"/>
              <w:rPr>
                <w:rStyle w:val="62"/>
                <w:rFonts w:hint="default" w:ascii="Times New Roman" w:hAnsi="Times New Roman" w:cs="Times New Roman"/>
                <w:b/>
                <w:color w:val="000000" w:themeColor="text1"/>
                <w:szCs w:val="21"/>
                <w14:textFill>
                  <w14:solidFill>
                    <w14:schemeClr w14:val="tx1"/>
                  </w14:solidFill>
                </w14:textFill>
              </w:rPr>
            </w:pPr>
            <w:r>
              <w:rPr>
                <w:rStyle w:val="62"/>
                <w:rFonts w:hint="default" w:ascii="Times New Roman" w:hAnsi="Times New Roman" w:cs="Times New Roman"/>
                <w:b/>
                <w:color w:val="000000" w:themeColor="text1"/>
                <w:szCs w:val="21"/>
                <w14:textFill>
                  <w14:solidFill>
                    <w14:schemeClr w14:val="tx1"/>
                  </w14:solidFill>
                </w14:textFill>
              </w:rPr>
              <w:t>表4-</w:t>
            </w:r>
            <w:r>
              <w:rPr>
                <w:rStyle w:val="62"/>
                <w:rFonts w:hint="default" w:ascii="Times New Roman" w:hAnsi="Times New Roman" w:cs="Times New Roman"/>
                <w:b/>
                <w:color w:val="000000" w:themeColor="text1"/>
                <w:szCs w:val="21"/>
                <w:lang w:val="en-US" w:eastAsia="zh-CN"/>
                <w14:textFill>
                  <w14:solidFill>
                    <w14:schemeClr w14:val="tx1"/>
                  </w14:solidFill>
                </w14:textFill>
              </w:rPr>
              <w:t>2</w:t>
            </w:r>
            <w:r>
              <w:rPr>
                <w:rStyle w:val="62"/>
                <w:rFonts w:hint="eastAsia" w:cs="Times New Roman"/>
                <w:b/>
                <w:color w:val="000000" w:themeColor="text1"/>
                <w:szCs w:val="21"/>
                <w:lang w:val="en-US" w:eastAsia="zh-CN"/>
                <w14:textFill>
                  <w14:solidFill>
                    <w14:schemeClr w14:val="tx1"/>
                  </w14:solidFill>
                </w14:textFill>
              </w:rPr>
              <w:t>5</w:t>
            </w:r>
            <w:r>
              <w:rPr>
                <w:rStyle w:val="62"/>
                <w:rFonts w:hint="default" w:ascii="Times New Roman" w:hAnsi="Times New Roman" w:cs="Times New Roman"/>
                <w:b/>
                <w:color w:val="000000" w:themeColor="text1"/>
                <w:szCs w:val="21"/>
                <w14:textFill>
                  <w14:solidFill>
                    <w14:schemeClr w14:val="tx1"/>
                  </w14:solidFill>
                </w14:textFill>
              </w:rPr>
              <w:t xml:space="preserve">   项目土壤、地下水环境影响源及影响因子识别表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1560"/>
              <w:gridCol w:w="1241"/>
              <w:gridCol w:w="1249"/>
              <w:gridCol w:w="2832"/>
            </w:tblGrid>
            <w:tr w14:paraId="257B3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vAlign w:val="center"/>
                </w:tcPr>
                <w:p w14:paraId="329F64CA">
                  <w:pPr>
                    <w:pStyle w:val="65"/>
                    <w:adjustRightInd w:val="0"/>
                    <w:snapToGrid w:val="0"/>
                    <w:rPr>
                      <w:rStyle w:val="62"/>
                      <w:rFonts w:hint="default" w:ascii="Times New Roman" w:hAnsi="Times New Roman" w:cs="Times New Roman"/>
                      <w:b/>
                      <w:color w:val="000000" w:themeColor="text1"/>
                      <w:szCs w:val="21"/>
                      <w14:textFill>
                        <w14:solidFill>
                          <w14:schemeClr w14:val="tx1"/>
                        </w14:solidFill>
                      </w14:textFill>
                    </w:rPr>
                  </w:pPr>
                  <w:r>
                    <w:rPr>
                      <w:rStyle w:val="62"/>
                      <w:rFonts w:hint="default" w:ascii="Times New Roman" w:hAnsi="Times New Roman" w:cs="Times New Roman"/>
                      <w:b/>
                      <w:color w:val="000000" w:themeColor="text1"/>
                      <w:szCs w:val="21"/>
                      <w14:textFill>
                        <w14:solidFill>
                          <w14:schemeClr w14:val="tx1"/>
                        </w14:solidFill>
                      </w14:textFill>
                    </w:rPr>
                    <w:t>污染源</w:t>
                  </w:r>
                </w:p>
              </w:tc>
              <w:tc>
                <w:tcPr>
                  <w:tcW w:w="1543" w:type="dxa"/>
                  <w:vAlign w:val="center"/>
                </w:tcPr>
                <w:p w14:paraId="44C005BA">
                  <w:pPr>
                    <w:pStyle w:val="65"/>
                    <w:adjustRightInd w:val="0"/>
                    <w:snapToGrid w:val="0"/>
                    <w:rPr>
                      <w:rStyle w:val="62"/>
                      <w:rFonts w:hint="default" w:ascii="Times New Roman" w:hAnsi="Times New Roman" w:cs="Times New Roman"/>
                      <w:b/>
                      <w:color w:val="000000" w:themeColor="text1"/>
                      <w:szCs w:val="21"/>
                      <w14:textFill>
                        <w14:solidFill>
                          <w14:schemeClr w14:val="tx1"/>
                        </w14:solidFill>
                      </w14:textFill>
                    </w:rPr>
                  </w:pPr>
                  <w:r>
                    <w:rPr>
                      <w:rStyle w:val="62"/>
                      <w:rFonts w:hint="default" w:ascii="Times New Roman" w:hAnsi="Times New Roman" w:cs="Times New Roman"/>
                      <w:b/>
                      <w:color w:val="000000" w:themeColor="text1"/>
                      <w:szCs w:val="21"/>
                      <w14:textFill>
                        <w14:solidFill>
                          <w14:schemeClr w14:val="tx1"/>
                        </w14:solidFill>
                      </w14:textFill>
                    </w:rPr>
                    <w:t>工艺流程/环节</w:t>
                  </w:r>
                </w:p>
              </w:tc>
              <w:tc>
                <w:tcPr>
                  <w:tcW w:w="1227" w:type="dxa"/>
                  <w:vAlign w:val="center"/>
                </w:tcPr>
                <w:p w14:paraId="4A229ECE">
                  <w:pPr>
                    <w:pStyle w:val="65"/>
                    <w:adjustRightInd w:val="0"/>
                    <w:snapToGrid w:val="0"/>
                    <w:rPr>
                      <w:rStyle w:val="62"/>
                      <w:rFonts w:hint="default" w:ascii="Times New Roman" w:hAnsi="Times New Roman" w:cs="Times New Roman"/>
                      <w:b/>
                      <w:color w:val="000000" w:themeColor="text1"/>
                      <w:szCs w:val="21"/>
                      <w14:textFill>
                        <w14:solidFill>
                          <w14:schemeClr w14:val="tx1"/>
                        </w14:solidFill>
                      </w14:textFill>
                    </w:rPr>
                  </w:pPr>
                  <w:r>
                    <w:rPr>
                      <w:rStyle w:val="62"/>
                      <w:rFonts w:hint="default" w:ascii="Times New Roman" w:hAnsi="Times New Roman" w:cs="Times New Roman"/>
                      <w:b/>
                      <w:color w:val="000000" w:themeColor="text1"/>
                      <w:szCs w:val="21"/>
                      <w14:textFill>
                        <w14:solidFill>
                          <w14:schemeClr w14:val="tx1"/>
                        </w14:solidFill>
                      </w14:textFill>
                    </w:rPr>
                    <w:t>污染途径</w:t>
                  </w:r>
                </w:p>
              </w:tc>
              <w:tc>
                <w:tcPr>
                  <w:tcW w:w="1235" w:type="dxa"/>
                  <w:vAlign w:val="center"/>
                </w:tcPr>
                <w:p w14:paraId="26848A2E">
                  <w:pPr>
                    <w:pStyle w:val="65"/>
                    <w:adjustRightInd w:val="0"/>
                    <w:snapToGrid w:val="0"/>
                    <w:rPr>
                      <w:rStyle w:val="62"/>
                      <w:rFonts w:hint="default" w:ascii="Times New Roman" w:hAnsi="Times New Roman" w:cs="Times New Roman"/>
                      <w:b/>
                      <w:color w:val="000000" w:themeColor="text1"/>
                      <w:szCs w:val="21"/>
                      <w14:textFill>
                        <w14:solidFill>
                          <w14:schemeClr w14:val="tx1"/>
                        </w14:solidFill>
                      </w14:textFill>
                    </w:rPr>
                  </w:pPr>
                  <w:r>
                    <w:rPr>
                      <w:rStyle w:val="62"/>
                      <w:rFonts w:hint="default" w:ascii="Times New Roman" w:hAnsi="Times New Roman" w:cs="Times New Roman"/>
                      <w:b/>
                      <w:color w:val="000000" w:themeColor="text1"/>
                      <w:szCs w:val="21"/>
                      <w14:textFill>
                        <w14:solidFill>
                          <w14:schemeClr w14:val="tx1"/>
                        </w14:solidFill>
                      </w14:textFill>
                    </w:rPr>
                    <w:t>污染物</w:t>
                  </w:r>
                </w:p>
              </w:tc>
              <w:tc>
                <w:tcPr>
                  <w:tcW w:w="2803" w:type="dxa"/>
                  <w:vAlign w:val="center"/>
                </w:tcPr>
                <w:p w14:paraId="0C371518">
                  <w:pPr>
                    <w:pStyle w:val="65"/>
                    <w:adjustRightInd w:val="0"/>
                    <w:snapToGrid w:val="0"/>
                    <w:rPr>
                      <w:rStyle w:val="62"/>
                      <w:rFonts w:hint="default" w:ascii="Times New Roman" w:hAnsi="Times New Roman" w:cs="Times New Roman"/>
                      <w:b/>
                      <w:color w:val="000000" w:themeColor="text1"/>
                      <w:szCs w:val="21"/>
                      <w14:textFill>
                        <w14:solidFill>
                          <w14:schemeClr w14:val="tx1"/>
                        </w14:solidFill>
                      </w14:textFill>
                    </w:rPr>
                  </w:pPr>
                  <w:r>
                    <w:rPr>
                      <w:rStyle w:val="62"/>
                      <w:rFonts w:hint="default" w:ascii="Times New Roman" w:hAnsi="Times New Roman" w:cs="Times New Roman"/>
                      <w:b/>
                      <w:color w:val="000000" w:themeColor="text1"/>
                      <w:szCs w:val="21"/>
                      <w14:textFill>
                        <w14:solidFill>
                          <w14:schemeClr w14:val="tx1"/>
                        </w14:solidFill>
                      </w14:textFill>
                    </w:rPr>
                    <w:t>备注</w:t>
                  </w:r>
                </w:p>
              </w:tc>
            </w:tr>
            <w:tr w14:paraId="5748F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vAlign w:val="center"/>
                </w:tcPr>
                <w:p w14:paraId="6403A887">
                  <w:pPr>
                    <w:pStyle w:val="65"/>
                    <w:adjustRightInd w:val="0"/>
                    <w:snapToGrid w:val="0"/>
                    <w:rPr>
                      <w:rStyle w:val="62"/>
                      <w:rFonts w:hint="eastAsia" w:ascii="Times New Roman" w:hAnsi="Times New Roman" w:eastAsia="宋体" w:cs="Times New Roman"/>
                      <w:bCs/>
                      <w:color w:val="000000" w:themeColor="text1"/>
                      <w:szCs w:val="21"/>
                      <w:lang w:eastAsia="zh-CN"/>
                      <w14:textFill>
                        <w14:solidFill>
                          <w14:schemeClr w14:val="tx1"/>
                        </w14:solidFill>
                      </w14:textFill>
                    </w:rPr>
                  </w:pPr>
                  <w:r>
                    <w:rPr>
                      <w:rStyle w:val="62"/>
                      <w:rFonts w:hint="eastAsia" w:cs="Times New Roman"/>
                      <w:bCs/>
                      <w:color w:val="000000" w:themeColor="text1"/>
                      <w:szCs w:val="21"/>
                      <w:lang w:eastAsia="zh-CN"/>
                      <w14:textFill>
                        <w14:solidFill>
                          <w14:schemeClr w14:val="tx1"/>
                        </w14:solidFill>
                      </w14:textFill>
                    </w:rPr>
                    <w:t>危险废物贮存库</w:t>
                  </w:r>
                </w:p>
              </w:tc>
              <w:tc>
                <w:tcPr>
                  <w:tcW w:w="1543" w:type="dxa"/>
                  <w:vAlign w:val="center"/>
                </w:tcPr>
                <w:p w14:paraId="376DAEAD">
                  <w:pPr>
                    <w:pStyle w:val="65"/>
                    <w:adjustRightInd w:val="0"/>
                    <w:snapToGrid w:val="0"/>
                    <w:rPr>
                      <w:rStyle w:val="62"/>
                      <w:rFonts w:hint="default" w:ascii="Times New Roman" w:hAnsi="Times New Roman" w:cs="Times New Roman"/>
                      <w:bCs/>
                      <w:color w:val="000000" w:themeColor="text1"/>
                      <w:szCs w:val="21"/>
                      <w14:textFill>
                        <w14:solidFill>
                          <w14:schemeClr w14:val="tx1"/>
                        </w14:solidFill>
                      </w14:textFill>
                    </w:rPr>
                  </w:pPr>
                  <w:r>
                    <w:rPr>
                      <w:rStyle w:val="62"/>
                      <w:rFonts w:hint="default" w:ascii="Times New Roman" w:hAnsi="Times New Roman" w:cs="Times New Roman"/>
                      <w:bCs/>
                      <w:color w:val="000000" w:themeColor="text1"/>
                      <w:szCs w:val="21"/>
                      <w14:textFill>
                        <w14:solidFill>
                          <w14:schemeClr w14:val="tx1"/>
                        </w14:solidFill>
                      </w14:textFill>
                    </w:rPr>
                    <w:t>危险废物暂存</w:t>
                  </w:r>
                </w:p>
              </w:tc>
              <w:tc>
                <w:tcPr>
                  <w:tcW w:w="1227" w:type="dxa"/>
                  <w:vAlign w:val="center"/>
                </w:tcPr>
                <w:p w14:paraId="3E9963DA">
                  <w:pPr>
                    <w:pStyle w:val="65"/>
                    <w:adjustRightInd w:val="0"/>
                    <w:snapToGrid w:val="0"/>
                    <w:rPr>
                      <w:rStyle w:val="62"/>
                      <w:rFonts w:hint="default" w:ascii="Times New Roman" w:hAnsi="Times New Roman" w:cs="Times New Roman"/>
                      <w:bCs/>
                      <w:color w:val="000000" w:themeColor="text1"/>
                      <w:szCs w:val="21"/>
                      <w14:textFill>
                        <w14:solidFill>
                          <w14:schemeClr w14:val="tx1"/>
                        </w14:solidFill>
                      </w14:textFill>
                    </w:rPr>
                  </w:pPr>
                  <w:r>
                    <w:rPr>
                      <w:rStyle w:val="62"/>
                      <w:rFonts w:hint="default" w:ascii="Times New Roman" w:hAnsi="Times New Roman" w:cs="Times New Roman"/>
                      <w:bCs/>
                      <w:color w:val="000000" w:themeColor="text1"/>
                      <w:szCs w:val="21"/>
                      <w14:textFill>
                        <w14:solidFill>
                          <w14:schemeClr w14:val="tx1"/>
                        </w14:solidFill>
                      </w14:textFill>
                    </w:rPr>
                    <w:t>垂直入渗</w:t>
                  </w:r>
                </w:p>
              </w:tc>
              <w:tc>
                <w:tcPr>
                  <w:tcW w:w="1235" w:type="dxa"/>
                  <w:vAlign w:val="center"/>
                </w:tcPr>
                <w:p w14:paraId="4B2263CB">
                  <w:pPr>
                    <w:pStyle w:val="65"/>
                    <w:adjustRightInd w:val="0"/>
                    <w:snapToGrid w:val="0"/>
                    <w:rPr>
                      <w:rStyle w:val="62"/>
                      <w:rFonts w:hint="default" w:ascii="Times New Roman" w:hAnsi="Times New Roman" w:eastAsia="宋体" w:cs="Times New Roman"/>
                      <w:bCs/>
                      <w:color w:val="000000" w:themeColor="text1"/>
                      <w:szCs w:val="21"/>
                      <w:lang w:eastAsia="zh-CN"/>
                      <w14:textFill>
                        <w14:solidFill>
                          <w14:schemeClr w14:val="tx1"/>
                        </w14:solidFill>
                      </w14:textFill>
                    </w:rPr>
                  </w:pPr>
                  <w:r>
                    <w:rPr>
                      <w:rStyle w:val="62"/>
                      <w:rFonts w:hint="default" w:ascii="Times New Roman" w:hAnsi="Times New Roman" w:cs="Times New Roman"/>
                      <w:bCs/>
                      <w:color w:val="000000" w:themeColor="text1"/>
                      <w:szCs w:val="21"/>
                      <w:lang w:eastAsia="zh-CN"/>
                      <w14:textFill>
                        <w14:solidFill>
                          <w14:schemeClr w14:val="tx1"/>
                        </w14:solidFill>
                      </w14:textFill>
                    </w:rPr>
                    <w:t>危险废物</w:t>
                  </w:r>
                </w:p>
              </w:tc>
              <w:tc>
                <w:tcPr>
                  <w:tcW w:w="2803" w:type="dxa"/>
                  <w:vAlign w:val="center"/>
                </w:tcPr>
                <w:p w14:paraId="246AA72F">
                  <w:pPr>
                    <w:pStyle w:val="65"/>
                    <w:adjustRightInd w:val="0"/>
                    <w:snapToGrid w:val="0"/>
                    <w:rPr>
                      <w:rStyle w:val="62"/>
                      <w:rFonts w:hint="default" w:ascii="Times New Roman" w:hAnsi="Times New Roman" w:cs="Times New Roman"/>
                      <w:bCs/>
                      <w:color w:val="000000" w:themeColor="text1"/>
                      <w:szCs w:val="21"/>
                      <w14:textFill>
                        <w14:solidFill>
                          <w14:schemeClr w14:val="tx1"/>
                        </w14:solidFill>
                      </w14:textFill>
                    </w:rPr>
                  </w:pPr>
                  <w:r>
                    <w:rPr>
                      <w:rStyle w:val="62"/>
                      <w:rFonts w:hint="default" w:ascii="Times New Roman" w:hAnsi="Times New Roman" w:cs="Times New Roman"/>
                      <w:bCs/>
                      <w:color w:val="000000" w:themeColor="text1"/>
                      <w:szCs w:val="21"/>
                      <w14:textFill>
                        <w14:solidFill>
                          <w14:schemeClr w14:val="tx1"/>
                        </w14:solidFill>
                      </w14:textFill>
                    </w:rPr>
                    <w:t>危废收集容器损坏，废矿物油泄漏渗入土壤造成污染</w:t>
                  </w:r>
                </w:p>
              </w:tc>
            </w:tr>
            <w:tr w14:paraId="49AD1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vAlign w:val="center"/>
                </w:tcPr>
                <w:p w14:paraId="4A1C98A4">
                  <w:pPr>
                    <w:pStyle w:val="65"/>
                    <w:adjustRightInd w:val="0"/>
                    <w:snapToGrid w:val="0"/>
                    <w:rPr>
                      <w:rStyle w:val="62"/>
                      <w:rFonts w:hint="default" w:ascii="Times New Roman" w:hAnsi="Times New Roman" w:cs="Times New Roman"/>
                      <w:bCs/>
                      <w:color w:val="000000" w:themeColor="text1"/>
                      <w:szCs w:val="21"/>
                      <w14:textFill>
                        <w14:solidFill>
                          <w14:schemeClr w14:val="tx1"/>
                        </w14:solidFill>
                      </w14:textFill>
                    </w:rPr>
                  </w:pPr>
                  <w:r>
                    <w:rPr>
                      <w:rStyle w:val="62"/>
                      <w:rFonts w:hint="default" w:ascii="Times New Roman" w:hAnsi="Times New Roman" w:cs="Times New Roman"/>
                      <w:bCs/>
                      <w:color w:val="000000" w:themeColor="text1"/>
                      <w:szCs w:val="21"/>
                      <w14:textFill>
                        <w14:solidFill>
                          <w14:schemeClr w14:val="tx1"/>
                        </w14:solidFill>
                      </w14:textFill>
                    </w:rPr>
                    <w:t>生产废水</w:t>
                  </w:r>
                </w:p>
              </w:tc>
              <w:tc>
                <w:tcPr>
                  <w:tcW w:w="1543" w:type="dxa"/>
                  <w:vAlign w:val="center"/>
                </w:tcPr>
                <w:p w14:paraId="5D623EF3">
                  <w:pPr>
                    <w:pStyle w:val="65"/>
                    <w:adjustRightInd w:val="0"/>
                    <w:snapToGrid w:val="0"/>
                    <w:rPr>
                      <w:rStyle w:val="62"/>
                      <w:rFonts w:hint="default" w:ascii="Times New Roman" w:hAnsi="Times New Roman" w:eastAsia="宋体" w:cs="Times New Roman"/>
                      <w:bCs/>
                      <w:color w:val="000000" w:themeColor="text1"/>
                      <w:szCs w:val="21"/>
                      <w:lang w:eastAsia="zh-CN"/>
                      <w14:textFill>
                        <w14:solidFill>
                          <w14:schemeClr w14:val="tx1"/>
                        </w14:solidFill>
                      </w14:textFill>
                    </w:rPr>
                  </w:pPr>
                  <w:r>
                    <w:rPr>
                      <w:rStyle w:val="62"/>
                      <w:rFonts w:hint="eastAsia" w:ascii="Times New Roman" w:hAnsi="Times New Roman" w:cs="Times New Roman"/>
                      <w:bCs/>
                      <w:color w:val="000000" w:themeColor="text1"/>
                      <w:szCs w:val="21"/>
                      <w:lang w:eastAsia="zh-CN"/>
                      <w14:textFill>
                        <w14:solidFill>
                          <w14:schemeClr w14:val="tx1"/>
                        </w14:solidFill>
                      </w14:textFill>
                    </w:rPr>
                    <w:t>锅炉排水</w:t>
                  </w:r>
                  <w:r>
                    <w:rPr>
                      <w:rStyle w:val="62"/>
                      <w:rFonts w:hint="default" w:ascii="Times New Roman" w:hAnsi="Times New Roman" w:cs="Times New Roman"/>
                      <w:bCs/>
                      <w:color w:val="000000" w:themeColor="text1"/>
                      <w:szCs w:val="21"/>
                      <w:lang w:eastAsia="zh-CN"/>
                      <w14:textFill>
                        <w14:solidFill>
                          <w14:schemeClr w14:val="tx1"/>
                        </w14:solidFill>
                      </w14:textFill>
                    </w:rPr>
                    <w:t>、</w:t>
                  </w:r>
                  <w:r>
                    <w:rPr>
                      <w:rStyle w:val="62"/>
                      <w:rFonts w:hint="eastAsia" w:ascii="Times New Roman" w:hAnsi="Times New Roman" w:cs="Times New Roman"/>
                      <w:bCs/>
                      <w:color w:val="000000" w:themeColor="text1"/>
                      <w:szCs w:val="21"/>
                      <w:lang w:eastAsia="zh-CN"/>
                      <w14:textFill>
                        <w14:solidFill>
                          <w14:schemeClr w14:val="tx1"/>
                        </w14:solidFill>
                      </w14:textFill>
                    </w:rPr>
                    <w:t>软水废水</w:t>
                  </w:r>
                  <w:r>
                    <w:rPr>
                      <w:rStyle w:val="62"/>
                      <w:rFonts w:hint="default" w:ascii="Times New Roman" w:hAnsi="Times New Roman" w:cs="Times New Roman"/>
                      <w:bCs/>
                      <w:color w:val="000000" w:themeColor="text1"/>
                      <w:szCs w:val="21"/>
                      <w:lang w:eastAsia="zh-CN"/>
                      <w14:textFill>
                        <w14:solidFill>
                          <w14:schemeClr w14:val="tx1"/>
                        </w14:solidFill>
                      </w14:textFill>
                    </w:rPr>
                    <w:t>、</w:t>
                  </w:r>
                  <w:r>
                    <w:rPr>
                      <w:rStyle w:val="62"/>
                      <w:rFonts w:hint="eastAsia" w:ascii="Times New Roman" w:hAnsi="Times New Roman" w:cs="Times New Roman"/>
                      <w:bCs/>
                      <w:color w:val="000000" w:themeColor="text1"/>
                      <w:szCs w:val="21"/>
                      <w:lang w:eastAsia="zh-CN"/>
                      <w14:textFill>
                        <w14:solidFill>
                          <w14:schemeClr w14:val="tx1"/>
                        </w14:solidFill>
                      </w14:textFill>
                    </w:rPr>
                    <w:t>冷凝水</w:t>
                  </w:r>
                </w:p>
              </w:tc>
              <w:tc>
                <w:tcPr>
                  <w:tcW w:w="1227" w:type="dxa"/>
                  <w:vAlign w:val="center"/>
                </w:tcPr>
                <w:p w14:paraId="16A09D3A">
                  <w:pPr>
                    <w:pStyle w:val="65"/>
                    <w:adjustRightInd w:val="0"/>
                    <w:snapToGrid w:val="0"/>
                    <w:rPr>
                      <w:rStyle w:val="62"/>
                      <w:rFonts w:hint="default" w:ascii="Times New Roman" w:hAnsi="Times New Roman" w:cs="Times New Roman"/>
                      <w:bCs/>
                      <w:color w:val="000000" w:themeColor="text1"/>
                      <w:szCs w:val="21"/>
                      <w14:textFill>
                        <w14:solidFill>
                          <w14:schemeClr w14:val="tx1"/>
                        </w14:solidFill>
                      </w14:textFill>
                    </w:rPr>
                  </w:pPr>
                  <w:r>
                    <w:rPr>
                      <w:rStyle w:val="62"/>
                      <w:rFonts w:hint="default" w:ascii="Times New Roman" w:hAnsi="Times New Roman" w:cs="Times New Roman"/>
                      <w:bCs/>
                      <w:color w:val="000000" w:themeColor="text1"/>
                      <w:szCs w:val="21"/>
                      <w14:textFill>
                        <w14:solidFill>
                          <w14:schemeClr w14:val="tx1"/>
                        </w14:solidFill>
                      </w14:textFill>
                    </w:rPr>
                    <w:t>垂直入渗、地面漫流</w:t>
                  </w:r>
                </w:p>
              </w:tc>
              <w:tc>
                <w:tcPr>
                  <w:tcW w:w="1235" w:type="dxa"/>
                  <w:vAlign w:val="center"/>
                </w:tcPr>
                <w:p w14:paraId="02673919">
                  <w:pPr>
                    <w:pStyle w:val="65"/>
                    <w:adjustRightInd w:val="0"/>
                    <w:snapToGrid w:val="0"/>
                    <w:rPr>
                      <w:rStyle w:val="62"/>
                      <w:rFonts w:hint="default" w:ascii="Times New Roman" w:hAnsi="Times New Roman" w:eastAsia="宋体" w:cs="Times New Roman"/>
                      <w:bCs/>
                      <w:color w:val="000000" w:themeColor="text1"/>
                      <w:szCs w:val="21"/>
                      <w:lang w:eastAsia="zh-CN"/>
                      <w14:textFill>
                        <w14:solidFill>
                          <w14:schemeClr w14:val="tx1"/>
                        </w14:solidFill>
                      </w14:textFill>
                    </w:rPr>
                  </w:pPr>
                  <w:r>
                    <w:rPr>
                      <w:rStyle w:val="62"/>
                      <w:rFonts w:hint="default" w:ascii="Times New Roman" w:hAnsi="Times New Roman" w:cs="Times New Roman"/>
                      <w:bCs/>
                      <w:color w:val="000000" w:themeColor="text1"/>
                      <w:szCs w:val="21"/>
                      <w:lang w:val="en-US" w:eastAsia="zh-CN"/>
                      <w14:textFill>
                        <w14:solidFill>
                          <w14:schemeClr w14:val="tx1"/>
                        </w14:solidFill>
                      </w14:textFill>
                    </w:rPr>
                    <w:t>pH、COD</w:t>
                  </w:r>
                  <w:r>
                    <w:rPr>
                      <w:rStyle w:val="62"/>
                      <w:rFonts w:hint="default" w:ascii="Times New Roman" w:hAnsi="Times New Roman" w:cs="Times New Roman"/>
                      <w:bCs/>
                      <w:color w:val="000000" w:themeColor="text1"/>
                      <w:szCs w:val="21"/>
                      <w14:textFill>
                        <w14:solidFill>
                          <w14:schemeClr w14:val="tx1"/>
                        </w14:solidFill>
                      </w14:textFill>
                    </w:rPr>
                    <w:t>、氨氮、SS</w:t>
                  </w:r>
                  <w:r>
                    <w:rPr>
                      <w:rStyle w:val="62"/>
                      <w:rFonts w:hint="default" w:ascii="Times New Roman" w:hAnsi="Times New Roman" w:cs="Times New Roman"/>
                      <w:bCs/>
                      <w:color w:val="000000" w:themeColor="text1"/>
                      <w:szCs w:val="21"/>
                      <w:lang w:eastAsia="zh-CN"/>
                      <w14:textFill>
                        <w14:solidFill>
                          <w14:schemeClr w14:val="tx1"/>
                        </w14:solidFill>
                      </w14:textFill>
                    </w:rPr>
                    <w:t>等</w:t>
                  </w:r>
                </w:p>
              </w:tc>
              <w:tc>
                <w:tcPr>
                  <w:tcW w:w="2803" w:type="dxa"/>
                  <w:vAlign w:val="center"/>
                </w:tcPr>
                <w:p w14:paraId="5CBC5466">
                  <w:pPr>
                    <w:pStyle w:val="65"/>
                    <w:adjustRightInd w:val="0"/>
                    <w:snapToGrid w:val="0"/>
                    <w:rPr>
                      <w:rStyle w:val="62"/>
                      <w:rFonts w:hint="default" w:ascii="Times New Roman" w:hAnsi="Times New Roman" w:cs="Times New Roman"/>
                      <w:bCs/>
                      <w:color w:val="000000" w:themeColor="text1"/>
                      <w:szCs w:val="21"/>
                      <w14:textFill>
                        <w14:solidFill>
                          <w14:schemeClr w14:val="tx1"/>
                        </w14:solidFill>
                      </w14:textFill>
                    </w:rPr>
                  </w:pPr>
                  <w:r>
                    <w:rPr>
                      <w:rStyle w:val="62"/>
                      <w:rFonts w:hint="default" w:ascii="Times New Roman" w:hAnsi="Times New Roman" w:cs="Times New Roman"/>
                      <w:bCs/>
                      <w:color w:val="000000" w:themeColor="text1"/>
                      <w:szCs w:val="21"/>
                      <w14:textFill>
                        <w14:solidFill>
                          <w14:schemeClr w14:val="tx1"/>
                        </w14:solidFill>
                      </w14:textFill>
                    </w:rPr>
                    <w:t>污水外溢通过地表漫流、垂直入渗进入土壤、地下水造成污染</w:t>
                  </w:r>
                </w:p>
              </w:tc>
            </w:tr>
          </w:tbl>
          <w:p w14:paraId="2A592406">
            <w:pPr>
              <w:pStyle w:val="18"/>
              <w:pageBreakBefore w:val="0"/>
              <w:kinsoku/>
              <w:overflowPunct/>
              <w:topLinePunct w:val="0"/>
              <w:autoSpaceDE/>
              <w:autoSpaceDN/>
              <w:bidi w:val="0"/>
              <w:adjustRightInd/>
              <w:spacing w:line="360" w:lineRule="auto"/>
              <w:ind w:left="0" w:leftChars="0" w:right="0" w:firstLine="482" w:firstLineChars="20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（2）分区防控措施</w:t>
            </w:r>
          </w:p>
          <w:p w14:paraId="3E5213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zh-CN"/>
                <w14:textFill>
                  <w14:solidFill>
                    <w14:schemeClr w14:val="tx1"/>
                  </w14:solidFill>
                </w14:textFill>
              </w:rPr>
            </w:pPr>
            <w:r>
              <w:rPr>
                <w:rFonts w:hint="default" w:ascii="Times New Roman" w:hAnsi="Times New Roman" w:eastAsia="宋体" w:cs="Times New Roman"/>
                <w:color w:val="000000" w:themeColor="text1"/>
                <w:sz w:val="24"/>
                <w:lang w:val="zh-CN"/>
                <w14:textFill>
                  <w14:solidFill>
                    <w14:schemeClr w14:val="tx1"/>
                  </w14:solidFill>
                </w14:textFill>
              </w:rPr>
              <w:t>项目存在土壤、地下水污染源的区域主要为生产废水收集池及</w:t>
            </w:r>
            <w:r>
              <w:rPr>
                <w:rFonts w:hint="eastAsia" w:cs="Times New Roman"/>
                <w:color w:val="000000" w:themeColor="text1"/>
                <w:sz w:val="24"/>
                <w:lang w:val="zh-CN"/>
                <w14:textFill>
                  <w14:solidFill>
                    <w14:schemeClr w14:val="tx1"/>
                  </w14:solidFill>
                </w14:textFill>
              </w:rPr>
              <w:t>危险废物贮存库</w:t>
            </w:r>
            <w:r>
              <w:rPr>
                <w:rFonts w:hint="default" w:ascii="Times New Roman" w:hAnsi="Times New Roman" w:eastAsia="宋体" w:cs="Times New Roman"/>
                <w:color w:val="000000" w:themeColor="text1"/>
                <w:sz w:val="24"/>
                <w:lang w:val="zh-CN"/>
                <w14:textFill>
                  <w14:solidFill>
                    <w14:schemeClr w14:val="tx1"/>
                  </w14:solidFill>
                </w14:textFill>
              </w:rPr>
              <w:t>，项目分区防控措施具体如下：</w:t>
            </w:r>
          </w:p>
          <w:p w14:paraId="5359D915">
            <w:pPr>
              <w:pStyle w:val="65"/>
              <w:adjustRightInd w:val="0"/>
              <w:snapToGrid w:val="0"/>
              <w:rPr>
                <w:rStyle w:val="62"/>
                <w:rFonts w:hint="default" w:ascii="Times New Roman" w:hAnsi="Times New Roman" w:eastAsia="宋体" w:cs="Times New Roman"/>
                <w:b/>
                <w:color w:val="000000" w:themeColor="text1"/>
                <w:szCs w:val="21"/>
                <w14:textFill>
                  <w14:solidFill>
                    <w14:schemeClr w14:val="tx1"/>
                  </w14:solidFill>
                </w14:textFill>
              </w:rPr>
            </w:pPr>
          </w:p>
          <w:p w14:paraId="58EAE926">
            <w:pPr>
              <w:pStyle w:val="65"/>
              <w:adjustRightInd w:val="0"/>
              <w:snapToGrid w:val="0"/>
              <w:rPr>
                <w:rStyle w:val="62"/>
                <w:rFonts w:hint="default" w:ascii="Times New Roman" w:hAnsi="Times New Roman" w:eastAsia="宋体" w:cs="Times New Roman"/>
                <w:b/>
                <w:color w:val="000000" w:themeColor="text1"/>
                <w:szCs w:val="21"/>
                <w14:textFill>
                  <w14:solidFill>
                    <w14:schemeClr w14:val="tx1"/>
                  </w14:solidFill>
                </w14:textFill>
              </w:rPr>
            </w:pPr>
          </w:p>
          <w:p w14:paraId="43DF88FD">
            <w:pPr>
              <w:pStyle w:val="65"/>
              <w:adjustRightInd w:val="0"/>
              <w:snapToGrid w:val="0"/>
              <w:rPr>
                <w:rStyle w:val="62"/>
                <w:rFonts w:hint="default" w:ascii="Times New Roman" w:hAnsi="Times New Roman" w:eastAsia="宋体" w:cs="Times New Roman"/>
                <w:b/>
                <w:color w:val="000000" w:themeColor="text1"/>
                <w:szCs w:val="21"/>
                <w14:textFill>
                  <w14:solidFill>
                    <w14:schemeClr w14:val="tx1"/>
                  </w14:solidFill>
                </w14:textFill>
              </w:rPr>
            </w:pPr>
            <w:r>
              <w:rPr>
                <w:rStyle w:val="62"/>
                <w:rFonts w:hint="default" w:ascii="Times New Roman" w:hAnsi="Times New Roman" w:eastAsia="宋体" w:cs="Times New Roman"/>
                <w:b/>
                <w:color w:val="000000" w:themeColor="text1"/>
                <w:szCs w:val="21"/>
                <w14:textFill>
                  <w14:solidFill>
                    <w14:schemeClr w14:val="tx1"/>
                  </w14:solidFill>
                </w14:textFill>
              </w:rPr>
              <w:t>表4-</w:t>
            </w:r>
            <w:r>
              <w:rPr>
                <w:rStyle w:val="62"/>
                <w:rFonts w:hint="default" w:ascii="Times New Roman" w:hAnsi="Times New Roman" w:cs="Times New Roman"/>
                <w:b/>
                <w:color w:val="000000" w:themeColor="text1"/>
                <w:szCs w:val="21"/>
                <w:lang w:val="en-US" w:eastAsia="zh-CN"/>
                <w14:textFill>
                  <w14:solidFill>
                    <w14:schemeClr w14:val="tx1"/>
                  </w14:solidFill>
                </w14:textFill>
              </w:rPr>
              <w:t>2</w:t>
            </w:r>
            <w:r>
              <w:rPr>
                <w:rStyle w:val="62"/>
                <w:rFonts w:hint="eastAsia" w:cs="Times New Roman"/>
                <w:b/>
                <w:color w:val="000000" w:themeColor="text1"/>
                <w:szCs w:val="21"/>
                <w:lang w:val="en-US" w:eastAsia="zh-CN"/>
                <w14:textFill>
                  <w14:solidFill>
                    <w14:schemeClr w14:val="tx1"/>
                  </w14:solidFill>
                </w14:textFill>
              </w:rPr>
              <w:t>6</w:t>
            </w:r>
            <w:r>
              <w:rPr>
                <w:rStyle w:val="62"/>
                <w:rFonts w:hint="default" w:ascii="Times New Roman" w:hAnsi="Times New Roman" w:eastAsia="宋体" w:cs="Times New Roman"/>
                <w:b/>
                <w:color w:val="000000" w:themeColor="text1"/>
                <w:szCs w:val="21"/>
                <w14:textFill>
                  <w14:solidFill>
                    <w14:schemeClr w14:val="tx1"/>
                  </w14:solidFill>
                </w14:textFill>
              </w:rPr>
              <w:t>项目分区防渗一览表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46"/>
              <w:gridCol w:w="3673"/>
            </w:tblGrid>
            <w:tr w14:paraId="10E34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pct"/>
                  <w:vAlign w:val="center"/>
                </w:tcPr>
                <w:p w14:paraId="17E98344">
                  <w:pPr>
                    <w:kinsoku w:val="0"/>
                    <w:overflowPunct w:val="0"/>
                    <w:autoSpaceDE w:val="0"/>
                    <w:autoSpaceDN w:val="0"/>
                    <w:adjustRightInd w:val="0"/>
                    <w:snapToGrid w:val="0"/>
                    <w:jc w:val="center"/>
                    <w:textAlignment w:val="baseline"/>
                    <w:rPr>
                      <w:rFonts w:hint="default" w:ascii="Times New Roman" w:hAnsi="Times New Roman" w:cs="Times New Roman"/>
                      <w:color w:val="000000" w:themeColor="text1"/>
                      <w:kern w:val="0"/>
                      <w:szCs w:val="21"/>
                      <w:lang w:val="zh-CN"/>
                      <w14:textFill>
                        <w14:solidFill>
                          <w14:schemeClr w14:val="tx1"/>
                        </w14:solidFill>
                      </w14:textFill>
                    </w:rPr>
                  </w:pPr>
                  <w:r>
                    <w:rPr>
                      <w:rFonts w:hint="default" w:ascii="Times New Roman" w:hAnsi="Times New Roman" w:cs="Times New Roman"/>
                      <w:color w:val="000000" w:themeColor="text1"/>
                      <w:kern w:val="0"/>
                      <w:szCs w:val="21"/>
                      <w:lang w:val="zh-CN"/>
                      <w14:textFill>
                        <w14:solidFill>
                          <w14:schemeClr w14:val="tx1"/>
                        </w14:solidFill>
                      </w14:textFill>
                    </w:rPr>
                    <w:t>分区防渗</w:t>
                  </w:r>
                </w:p>
              </w:tc>
              <w:tc>
                <w:tcPr>
                  <w:tcW w:w="1917" w:type="pct"/>
                  <w:vAlign w:val="center"/>
                </w:tcPr>
                <w:p w14:paraId="46BA5EE0">
                  <w:pPr>
                    <w:kinsoku w:val="0"/>
                    <w:overflowPunct w:val="0"/>
                    <w:autoSpaceDE w:val="0"/>
                    <w:autoSpaceDN w:val="0"/>
                    <w:adjustRightInd w:val="0"/>
                    <w:snapToGrid w:val="0"/>
                    <w:jc w:val="center"/>
                    <w:textAlignment w:val="baseline"/>
                    <w:rPr>
                      <w:rFonts w:hint="default" w:ascii="Times New Roman" w:hAnsi="Times New Roman" w:cs="Times New Roman"/>
                      <w:color w:val="000000" w:themeColor="text1"/>
                      <w:kern w:val="0"/>
                      <w:szCs w:val="21"/>
                      <w:lang w:val="zh-CN"/>
                      <w14:textFill>
                        <w14:solidFill>
                          <w14:schemeClr w14:val="tx1"/>
                        </w14:solidFill>
                      </w14:textFill>
                    </w:rPr>
                  </w:pPr>
                  <w:r>
                    <w:rPr>
                      <w:rFonts w:hint="default" w:ascii="Times New Roman" w:hAnsi="Times New Roman" w:cs="Times New Roman"/>
                      <w:color w:val="000000" w:themeColor="text1"/>
                      <w:kern w:val="0"/>
                      <w:szCs w:val="21"/>
                      <w:lang w:val="zh-CN"/>
                      <w14:textFill>
                        <w14:solidFill>
                          <w14:schemeClr w14:val="tx1"/>
                        </w14:solidFill>
                      </w14:textFill>
                    </w:rPr>
                    <w:t>装置或构筑物名称</w:t>
                  </w:r>
                </w:p>
              </w:tc>
              <w:tc>
                <w:tcPr>
                  <w:tcW w:w="2237" w:type="pct"/>
                  <w:vAlign w:val="center"/>
                </w:tcPr>
                <w:p w14:paraId="7733013F">
                  <w:pPr>
                    <w:kinsoku w:val="0"/>
                    <w:overflowPunct w:val="0"/>
                    <w:autoSpaceDE w:val="0"/>
                    <w:autoSpaceDN w:val="0"/>
                    <w:adjustRightInd w:val="0"/>
                    <w:snapToGrid w:val="0"/>
                    <w:jc w:val="center"/>
                    <w:textAlignment w:val="baseline"/>
                    <w:rPr>
                      <w:rFonts w:hint="default" w:ascii="Times New Roman" w:hAnsi="Times New Roman" w:cs="Times New Roman"/>
                      <w:color w:val="000000" w:themeColor="text1"/>
                      <w:kern w:val="0"/>
                      <w:szCs w:val="21"/>
                      <w:lang w:val="zh-CN"/>
                      <w14:textFill>
                        <w14:solidFill>
                          <w14:schemeClr w14:val="tx1"/>
                        </w14:solidFill>
                      </w14:textFill>
                    </w:rPr>
                  </w:pPr>
                  <w:r>
                    <w:rPr>
                      <w:rFonts w:hint="default" w:ascii="Times New Roman" w:hAnsi="Times New Roman" w:cs="Times New Roman"/>
                      <w:color w:val="000000" w:themeColor="text1"/>
                      <w:kern w:val="0"/>
                      <w:szCs w:val="21"/>
                      <w:lang w:val="zh-CN"/>
                      <w14:textFill>
                        <w14:solidFill>
                          <w14:schemeClr w14:val="tx1"/>
                        </w14:solidFill>
                      </w14:textFill>
                    </w:rPr>
                    <w:t>防渗技术要求</w:t>
                  </w:r>
                </w:p>
              </w:tc>
            </w:tr>
            <w:tr w14:paraId="60434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pct"/>
                  <w:vAlign w:val="center"/>
                </w:tcPr>
                <w:p w14:paraId="202E5BB8">
                  <w:pPr>
                    <w:kinsoku w:val="0"/>
                    <w:overflowPunct w:val="0"/>
                    <w:autoSpaceDE w:val="0"/>
                    <w:autoSpaceDN w:val="0"/>
                    <w:adjustRightInd w:val="0"/>
                    <w:snapToGrid w:val="0"/>
                    <w:jc w:val="center"/>
                    <w:textAlignment w:val="baseline"/>
                    <w:rPr>
                      <w:rFonts w:hint="default" w:ascii="Times New Roman" w:hAnsi="Times New Roman" w:cs="Times New Roman"/>
                      <w:color w:val="000000" w:themeColor="text1"/>
                      <w:kern w:val="0"/>
                      <w:szCs w:val="21"/>
                      <w:lang w:val="zh-CN"/>
                      <w14:textFill>
                        <w14:solidFill>
                          <w14:schemeClr w14:val="tx1"/>
                        </w14:solidFill>
                      </w14:textFill>
                    </w:rPr>
                  </w:pPr>
                  <w:r>
                    <w:rPr>
                      <w:rFonts w:hint="default" w:ascii="Times New Roman" w:hAnsi="Times New Roman" w:cs="Times New Roman"/>
                      <w:color w:val="000000" w:themeColor="text1"/>
                      <w:kern w:val="0"/>
                      <w:szCs w:val="21"/>
                      <w:lang w:val="zh-CN"/>
                      <w14:textFill>
                        <w14:solidFill>
                          <w14:schemeClr w14:val="tx1"/>
                        </w14:solidFill>
                      </w14:textFill>
                    </w:rPr>
                    <w:t>重点防渗区</w:t>
                  </w:r>
                </w:p>
              </w:tc>
              <w:tc>
                <w:tcPr>
                  <w:tcW w:w="1917" w:type="pct"/>
                  <w:vAlign w:val="center"/>
                </w:tcPr>
                <w:p w14:paraId="05E3CE62">
                  <w:pPr>
                    <w:pStyle w:val="129"/>
                    <w:rPr>
                      <w:rFonts w:hint="default" w:ascii="Times New Roman" w:hAnsi="Times New Roman" w:eastAsia="宋体" w:cs="Times New Roman"/>
                      <w:color w:val="000000" w:themeColor="text1"/>
                      <w:lang w:eastAsia="zh-CN"/>
                      <w14:textFill>
                        <w14:solidFill>
                          <w14:schemeClr w14:val="tx1"/>
                        </w14:solidFill>
                      </w14:textFill>
                    </w:rPr>
                  </w:pPr>
                  <w:r>
                    <w:rPr>
                      <w:rFonts w:hint="eastAsia" w:cs="Times New Roman"/>
                      <w:b w:val="0"/>
                      <w:bCs w:val="0"/>
                      <w:color w:val="000000" w:themeColor="text1"/>
                      <w:sz w:val="21"/>
                      <w:szCs w:val="21"/>
                      <w:lang w:eastAsia="zh-CN"/>
                      <w14:textFill>
                        <w14:solidFill>
                          <w14:schemeClr w14:val="tx1"/>
                        </w14:solidFill>
                      </w14:textFill>
                    </w:rPr>
                    <w:t>危废贮存库、废水物料暂存区</w:t>
                  </w:r>
                  <w:r>
                    <w:rPr>
                      <w:rFonts w:hint="default" w:ascii="Times New Roman" w:hAnsi="Times New Roman" w:cs="Times New Roman"/>
                      <w:color w:val="000000" w:themeColor="text1"/>
                      <w:sz w:val="21"/>
                      <w:szCs w:val="21"/>
                      <w:lang w:eastAsia="zh-CN"/>
                      <w14:textFill>
                        <w14:solidFill>
                          <w14:schemeClr w14:val="tx1"/>
                        </w14:solidFill>
                      </w14:textFill>
                    </w:rPr>
                    <w:t>作为</w:t>
                  </w:r>
                  <w:r>
                    <w:rPr>
                      <w:rFonts w:hint="default" w:ascii="Times New Roman" w:hAnsi="Times New Roman" w:eastAsia="宋体" w:cs="Times New Roman"/>
                      <w:color w:val="000000" w:themeColor="text1"/>
                      <w:sz w:val="21"/>
                      <w:szCs w:val="21"/>
                      <w14:textFill>
                        <w14:solidFill>
                          <w14:schemeClr w14:val="tx1"/>
                        </w14:solidFill>
                      </w14:textFill>
                    </w:rPr>
                    <w:t>重点防渗</w:t>
                  </w:r>
                  <w:r>
                    <w:rPr>
                      <w:rFonts w:hint="default" w:ascii="Times New Roman" w:hAnsi="Times New Roman" w:cs="Times New Roman"/>
                      <w:color w:val="000000" w:themeColor="text1"/>
                      <w:sz w:val="21"/>
                      <w:szCs w:val="21"/>
                      <w:lang w:eastAsia="zh-CN"/>
                      <w14:textFill>
                        <w14:solidFill>
                          <w14:schemeClr w14:val="tx1"/>
                        </w14:solidFill>
                      </w14:textFill>
                    </w:rPr>
                    <w:t>区</w:t>
                  </w:r>
                </w:p>
              </w:tc>
              <w:tc>
                <w:tcPr>
                  <w:tcW w:w="2237" w:type="pct"/>
                  <w:vAlign w:val="center"/>
                </w:tcPr>
                <w:p w14:paraId="27DFC8AC">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eastAsia="zh-CN"/>
                      <w14:textFill>
                        <w14:solidFill>
                          <w14:schemeClr w14:val="tx1"/>
                        </w14:solidFill>
                      </w14:textFill>
                    </w:rPr>
                    <w:t>危废贮存库</w:t>
                  </w:r>
                  <w:r>
                    <w:rPr>
                      <w:rFonts w:hint="default" w:ascii="Times New Roman" w:hAnsi="Times New Roman" w:cs="Times New Roman"/>
                      <w:color w:val="000000" w:themeColor="text1"/>
                      <w:sz w:val="21"/>
                      <w:szCs w:val="21"/>
                      <w:lang w:eastAsia="zh-CN"/>
                      <w14:textFill>
                        <w14:solidFill>
                          <w14:schemeClr w14:val="tx1"/>
                        </w14:solidFill>
                      </w14:textFill>
                    </w:rPr>
                    <w:t>区域</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参照执行《危险废物贮存污染控制标准》（GB18597-20</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23</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）相关要求，防渗层为至少1 m厚黏土层（渗透系数不大于10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cm/s），或至少2 mm厚高密度聚乙烯膜等人工防渗材料（渗透系数不大于10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cm/s）。</w:t>
                  </w:r>
                </w:p>
                <w:p w14:paraId="29B94287">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Cs w:val="21"/>
                      <w:lang w:val="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废水处理物料暂存区参照</w:t>
                  </w:r>
                  <w:r>
                    <w:rPr>
                      <w:rFonts w:hint="eastAsia" w:ascii="Times New Roman" w:hAnsi="Times New Roman" w:eastAsia="宋体" w:cs="Times New Roman"/>
                      <w:color w:val="000000" w:themeColor="text1"/>
                      <w:sz w:val="21"/>
                      <w:szCs w:val="21"/>
                      <w14:textFill>
                        <w14:solidFill>
                          <w14:schemeClr w14:val="tx1"/>
                        </w14:solidFill>
                      </w14:textFill>
                    </w:rPr>
                    <w:t>《环境影响评价技术导则 地下水环境》（HJ610-2016）中</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重点</w:t>
                  </w:r>
                  <w:r>
                    <w:rPr>
                      <w:rFonts w:hint="eastAsia" w:ascii="Times New Roman" w:hAnsi="Times New Roman" w:eastAsia="宋体" w:cs="Times New Roman"/>
                      <w:color w:val="000000" w:themeColor="text1"/>
                      <w:sz w:val="21"/>
                      <w:szCs w:val="21"/>
                      <w14:textFill>
                        <w14:solidFill>
                          <w14:schemeClr w14:val="tx1"/>
                        </w14:solidFill>
                      </w14:textFill>
                    </w:rPr>
                    <w:t>防渗区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进行防渗</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等效黏土防渗层 Mb≥6.0m，</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K</w:t>
                  </w:r>
                  <w:r>
                    <w:rPr>
                      <w:rFonts w:hint="eastAsia" w:ascii="Times New Roman" w:hAnsi="Times New Roman" w:eastAsia="宋体" w:cs="Times New Roman"/>
                      <w:color w:val="000000" w:themeColor="text1"/>
                      <w:sz w:val="21"/>
                      <w:szCs w:val="21"/>
                      <w14:textFill>
                        <w14:solidFill>
                          <w14:schemeClr w14:val="tx1"/>
                        </w14:solidFill>
                      </w14:textFill>
                    </w:rPr>
                    <w:t>&lt;1.0×10</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-7</w:t>
                  </w:r>
                  <w:r>
                    <w:rPr>
                      <w:rFonts w:hint="eastAsia" w:ascii="Times New Roman" w:hAnsi="Times New Roman" w:eastAsia="宋体" w:cs="Times New Roman"/>
                      <w:color w:val="000000" w:themeColor="text1"/>
                      <w:sz w:val="21"/>
                      <w:szCs w:val="21"/>
                      <w14:textFill>
                        <w14:solidFill>
                          <w14:schemeClr w14:val="tx1"/>
                        </w14:solidFill>
                      </w14:textFill>
                    </w:rPr>
                    <w:t>cm/s</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或参照 GB 18598 执行。</w:t>
                  </w:r>
                </w:p>
              </w:tc>
            </w:tr>
            <w:tr w14:paraId="0CAA4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844" w:type="pct"/>
                  <w:vAlign w:val="center"/>
                </w:tcPr>
                <w:p w14:paraId="3A024BAB">
                  <w:pPr>
                    <w:kinsoku w:val="0"/>
                    <w:overflowPunct w:val="0"/>
                    <w:autoSpaceDE w:val="0"/>
                    <w:autoSpaceDN w:val="0"/>
                    <w:adjustRightInd w:val="0"/>
                    <w:snapToGrid w:val="0"/>
                    <w:jc w:val="center"/>
                    <w:textAlignment w:val="baseline"/>
                    <w:rPr>
                      <w:rFonts w:hint="default" w:ascii="Times New Roman" w:hAnsi="Times New Roman" w:cs="Times New Roman"/>
                      <w:color w:val="000000" w:themeColor="text1"/>
                      <w:kern w:val="0"/>
                      <w:szCs w:val="21"/>
                      <w:lang w:val="zh-CN"/>
                      <w14:textFill>
                        <w14:solidFill>
                          <w14:schemeClr w14:val="tx1"/>
                        </w14:solidFill>
                      </w14:textFill>
                    </w:rPr>
                  </w:pPr>
                  <w:r>
                    <w:rPr>
                      <w:rFonts w:hint="default" w:ascii="Times New Roman" w:hAnsi="Times New Roman" w:cs="Times New Roman"/>
                      <w:color w:val="000000" w:themeColor="text1"/>
                      <w:kern w:val="0"/>
                      <w:szCs w:val="21"/>
                      <w:lang w:val="zh-CN"/>
                      <w14:textFill>
                        <w14:solidFill>
                          <w14:schemeClr w14:val="tx1"/>
                        </w14:solidFill>
                      </w14:textFill>
                    </w:rPr>
                    <w:t>一般防渗区</w:t>
                  </w:r>
                </w:p>
              </w:tc>
              <w:tc>
                <w:tcPr>
                  <w:tcW w:w="1917" w:type="pct"/>
                  <w:vAlign w:val="center"/>
                </w:tcPr>
                <w:p w14:paraId="0ABD79FB">
                  <w:pPr>
                    <w:pStyle w:val="12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生产</w:t>
                  </w:r>
                  <w:r>
                    <w:rPr>
                      <w:rFonts w:hint="eastAsia" w:ascii="Times New Roman" w:hAnsi="Times New Roman" w:cs="Times New Roman"/>
                      <w:color w:val="000000" w:themeColor="text1"/>
                      <w:sz w:val="21"/>
                      <w:szCs w:val="21"/>
                      <w:lang w:eastAsia="zh-CN"/>
                      <w14:textFill>
                        <w14:solidFill>
                          <w14:schemeClr w14:val="tx1"/>
                        </w14:solidFill>
                      </w14:textFill>
                    </w:rPr>
                    <w:t>车间、锅炉房、循环池</w:t>
                  </w:r>
                  <w:r>
                    <w:rPr>
                      <w:rFonts w:hint="default" w:ascii="Times New Roman" w:hAnsi="Times New Roman" w:cs="Times New Roman"/>
                      <w:color w:val="000000" w:themeColor="text1"/>
                      <w:sz w:val="21"/>
                      <w:szCs w:val="21"/>
                      <w:lang w:eastAsia="zh-CN"/>
                      <w14:textFill>
                        <w14:solidFill>
                          <w14:schemeClr w14:val="tx1"/>
                        </w14:solidFill>
                      </w14:textFill>
                    </w:rPr>
                    <w:t>等区域地面为一般防渗区</w:t>
                  </w:r>
                </w:p>
              </w:tc>
              <w:tc>
                <w:tcPr>
                  <w:tcW w:w="2237" w:type="pct"/>
                  <w:vAlign w:val="center"/>
                </w:tcPr>
                <w:p w14:paraId="4ADA187B">
                  <w:pPr>
                    <w:kinsoku w:val="0"/>
                    <w:overflowPunct w:val="0"/>
                    <w:autoSpaceDE w:val="0"/>
                    <w:autoSpaceDN w:val="0"/>
                    <w:adjustRightInd w:val="0"/>
                    <w:snapToGrid w:val="0"/>
                    <w:jc w:val="center"/>
                    <w:textAlignment w:val="baseline"/>
                    <w:rPr>
                      <w:rFonts w:hint="eastAsia" w:ascii="Times New Roman" w:hAnsi="Times New Roman" w:eastAsia="宋体" w:cs="Times New Roman"/>
                      <w:color w:val="000000" w:themeColor="text1"/>
                      <w:kern w:val="0"/>
                      <w:szCs w:val="21"/>
                      <w:lang w:val="zh-CN" w:eastAsia="zh-CN"/>
                      <w14:textFill>
                        <w14:solidFill>
                          <w14:schemeClr w14:val="tx1"/>
                        </w14:solidFill>
                      </w14:textFill>
                    </w:rPr>
                  </w:pPr>
                  <w:r>
                    <w:rPr>
                      <w:rFonts w:hint="default" w:ascii="Times New Roman" w:hAnsi="Times New Roman" w:cs="Times New Roman"/>
                      <w:color w:val="000000" w:themeColor="text1"/>
                      <w:sz w:val="21"/>
                      <w:szCs w:val="18"/>
                      <w:highlight w:val="none"/>
                      <w14:textFill>
                        <w14:solidFill>
                          <w14:schemeClr w14:val="tx1"/>
                        </w14:solidFill>
                      </w14:textFill>
                    </w:rPr>
                    <w:t>按照《环境影响评价技术导则 地下水环境》（HJ610-2016）中一般防渗区的防渗要求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进行防渗</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等效黏土防渗层 Mb≥</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color w:val="000000" w:themeColor="text1"/>
                      <w:sz w:val="21"/>
                      <w:szCs w:val="21"/>
                      <w14:textFill>
                        <w14:solidFill>
                          <w14:schemeClr w14:val="tx1"/>
                        </w14:solidFill>
                      </w14:textFill>
                    </w:rPr>
                    <w:t>&lt;1.0×10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cm/s</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 xml:space="preserve">或参照 GB </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16889</w:t>
                  </w:r>
                  <w:r>
                    <w:rPr>
                      <w:rFonts w:hint="default" w:ascii="Times New Roman" w:hAnsi="Times New Roman" w:eastAsia="宋体" w:cs="Times New Roman"/>
                      <w:color w:val="000000" w:themeColor="text1"/>
                      <w:sz w:val="21"/>
                      <w:szCs w:val="21"/>
                      <w14:textFill>
                        <w14:solidFill>
                          <w14:schemeClr w14:val="tx1"/>
                        </w14:solidFill>
                      </w14:textFill>
                    </w:rPr>
                    <w:t>执行</w:t>
                  </w:r>
                  <w:r>
                    <w:rPr>
                      <w:rFonts w:hint="default" w:ascii="Times New Roman" w:hAnsi="Times New Roman" w:cs="Times New Roman"/>
                      <w:color w:val="000000" w:themeColor="text1"/>
                      <w:sz w:val="21"/>
                      <w:szCs w:val="21"/>
                      <w14:textFill>
                        <w14:solidFill>
                          <w14:schemeClr w14:val="tx1"/>
                        </w14:solidFill>
                      </w14:textFill>
                    </w:rPr>
                    <w:t>。</w:t>
                  </w:r>
                </w:p>
              </w:tc>
            </w:tr>
            <w:tr w14:paraId="0C738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pct"/>
                  <w:vAlign w:val="center"/>
                </w:tcPr>
                <w:p w14:paraId="1AE434FC">
                  <w:pPr>
                    <w:kinsoku w:val="0"/>
                    <w:overflowPunct w:val="0"/>
                    <w:autoSpaceDE w:val="0"/>
                    <w:autoSpaceDN w:val="0"/>
                    <w:adjustRightInd w:val="0"/>
                    <w:snapToGrid w:val="0"/>
                    <w:jc w:val="center"/>
                    <w:textAlignment w:val="baseline"/>
                    <w:rPr>
                      <w:rFonts w:hint="default" w:ascii="Times New Roman" w:hAnsi="Times New Roman" w:cs="Times New Roman"/>
                      <w:color w:val="000000" w:themeColor="text1"/>
                      <w:kern w:val="0"/>
                      <w:szCs w:val="21"/>
                      <w:lang w:val="zh-CN"/>
                      <w14:textFill>
                        <w14:solidFill>
                          <w14:schemeClr w14:val="tx1"/>
                        </w14:solidFill>
                      </w14:textFill>
                    </w:rPr>
                  </w:pPr>
                  <w:r>
                    <w:rPr>
                      <w:rFonts w:hint="default" w:ascii="Times New Roman" w:hAnsi="Times New Roman" w:cs="Times New Roman"/>
                      <w:color w:val="000000" w:themeColor="text1"/>
                      <w:kern w:val="0"/>
                      <w:szCs w:val="21"/>
                      <w:lang w:val="zh-CN"/>
                      <w14:textFill>
                        <w14:solidFill>
                          <w14:schemeClr w14:val="tx1"/>
                        </w14:solidFill>
                      </w14:textFill>
                    </w:rPr>
                    <w:t>简单防渗区</w:t>
                  </w:r>
                </w:p>
              </w:tc>
              <w:tc>
                <w:tcPr>
                  <w:tcW w:w="1917" w:type="pct"/>
                  <w:vAlign w:val="center"/>
                </w:tcPr>
                <w:p w14:paraId="53B38198">
                  <w:pPr>
                    <w:pStyle w:val="129"/>
                    <w:rPr>
                      <w:rFonts w:hint="default" w:ascii="Times New Roman" w:hAnsi="Times New Roman" w:cs="Times New Roman"/>
                      <w:color w:val="000000" w:themeColor="text1"/>
                      <w:lang w:val="zh-CN"/>
                      <w14:textFill>
                        <w14:solidFill>
                          <w14:schemeClr w14:val="tx1"/>
                        </w14:solidFill>
                      </w14:textFill>
                    </w:rPr>
                  </w:pPr>
                  <w:r>
                    <w:rPr>
                      <w:rFonts w:hint="eastAsia" w:cs="Times New Roman"/>
                      <w:b w:val="0"/>
                      <w:bCs w:val="0"/>
                      <w:color w:val="000000" w:themeColor="text1"/>
                      <w:lang w:eastAsia="zh-CN"/>
                      <w14:textFill>
                        <w14:solidFill>
                          <w14:schemeClr w14:val="tx1"/>
                        </w14:solidFill>
                      </w14:textFill>
                    </w:rPr>
                    <w:t>办公区、车辆</w:t>
                  </w:r>
                  <w:r>
                    <w:rPr>
                      <w:rFonts w:hint="default" w:ascii="Times New Roman" w:hAnsi="Times New Roman" w:cs="Times New Roman"/>
                      <w:color w:val="000000" w:themeColor="text1"/>
                      <w:lang w:eastAsia="zh-CN"/>
                      <w14:textFill>
                        <w14:solidFill>
                          <w14:schemeClr w14:val="tx1"/>
                        </w14:solidFill>
                      </w14:textFill>
                    </w:rPr>
                    <w:t>运输</w:t>
                  </w:r>
                  <w:r>
                    <w:rPr>
                      <w:rFonts w:hint="eastAsia" w:ascii="Times New Roman" w:hAnsi="Times New Roman" w:cs="Times New Roman"/>
                      <w:color w:val="000000" w:themeColor="text1"/>
                      <w:lang w:eastAsia="zh-CN"/>
                      <w14:textFill>
                        <w14:solidFill>
                          <w14:schemeClr w14:val="tx1"/>
                        </w14:solidFill>
                      </w14:textFill>
                    </w:rPr>
                    <w:t>道路</w:t>
                  </w:r>
                  <w:r>
                    <w:rPr>
                      <w:rFonts w:hint="default" w:ascii="Times New Roman" w:hAnsi="Times New Roman" w:cs="Times New Roman"/>
                      <w:color w:val="000000" w:themeColor="text1"/>
                      <w:lang w:eastAsia="zh-CN"/>
                      <w14:textFill>
                        <w14:solidFill>
                          <w14:schemeClr w14:val="tx1"/>
                        </w14:solidFill>
                      </w14:textFill>
                    </w:rPr>
                    <w:t>等区域地面</w:t>
                  </w:r>
                  <w:r>
                    <w:rPr>
                      <w:rFonts w:hint="default" w:ascii="Times New Roman" w:hAnsi="Times New Roman" w:cs="Times New Roman"/>
                      <w:color w:val="000000" w:themeColor="text1"/>
                      <w:sz w:val="21"/>
                      <w:szCs w:val="21"/>
                      <w14:textFill>
                        <w14:solidFill>
                          <w14:schemeClr w14:val="tx1"/>
                        </w14:solidFill>
                      </w14:textFill>
                    </w:rPr>
                    <w:t>为简单防渗区</w:t>
                  </w:r>
                </w:p>
              </w:tc>
              <w:tc>
                <w:tcPr>
                  <w:tcW w:w="2237" w:type="pct"/>
                  <w:vAlign w:val="center"/>
                </w:tcPr>
                <w:p w14:paraId="27E3F916">
                  <w:pPr>
                    <w:kinsoku w:val="0"/>
                    <w:overflowPunct w:val="0"/>
                    <w:autoSpaceDE w:val="0"/>
                    <w:autoSpaceDN w:val="0"/>
                    <w:adjustRightInd w:val="0"/>
                    <w:snapToGrid w:val="0"/>
                    <w:jc w:val="center"/>
                    <w:textAlignment w:val="baseline"/>
                    <w:rPr>
                      <w:rFonts w:hint="default" w:ascii="Times New Roman" w:hAnsi="Times New Roman" w:cs="Times New Roman"/>
                      <w:color w:val="000000" w:themeColor="text1"/>
                      <w:kern w:val="0"/>
                      <w:szCs w:val="21"/>
                      <w:lang w:val="zh-CN"/>
                      <w14:textFill>
                        <w14:solidFill>
                          <w14:schemeClr w14:val="tx1"/>
                        </w14:solidFill>
                      </w14:textFill>
                    </w:rPr>
                  </w:pPr>
                  <w:r>
                    <w:rPr>
                      <w:rFonts w:hint="default" w:ascii="Times New Roman" w:hAnsi="Times New Roman" w:cs="Times New Roman"/>
                      <w:color w:val="000000" w:themeColor="text1"/>
                      <w:kern w:val="0"/>
                      <w:szCs w:val="21"/>
                      <w:lang w:val="zh-CN"/>
                      <w14:textFill>
                        <w14:solidFill>
                          <w14:schemeClr w14:val="tx1"/>
                        </w14:solidFill>
                      </w14:textFill>
                    </w:rPr>
                    <w:t>一般</w:t>
                  </w:r>
                  <w:r>
                    <w:rPr>
                      <w:rFonts w:hint="default" w:ascii="Times New Roman" w:hAnsi="Times New Roman" w:cs="Times New Roman"/>
                      <w:color w:val="000000" w:themeColor="text1"/>
                      <w:sz w:val="21"/>
                      <w:szCs w:val="21"/>
                      <w14:textFill>
                        <w14:solidFill>
                          <w14:schemeClr w14:val="tx1"/>
                        </w14:solidFill>
                      </w14:textFill>
                    </w:rPr>
                    <w:t>地面硬化</w:t>
                  </w:r>
                  <w:r>
                    <w:rPr>
                      <w:rFonts w:hint="default" w:ascii="Times New Roman" w:hAnsi="Times New Roman" w:cs="Times New Roman"/>
                      <w:color w:val="000000" w:themeColor="text1"/>
                      <w:sz w:val="21"/>
                      <w:szCs w:val="21"/>
                      <w:lang w:eastAsia="zh-CN"/>
                      <w14:textFill>
                        <w14:solidFill>
                          <w14:schemeClr w14:val="tx1"/>
                        </w14:solidFill>
                      </w14:textFill>
                    </w:rPr>
                    <w:t>处理</w:t>
                  </w:r>
                </w:p>
              </w:tc>
            </w:tr>
          </w:tbl>
          <w:p w14:paraId="23FD9A04">
            <w:pPr>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本次新增废水处理物料暂存区作为重点防渗区，危废贮存库进行修缮。本环评要求锅炉房原有燃煤锅炉拆除、新建生物质锅炉需按照相关要求完善防渗措施。</w:t>
            </w:r>
          </w:p>
          <w:p w14:paraId="4ADD5A42">
            <w:pPr>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项目建设过程中采取防渗措施可有效防止风险物质下渗进入地下水，通过加强定期检查消除污染隐患；发现有污染物泄漏或渗漏，及时修补。</w:t>
            </w:r>
          </w:p>
          <w:p w14:paraId="6B7A2911">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本项目产生的</w:t>
            </w:r>
            <w:r>
              <w:rPr>
                <w:rFonts w:hint="default" w:ascii="Times New Roman" w:hAnsi="Times New Roman" w:cs="Times New Roman"/>
                <w:color w:val="000000" w:themeColor="text1"/>
                <w:sz w:val="24"/>
                <w:lang w:eastAsia="zh-CN"/>
                <w14:textFill>
                  <w14:solidFill>
                    <w14:schemeClr w14:val="tx1"/>
                  </w14:solidFill>
                </w14:textFill>
              </w:rPr>
              <w:t>危险废物经收集后分类暂存于</w:t>
            </w:r>
            <w:r>
              <w:rPr>
                <w:rFonts w:hint="eastAsia" w:cs="Times New Roman"/>
                <w:color w:val="000000" w:themeColor="text1"/>
                <w:sz w:val="24"/>
                <w:lang w:eastAsia="zh-CN"/>
                <w14:textFill>
                  <w14:solidFill>
                    <w14:schemeClr w14:val="tx1"/>
                  </w14:solidFill>
                </w14:textFill>
              </w:rPr>
              <w:t>危废贮存库</w:t>
            </w:r>
            <w:r>
              <w:rPr>
                <w:rFonts w:hint="default" w:ascii="Times New Roman" w:hAnsi="Times New Roman" w:cs="Times New Roman"/>
                <w:color w:val="000000" w:themeColor="text1"/>
                <w:sz w:val="24"/>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危废贮存库</w:t>
            </w:r>
            <w:r>
              <w:rPr>
                <w:rFonts w:hint="default" w:ascii="Times New Roman" w:hAnsi="Times New Roman" w:cs="Times New Roman"/>
                <w:color w:val="000000" w:themeColor="text1"/>
                <w:sz w:val="24"/>
                <w14:textFill>
                  <w14:solidFill>
                    <w14:schemeClr w14:val="tx1"/>
                  </w14:solidFill>
                </w14:textFill>
              </w:rPr>
              <w:t>地面防渗，设置围堰并铺设防水漆；本项目危险废物分类分区收集于收集桶中，且产生量不大，若发生泄漏事故，经</w:t>
            </w:r>
            <w:r>
              <w:rPr>
                <w:rFonts w:hint="eastAsia" w:cs="Times New Roman"/>
                <w:color w:val="000000" w:themeColor="text1"/>
                <w:sz w:val="24"/>
                <w:lang w:eastAsia="zh-CN"/>
                <w14:textFill>
                  <w14:solidFill>
                    <w14:schemeClr w14:val="tx1"/>
                  </w14:solidFill>
                </w14:textFill>
              </w:rPr>
              <w:t>危废贮存库</w:t>
            </w:r>
            <w:r>
              <w:rPr>
                <w:rFonts w:hint="default" w:ascii="Times New Roman" w:hAnsi="Times New Roman" w:cs="Times New Roman"/>
                <w:color w:val="000000" w:themeColor="text1"/>
                <w:sz w:val="24"/>
                <w14:textFill>
                  <w14:solidFill>
                    <w14:schemeClr w14:val="tx1"/>
                  </w14:solidFill>
                </w14:textFill>
              </w:rPr>
              <w:t>围堰收集后，可将风险控制在</w:t>
            </w:r>
            <w:r>
              <w:rPr>
                <w:rFonts w:hint="eastAsia" w:cs="Times New Roman"/>
                <w:color w:val="000000" w:themeColor="text1"/>
                <w:sz w:val="24"/>
                <w:lang w:eastAsia="zh-CN"/>
                <w14:textFill>
                  <w14:solidFill>
                    <w14:schemeClr w14:val="tx1"/>
                  </w14:solidFill>
                </w14:textFill>
              </w:rPr>
              <w:t>危废贮存库</w:t>
            </w:r>
            <w:r>
              <w:rPr>
                <w:rFonts w:hint="default" w:ascii="Times New Roman" w:hAnsi="Times New Roman" w:cs="Times New Roman"/>
                <w:color w:val="000000" w:themeColor="text1"/>
                <w:sz w:val="24"/>
                <w14:textFill>
                  <w14:solidFill>
                    <w14:schemeClr w14:val="tx1"/>
                  </w14:solidFill>
                </w14:textFill>
              </w:rPr>
              <w:t>内，对周边环境影响较小。</w:t>
            </w:r>
          </w:p>
          <w:p w14:paraId="7915B8C4">
            <w:pPr>
              <w:pStyle w:val="171"/>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项目建设过程中采取了防渗措施，可有效防止风险物质下渗进入地下水，通过加强定期检查消除污染隐患；发现有污染物泄漏或渗漏，及时修补，可将风险控制在</w:t>
            </w:r>
            <w:r>
              <w:rPr>
                <w:rFonts w:hint="default" w:ascii="Times New Roman" w:hAnsi="Times New Roman" w:cs="Times New Roman"/>
                <w:color w:val="000000" w:themeColor="text1"/>
                <w:lang w:eastAsia="zh-CN"/>
                <w14:textFill>
                  <w14:solidFill>
                    <w14:schemeClr w14:val="tx1"/>
                  </w14:solidFill>
                </w14:textFill>
              </w:rPr>
              <w:t>厂区范围</w:t>
            </w:r>
            <w:r>
              <w:rPr>
                <w:rFonts w:hint="default" w:ascii="Times New Roman" w:hAnsi="Times New Roman" w:cs="Times New Roman"/>
                <w:color w:val="000000" w:themeColor="text1"/>
                <w14:textFill>
                  <w14:solidFill>
                    <w14:schemeClr w14:val="tx1"/>
                  </w14:solidFill>
                </w14:textFill>
              </w:rPr>
              <w:t>内，对周边土壤、地下水环境影响较小。</w:t>
            </w:r>
            <w:r>
              <w:rPr>
                <w:rFonts w:hint="default" w:ascii="Times New Roman" w:hAnsi="Times New Roman" w:eastAsia="宋体" w:cs="Times New Roman"/>
                <w:color w:val="000000" w:themeColor="text1"/>
                <w:sz w:val="24"/>
                <w:lang w:val="en-US" w:eastAsia="zh-CN"/>
                <w14:textFill>
                  <w14:solidFill>
                    <w14:schemeClr w14:val="tx1"/>
                  </w14:solidFill>
                </w14:textFill>
              </w:rPr>
              <w:t>因此本项目的建设运行对土壤、地下水影响可控的。</w:t>
            </w:r>
          </w:p>
          <w:p w14:paraId="33327531">
            <w:pPr>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6</w:t>
            </w:r>
            <w:r>
              <w:rPr>
                <w:rFonts w:hint="default" w:ascii="Times New Roman" w:hAnsi="Times New Roman" w:cs="Times New Roman"/>
                <w:b/>
                <w:bCs/>
                <w:color w:val="000000" w:themeColor="text1"/>
                <w:sz w:val="24"/>
                <w14:textFill>
                  <w14:solidFill>
                    <w14:schemeClr w14:val="tx1"/>
                  </w14:solidFill>
                </w14:textFill>
              </w:rPr>
              <w:t>、环境风险分析</w:t>
            </w:r>
          </w:p>
          <w:p w14:paraId="656B4396">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按照《建设项目环境风险评价技术导则》（HJ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14:paraId="15DF7114">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物质环境急性损害防控为目标，对建设项目的环境风险进行分析、预测和评估，提出环境风险预防、控制、减缓措施，明确环境风险监控及应急要求，为建设项目环境风险防控提供科学依据。</w:t>
            </w:r>
          </w:p>
          <w:p w14:paraId="6446977B">
            <w:pPr>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（1）环境风险识别</w:t>
            </w:r>
          </w:p>
          <w:p w14:paraId="4881AAB3">
            <w:pPr>
              <w:spacing w:line="360" w:lineRule="auto"/>
              <w:ind w:firstLine="480" w:firstLineChars="200"/>
              <w:rPr>
                <w:rFonts w:hint="default" w:ascii="Times New Roman" w:hAnsi="Times New Roman" w:cs="Times New Roman"/>
                <w:color w:val="000000" w:themeColor="text1"/>
                <w:kern w:val="24"/>
                <w:sz w:val="24"/>
                <w14:textFill>
                  <w14:solidFill>
                    <w14:schemeClr w14:val="tx1"/>
                  </w14:solidFill>
                </w14:textFill>
              </w:rPr>
            </w:pPr>
            <w:r>
              <w:rPr>
                <w:rFonts w:hint="default" w:ascii="Times New Roman" w:hAnsi="Times New Roman" w:cs="Times New Roman"/>
                <w:color w:val="000000" w:themeColor="text1"/>
                <w:kern w:val="24"/>
                <w:sz w:val="24"/>
                <w14:textFill>
                  <w14:solidFill>
                    <w14:schemeClr w14:val="tx1"/>
                  </w14:solidFill>
                </w14:textFill>
              </w:rPr>
              <w:t>项目生产中使用的原辅料、生产中产污及产品对照《建设项目环境风险评价技术导则》（HJ169-2018）附录B核查。</w:t>
            </w:r>
          </w:p>
          <w:p w14:paraId="293A81A1">
            <w:pPr>
              <w:spacing w:line="360" w:lineRule="auto"/>
              <w:ind w:firstLine="480" w:firstLineChars="200"/>
              <w:rPr>
                <w:rFonts w:hint="default" w:ascii="Times New Roman" w:hAnsi="Times New Roman" w:eastAsia="宋体" w:cs="Times New Roman"/>
                <w:color w:val="000000" w:themeColor="text1"/>
                <w:kern w:val="24"/>
                <w:sz w:val="24"/>
                <w:lang w:eastAsia="zh-CN"/>
                <w14:textFill>
                  <w14:solidFill>
                    <w14:schemeClr w14:val="tx1"/>
                  </w14:solidFill>
                </w14:textFill>
              </w:rPr>
            </w:pPr>
            <w:r>
              <w:rPr>
                <w:rFonts w:hint="default" w:ascii="Times New Roman" w:hAnsi="Times New Roman" w:cs="Times New Roman"/>
                <w:color w:val="000000" w:themeColor="text1"/>
                <w:kern w:val="24"/>
                <w:sz w:val="24"/>
                <w14:textFill>
                  <w14:solidFill>
                    <w14:schemeClr w14:val="tx1"/>
                  </w14:solidFill>
                </w14:textFill>
              </w:rPr>
              <w:t>项目涉及风险物质为</w:t>
            </w:r>
            <w:r>
              <w:rPr>
                <w:rFonts w:hint="default" w:ascii="Times New Roman" w:hAnsi="Times New Roman" w:cs="Times New Roman"/>
                <w:color w:val="000000" w:themeColor="text1"/>
                <w:kern w:val="24"/>
                <w:sz w:val="24"/>
                <w:lang w:eastAsia="zh-CN"/>
                <w14:textFill>
                  <w14:solidFill>
                    <w14:schemeClr w14:val="tx1"/>
                  </w14:solidFill>
                </w14:textFill>
              </w:rPr>
              <w:t>废机油</w:t>
            </w:r>
            <w:r>
              <w:rPr>
                <w:rFonts w:hint="eastAsia" w:ascii="Times New Roman" w:hAnsi="Times New Roman" w:cs="Times New Roman"/>
                <w:color w:val="000000" w:themeColor="text1"/>
                <w:kern w:val="24"/>
                <w:sz w:val="24"/>
                <w:lang w:eastAsia="zh-CN"/>
                <w14:textFill>
                  <w14:solidFill>
                    <w14:schemeClr w14:val="tx1"/>
                  </w14:solidFill>
                </w14:textFill>
              </w:rPr>
              <w:t>、废活性炭</w:t>
            </w:r>
            <w:r>
              <w:rPr>
                <w:rFonts w:hint="eastAsia" w:cs="Times New Roman"/>
                <w:color w:val="000000" w:themeColor="text1"/>
                <w:kern w:val="24"/>
                <w:sz w:val="24"/>
                <w:lang w:eastAsia="zh-CN"/>
                <w14:textFill>
                  <w14:solidFill>
                    <w14:schemeClr w14:val="tx1"/>
                  </w14:solidFill>
                </w14:textFill>
              </w:rPr>
              <w:t>、次氯酸钠</w:t>
            </w:r>
            <w:r>
              <w:rPr>
                <w:rFonts w:hint="default" w:ascii="Times New Roman" w:hAnsi="Times New Roman" w:cs="Times New Roman"/>
                <w:color w:val="000000" w:themeColor="text1"/>
                <w:kern w:val="24"/>
                <w:sz w:val="24"/>
                <w:lang w:eastAsia="zh-CN"/>
                <w14:textFill>
                  <w14:solidFill>
                    <w14:schemeClr w14:val="tx1"/>
                  </w14:solidFill>
                </w14:textFill>
              </w:rPr>
              <w:t>。</w:t>
            </w:r>
          </w:p>
          <w:p w14:paraId="39D7C92E">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废机油</w:t>
            </w:r>
            <w:r>
              <w:rPr>
                <w:rFonts w:hint="default" w:ascii="Times New Roman" w:hAnsi="Times New Roman" w:cs="Times New Roman"/>
                <w:color w:val="000000" w:themeColor="text1"/>
                <w:sz w:val="24"/>
                <w14:textFill>
                  <w14:solidFill>
                    <w14:schemeClr w14:val="tx1"/>
                  </w14:solidFill>
                </w14:textFill>
              </w:rPr>
              <w:t>产生量为0.</w:t>
            </w:r>
            <w:r>
              <w:rPr>
                <w:rFonts w:hint="eastAsia" w:ascii="Times New Roman" w:hAnsi="Times New Roman" w:cs="Times New Roman"/>
                <w:color w:val="000000" w:themeColor="text1"/>
                <w:sz w:val="24"/>
                <w:lang w:val="en-US" w:eastAsia="zh-CN"/>
                <w14:textFill>
                  <w14:solidFill>
                    <w14:schemeClr w14:val="tx1"/>
                  </w14:solidFill>
                </w14:textFill>
              </w:rPr>
              <w:t>05</w:t>
            </w:r>
            <w:r>
              <w:rPr>
                <w:rFonts w:hint="default" w:ascii="Times New Roman" w:hAnsi="Times New Roman" w:cs="Times New Roman"/>
                <w:color w:val="000000" w:themeColor="text1"/>
                <w:sz w:val="24"/>
                <w14:textFill>
                  <w14:solidFill>
                    <w14:schemeClr w14:val="tx1"/>
                  </w14:solidFill>
                </w14:textFill>
              </w:rPr>
              <w:t>t/a。本项目设置5m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eastAsia" w:cs="Times New Roman"/>
                <w:color w:val="000000" w:themeColor="text1"/>
                <w:sz w:val="24"/>
                <w:lang w:eastAsia="zh-CN"/>
                <w14:textFill>
                  <w14:solidFill>
                    <w14:schemeClr w14:val="tx1"/>
                  </w14:solidFill>
                </w14:textFill>
              </w:rPr>
              <w:t>危废贮存库</w:t>
            </w:r>
            <w:r>
              <w:rPr>
                <w:rFonts w:hint="default" w:ascii="Times New Roman" w:hAnsi="Times New Roman" w:cs="Times New Roman"/>
                <w:color w:val="000000" w:themeColor="text1"/>
                <w:sz w:val="24"/>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危废贮存库</w:t>
            </w:r>
            <w:r>
              <w:rPr>
                <w:rFonts w:hint="default" w:ascii="Times New Roman" w:hAnsi="Times New Roman" w:cs="Times New Roman"/>
                <w:color w:val="000000" w:themeColor="text1"/>
                <w:sz w:val="24"/>
                <w14:textFill>
                  <w14:solidFill>
                    <w14:schemeClr w14:val="tx1"/>
                  </w14:solidFill>
                </w14:textFill>
              </w:rPr>
              <w:t>内设1个</w:t>
            </w:r>
            <w:r>
              <w:rPr>
                <w:rFonts w:hint="default" w:ascii="Times New Roman" w:hAnsi="Times New Roman" w:cs="Times New Roman"/>
                <w:color w:val="000000" w:themeColor="text1"/>
                <w:sz w:val="24"/>
                <w:lang w:eastAsia="zh-CN"/>
                <w14:textFill>
                  <w14:solidFill>
                    <w14:schemeClr w14:val="tx1"/>
                  </w14:solidFill>
                </w14:textFill>
              </w:rPr>
              <w:t>废机油</w:t>
            </w:r>
            <w:r>
              <w:rPr>
                <w:rFonts w:hint="default" w:ascii="Times New Roman" w:hAnsi="Times New Roman" w:cs="Times New Roman"/>
                <w:color w:val="000000" w:themeColor="text1"/>
                <w:sz w:val="24"/>
                <w14:textFill>
                  <w14:solidFill>
                    <w14:schemeClr w14:val="tx1"/>
                  </w14:solidFill>
                </w14:textFill>
              </w:rPr>
              <w:t>收集桶，收集桶容积为200L，</w:t>
            </w:r>
            <w:r>
              <w:rPr>
                <w:rFonts w:hint="default" w:ascii="Times New Roman" w:hAnsi="Times New Roman" w:cs="Times New Roman"/>
                <w:color w:val="000000" w:themeColor="text1"/>
                <w:sz w:val="24"/>
                <w:lang w:eastAsia="zh-CN"/>
                <w14:textFill>
                  <w14:solidFill>
                    <w14:schemeClr w14:val="tx1"/>
                  </w14:solidFill>
                </w14:textFill>
              </w:rPr>
              <w:t>废机油</w:t>
            </w:r>
            <w:r>
              <w:rPr>
                <w:rFonts w:hint="default" w:ascii="Times New Roman" w:hAnsi="Times New Roman" w:cs="Times New Roman"/>
                <w:color w:val="000000" w:themeColor="text1"/>
                <w:sz w:val="24"/>
                <w14:textFill>
                  <w14:solidFill>
                    <w14:schemeClr w14:val="tx1"/>
                  </w14:solidFill>
                </w14:textFill>
              </w:rPr>
              <w:t>密度约0.9g/ml，即收集桶能够收集约0.18t废油</w:t>
            </w:r>
            <w:r>
              <w:rPr>
                <w:rFonts w:hint="default" w:ascii="Times New Roman" w:hAnsi="Times New Roman" w:cs="Times New Roman"/>
                <w:color w:val="000000" w:themeColor="text1"/>
                <w:sz w:val="24"/>
                <w:lang w:eastAsia="zh-CN"/>
                <w14:textFill>
                  <w14:solidFill>
                    <w14:schemeClr w14:val="tx1"/>
                  </w14:solidFill>
                </w14:textFill>
              </w:rPr>
              <w:t>，收集桶能够收集废机油，最大存储量为</w:t>
            </w:r>
            <w:r>
              <w:rPr>
                <w:rFonts w:hint="default" w:ascii="Times New Roman" w:hAnsi="Times New Roman" w:cs="Times New Roman"/>
                <w:color w:val="000000" w:themeColor="text1"/>
                <w:sz w:val="24"/>
                <w:lang w:val="en-US" w:eastAsia="zh-CN"/>
                <w14:textFill>
                  <w14:solidFill>
                    <w14:schemeClr w14:val="tx1"/>
                  </w14:solidFill>
                </w14:textFill>
              </w:rPr>
              <w:t>0.</w:t>
            </w:r>
            <w:r>
              <w:rPr>
                <w:rFonts w:hint="eastAsia" w:ascii="Times New Roman" w:hAnsi="Times New Roman" w:cs="Times New Roman"/>
                <w:color w:val="000000" w:themeColor="text1"/>
                <w:sz w:val="24"/>
                <w:lang w:val="en-US" w:eastAsia="zh-CN"/>
                <w14:textFill>
                  <w14:solidFill>
                    <w14:schemeClr w14:val="tx1"/>
                  </w14:solidFill>
                </w14:textFill>
              </w:rPr>
              <w:t>05</w:t>
            </w:r>
            <w:r>
              <w:rPr>
                <w:rFonts w:hint="default" w:ascii="Times New Roman" w:hAnsi="Times New Roman" w:cs="Times New Roman"/>
                <w:color w:val="000000" w:themeColor="text1"/>
                <w:sz w:val="24"/>
                <w:lang w:val="en-US" w:eastAsia="zh-CN"/>
                <w14:textFill>
                  <w14:solidFill>
                    <w14:schemeClr w14:val="tx1"/>
                  </w14:solidFill>
                </w14:textFill>
              </w:rPr>
              <w:t>t</w:t>
            </w:r>
            <w:r>
              <w:rPr>
                <w:rFonts w:hint="default" w:ascii="Times New Roman" w:hAnsi="Times New Roman" w:cs="Times New Roman"/>
                <w:color w:val="000000" w:themeColor="text1"/>
                <w:sz w:val="24"/>
                <w14:textFill>
                  <w14:solidFill>
                    <w14:schemeClr w14:val="tx1"/>
                  </w14:solidFill>
                </w14:textFill>
              </w:rPr>
              <w:t>。</w:t>
            </w:r>
          </w:p>
          <w:p w14:paraId="0F3B7ECB">
            <w:pPr>
              <w:spacing w:line="360" w:lineRule="auto"/>
              <w:ind w:firstLine="480" w:firstLineChars="200"/>
              <w:rPr>
                <w:rFonts w:hint="default" w:ascii="Times New Roman" w:hAnsi="Times New Roman" w:eastAsia="宋体" w:cs="Times New Roman"/>
                <w:color w:val="000000" w:themeColor="text1"/>
                <w:kern w:val="24"/>
                <w:sz w:val="24"/>
                <w:lang w:val="en-US" w:eastAsia="zh-CN"/>
                <w14:textFill>
                  <w14:solidFill>
                    <w14:schemeClr w14:val="tx1"/>
                  </w14:solidFill>
                </w14:textFill>
              </w:rPr>
            </w:pPr>
            <w:r>
              <w:rPr>
                <w:rFonts w:hint="eastAsia" w:cs="Times New Roman"/>
                <w:color w:val="000000" w:themeColor="text1"/>
                <w:kern w:val="24"/>
                <w:sz w:val="24"/>
                <w:lang w:eastAsia="zh-CN"/>
                <w14:textFill>
                  <w14:solidFill>
                    <w14:schemeClr w14:val="tx1"/>
                  </w14:solidFill>
                </w14:textFill>
              </w:rPr>
              <w:t>根据工程分析，本项目次氯酸钠用量为</w:t>
            </w:r>
            <w:r>
              <w:rPr>
                <w:rFonts w:hint="eastAsia" w:cs="Times New Roman"/>
                <w:color w:val="000000" w:themeColor="text1"/>
                <w:kern w:val="24"/>
                <w:sz w:val="24"/>
                <w:lang w:val="en-US" w:eastAsia="zh-CN"/>
                <w14:textFill>
                  <w14:solidFill>
                    <w14:schemeClr w14:val="tx1"/>
                  </w14:solidFill>
                </w14:textFill>
              </w:rPr>
              <w:t>4kg/a。</w:t>
            </w:r>
          </w:p>
          <w:p w14:paraId="4A65585E">
            <w:pPr>
              <w:spacing w:line="360" w:lineRule="auto"/>
              <w:ind w:firstLine="480" w:firstLineChars="200"/>
              <w:rPr>
                <w:rFonts w:hint="default" w:ascii="Times New Roman" w:hAnsi="Times New Roman" w:cs="Times New Roman"/>
                <w:color w:val="000000" w:themeColor="text1"/>
                <w:kern w:val="24"/>
                <w:sz w:val="24"/>
                <w14:textFill>
                  <w14:solidFill>
                    <w14:schemeClr w14:val="tx1"/>
                  </w14:solidFill>
                </w14:textFill>
              </w:rPr>
            </w:pPr>
            <w:r>
              <w:rPr>
                <w:rFonts w:hint="default" w:ascii="Times New Roman" w:hAnsi="Times New Roman" w:cs="Times New Roman"/>
                <w:color w:val="000000" w:themeColor="text1"/>
                <w:kern w:val="24"/>
                <w:sz w:val="24"/>
                <w14:textFill>
                  <w14:solidFill>
                    <w14:schemeClr w14:val="tx1"/>
                  </w14:solidFill>
                </w14:textFill>
              </w:rPr>
              <w:t>根据此原则，对项目区内各环节涉及的主要物质进行识别，识别过程及结果见下表。</w:t>
            </w:r>
          </w:p>
          <w:p w14:paraId="7B4357FF">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w:t>
            </w:r>
            <w:r>
              <w:rPr>
                <w:rFonts w:hint="default" w:ascii="Times New Roman" w:hAnsi="Times New Roman" w:cs="Times New Roman"/>
                <w:b/>
                <w:bCs/>
                <w:color w:val="000000" w:themeColor="text1"/>
                <w:sz w:val="21"/>
                <w:szCs w:val="21"/>
                <w:lang w:val="en-US" w:eastAsia="zh-CN"/>
                <w14:textFill>
                  <w14:solidFill>
                    <w14:schemeClr w14:val="tx1"/>
                  </w14:solidFill>
                </w14:textFill>
              </w:rPr>
              <w:t>2</w:t>
            </w:r>
            <w:r>
              <w:rPr>
                <w:rFonts w:hint="eastAsia" w:ascii="Times New Roman" w:hAnsi="Times New Roman" w:cs="Times New Roman"/>
                <w:b/>
                <w:bCs/>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b/>
                <w:bCs/>
                <w:color w:val="000000" w:themeColor="text1"/>
                <w:sz w:val="21"/>
                <w:szCs w:val="21"/>
                <w14:textFill>
                  <w14:solidFill>
                    <w14:schemeClr w14:val="tx1"/>
                  </w14:solidFill>
                </w14:textFill>
              </w:rPr>
              <w:t xml:space="preserve"> 环境风险物质识别表</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920"/>
              <w:gridCol w:w="1680"/>
              <w:gridCol w:w="960"/>
              <w:gridCol w:w="2100"/>
            </w:tblGrid>
            <w:tr w14:paraId="4B28B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9" w:type="pct"/>
                  <w:tcBorders>
                    <w:top w:val="single" w:color="auto" w:sz="4" w:space="0"/>
                    <w:left w:val="single" w:color="auto" w:sz="4" w:space="0"/>
                    <w:bottom w:val="single" w:color="auto" w:sz="4" w:space="0"/>
                    <w:right w:val="single" w:color="auto" w:sz="4" w:space="0"/>
                  </w:tcBorders>
                  <w:vAlign w:val="center"/>
                </w:tcPr>
                <w:p w14:paraId="623B5F00">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物质名称</w:t>
                  </w:r>
                </w:p>
              </w:tc>
              <w:tc>
                <w:tcPr>
                  <w:tcW w:w="1170" w:type="pct"/>
                  <w:tcBorders>
                    <w:top w:val="single" w:color="auto" w:sz="4" w:space="0"/>
                    <w:left w:val="single" w:color="auto" w:sz="4" w:space="0"/>
                    <w:bottom w:val="single" w:color="auto" w:sz="4" w:space="0"/>
                    <w:right w:val="single" w:color="auto" w:sz="4" w:space="0"/>
                  </w:tcBorders>
                  <w:vAlign w:val="center"/>
                </w:tcPr>
                <w:p w14:paraId="44514EBE">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是否为（HJ169-2018）附录B中风险物质</w:t>
                  </w:r>
                </w:p>
              </w:tc>
              <w:tc>
                <w:tcPr>
                  <w:tcW w:w="1024" w:type="pct"/>
                  <w:tcBorders>
                    <w:top w:val="single" w:color="auto" w:sz="4" w:space="0"/>
                    <w:left w:val="single" w:color="auto" w:sz="4" w:space="0"/>
                    <w:bottom w:val="single" w:color="auto" w:sz="4" w:space="0"/>
                    <w:right w:val="single" w:color="auto" w:sz="4" w:space="0"/>
                  </w:tcBorders>
                  <w:vAlign w:val="center"/>
                </w:tcPr>
                <w:p w14:paraId="2EE5211C">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存放位置</w:t>
                  </w:r>
                </w:p>
              </w:tc>
              <w:tc>
                <w:tcPr>
                  <w:tcW w:w="585" w:type="pct"/>
                  <w:tcBorders>
                    <w:top w:val="single" w:color="auto" w:sz="4" w:space="0"/>
                    <w:left w:val="single" w:color="auto" w:sz="4" w:space="0"/>
                    <w:bottom w:val="single" w:color="auto" w:sz="4" w:space="0"/>
                    <w:right w:val="single" w:color="auto" w:sz="4" w:space="0"/>
                  </w:tcBorders>
                  <w:vAlign w:val="center"/>
                </w:tcPr>
                <w:p w14:paraId="5FC6F6C8">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CAS号</w:t>
                  </w:r>
                </w:p>
              </w:tc>
              <w:tc>
                <w:tcPr>
                  <w:tcW w:w="1280" w:type="pct"/>
                  <w:tcBorders>
                    <w:top w:val="single" w:color="auto" w:sz="4" w:space="0"/>
                    <w:left w:val="single" w:color="auto" w:sz="4" w:space="0"/>
                    <w:bottom w:val="single" w:color="auto" w:sz="4" w:space="0"/>
                    <w:right w:val="single" w:color="auto" w:sz="4" w:space="0"/>
                  </w:tcBorders>
                  <w:vAlign w:val="center"/>
                </w:tcPr>
                <w:p w14:paraId="42751436">
                  <w:pPr>
                    <w:pStyle w:val="17"/>
                    <w:keepNext w:val="0"/>
                    <w:keepLines/>
                    <w:pageBreakBefore w:val="0"/>
                    <w:kinsoku/>
                    <w:overflowPunct/>
                    <w:bidi w:val="0"/>
                    <w:adjustRightInd/>
                    <w:ind w:left="0" w:leftChars="0" w:firstLine="0" w:firstLineChars="0"/>
                    <w:jc w:val="center"/>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eastAsia="zh-CN"/>
                      <w14:textFill>
                        <w14:solidFill>
                          <w14:schemeClr w14:val="tx1"/>
                        </w14:solidFill>
                      </w14:textFill>
                    </w:rPr>
                    <w:t>备注</w:t>
                  </w:r>
                </w:p>
              </w:tc>
            </w:tr>
            <w:tr w14:paraId="66C2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9" w:type="pct"/>
                  <w:tcBorders>
                    <w:top w:val="single" w:color="auto" w:sz="4" w:space="0"/>
                    <w:left w:val="single" w:color="auto" w:sz="4" w:space="0"/>
                    <w:bottom w:val="single" w:color="auto" w:sz="4" w:space="0"/>
                    <w:right w:val="single" w:color="auto" w:sz="4" w:space="0"/>
                  </w:tcBorders>
                  <w:vAlign w:val="center"/>
                </w:tcPr>
                <w:p w14:paraId="51862CFA">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cs="Times New Roman"/>
                      <w:b w:val="0"/>
                      <w:bCs w:val="0"/>
                      <w:color w:val="000000" w:themeColor="text1"/>
                      <w:sz w:val="21"/>
                      <w:szCs w:val="21"/>
                      <w:lang w:eastAsia="zh-CN"/>
                      <w14:textFill>
                        <w14:solidFill>
                          <w14:schemeClr w14:val="tx1"/>
                        </w14:solidFill>
                      </w14:textFill>
                    </w:rPr>
                    <w:t>废机油</w:t>
                  </w:r>
                </w:p>
              </w:tc>
              <w:tc>
                <w:tcPr>
                  <w:tcW w:w="1170" w:type="pct"/>
                  <w:tcBorders>
                    <w:top w:val="single" w:color="auto" w:sz="4" w:space="0"/>
                    <w:left w:val="single" w:color="auto" w:sz="4" w:space="0"/>
                    <w:bottom w:val="single" w:color="auto" w:sz="4" w:space="0"/>
                    <w:right w:val="single" w:color="auto" w:sz="4" w:space="0"/>
                  </w:tcBorders>
                  <w:vAlign w:val="center"/>
                </w:tcPr>
                <w:p w14:paraId="67AC24BE">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是</w:t>
                  </w:r>
                </w:p>
              </w:tc>
              <w:tc>
                <w:tcPr>
                  <w:tcW w:w="1024" w:type="pct"/>
                  <w:tcBorders>
                    <w:top w:val="single" w:color="auto" w:sz="4" w:space="0"/>
                    <w:left w:val="single" w:color="auto" w:sz="4" w:space="0"/>
                    <w:bottom w:val="single" w:color="auto" w:sz="4" w:space="0"/>
                    <w:right w:val="single" w:color="auto" w:sz="4" w:space="0"/>
                  </w:tcBorders>
                  <w:vAlign w:val="center"/>
                </w:tcPr>
                <w:p w14:paraId="642D0714">
                  <w:pPr>
                    <w:pStyle w:val="17"/>
                    <w:keepNext w:val="0"/>
                    <w:keepLines/>
                    <w:pageBreakBefore w:val="0"/>
                    <w:kinsoku/>
                    <w:overflowPunct/>
                    <w:bidi w:val="0"/>
                    <w:adjustRightInd/>
                    <w:ind w:left="0" w:leftChars="0" w:firstLine="0" w:firstLineChars="0"/>
                    <w:jc w:val="cente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cs="Times New Roman"/>
                      <w:b w:val="0"/>
                      <w:bCs w:val="0"/>
                      <w:color w:val="000000" w:themeColor="text1"/>
                      <w:sz w:val="21"/>
                      <w:szCs w:val="21"/>
                      <w:lang w:eastAsia="zh-CN"/>
                      <w14:textFill>
                        <w14:solidFill>
                          <w14:schemeClr w14:val="tx1"/>
                        </w14:solidFill>
                      </w14:textFill>
                    </w:rPr>
                    <w:t>危废贮存库</w:t>
                  </w:r>
                </w:p>
              </w:tc>
              <w:tc>
                <w:tcPr>
                  <w:tcW w:w="585" w:type="pct"/>
                  <w:tcBorders>
                    <w:top w:val="single" w:color="auto" w:sz="4" w:space="0"/>
                    <w:left w:val="single" w:color="auto" w:sz="4" w:space="0"/>
                    <w:bottom w:val="single" w:color="auto" w:sz="4" w:space="0"/>
                    <w:right w:val="single" w:color="auto" w:sz="4" w:space="0"/>
                  </w:tcBorders>
                  <w:vAlign w:val="center"/>
                </w:tcPr>
                <w:p w14:paraId="77923D14">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1280" w:type="pct"/>
                  <w:tcBorders>
                    <w:top w:val="single" w:color="auto" w:sz="4" w:space="0"/>
                    <w:left w:val="single" w:color="auto" w:sz="4" w:space="0"/>
                    <w:bottom w:val="single" w:color="auto" w:sz="4" w:space="0"/>
                    <w:right w:val="single" w:color="auto" w:sz="4" w:space="0"/>
                  </w:tcBorders>
                  <w:vAlign w:val="center"/>
                </w:tcPr>
                <w:p w14:paraId="58A14C43">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r>
            <w:tr w14:paraId="03F92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939" w:type="pct"/>
                  <w:tcBorders>
                    <w:top w:val="single" w:color="auto" w:sz="4" w:space="0"/>
                    <w:left w:val="single" w:color="auto" w:sz="4" w:space="0"/>
                    <w:bottom w:val="single" w:color="auto" w:sz="4" w:space="0"/>
                    <w:right w:val="single" w:color="auto" w:sz="4" w:space="0"/>
                  </w:tcBorders>
                  <w:vAlign w:val="center"/>
                </w:tcPr>
                <w:p w14:paraId="0251D616">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废活性炭</w:t>
                  </w:r>
                </w:p>
              </w:tc>
              <w:tc>
                <w:tcPr>
                  <w:tcW w:w="1170" w:type="pct"/>
                  <w:tcBorders>
                    <w:top w:val="single" w:color="auto" w:sz="4" w:space="0"/>
                    <w:left w:val="single" w:color="auto" w:sz="4" w:space="0"/>
                    <w:bottom w:val="single" w:color="auto" w:sz="4" w:space="0"/>
                    <w:right w:val="single" w:color="auto" w:sz="4" w:space="0"/>
                  </w:tcBorders>
                  <w:vAlign w:val="center"/>
                </w:tcPr>
                <w:p w14:paraId="1076B06A">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是</w:t>
                  </w:r>
                </w:p>
              </w:tc>
              <w:tc>
                <w:tcPr>
                  <w:tcW w:w="1024" w:type="pct"/>
                  <w:tcBorders>
                    <w:top w:val="single" w:color="auto" w:sz="4" w:space="0"/>
                    <w:left w:val="single" w:color="auto" w:sz="4" w:space="0"/>
                    <w:bottom w:val="single" w:color="auto" w:sz="4" w:space="0"/>
                    <w:right w:val="single" w:color="auto" w:sz="4" w:space="0"/>
                  </w:tcBorders>
                  <w:vAlign w:val="center"/>
                </w:tcPr>
                <w:p w14:paraId="5A0C3FCD">
                  <w:pPr>
                    <w:pStyle w:val="17"/>
                    <w:keepNext w:val="0"/>
                    <w:keepLines/>
                    <w:pageBreakBefore w:val="0"/>
                    <w:kinsoku/>
                    <w:overflowPunct/>
                    <w:bidi w:val="0"/>
                    <w:adjustRightInd/>
                    <w:ind w:left="0" w:leftChars="0" w:firstLine="0" w:firstLineChars="0"/>
                    <w:jc w:val="cente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cs="Times New Roman"/>
                      <w:b w:val="0"/>
                      <w:bCs w:val="0"/>
                      <w:color w:val="000000" w:themeColor="text1"/>
                      <w:sz w:val="21"/>
                      <w:szCs w:val="21"/>
                      <w:lang w:eastAsia="zh-CN"/>
                      <w14:textFill>
                        <w14:solidFill>
                          <w14:schemeClr w14:val="tx1"/>
                        </w14:solidFill>
                      </w14:textFill>
                    </w:rPr>
                    <w:t>危废贮存库</w:t>
                  </w:r>
                </w:p>
              </w:tc>
              <w:tc>
                <w:tcPr>
                  <w:tcW w:w="585" w:type="pct"/>
                  <w:tcBorders>
                    <w:top w:val="single" w:color="auto" w:sz="4" w:space="0"/>
                    <w:left w:val="single" w:color="auto" w:sz="4" w:space="0"/>
                    <w:bottom w:val="single" w:color="auto" w:sz="4" w:space="0"/>
                    <w:right w:val="single" w:color="auto" w:sz="4" w:space="0"/>
                  </w:tcBorders>
                  <w:vAlign w:val="center"/>
                </w:tcPr>
                <w:p w14:paraId="224A6AF3">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1280" w:type="pct"/>
                  <w:tcBorders>
                    <w:top w:val="single" w:color="auto" w:sz="4" w:space="0"/>
                    <w:left w:val="single" w:color="auto" w:sz="4" w:space="0"/>
                    <w:bottom w:val="single" w:color="auto" w:sz="4" w:space="0"/>
                    <w:right w:val="single" w:color="auto" w:sz="4" w:space="0"/>
                  </w:tcBorders>
                  <w:vAlign w:val="center"/>
                </w:tcPr>
                <w:p w14:paraId="461174F4">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废活性炭吸附的甲苯、乙苯、苯乙烯属于风险物质</w:t>
                  </w:r>
                </w:p>
              </w:tc>
            </w:tr>
            <w:tr w14:paraId="47A50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939" w:type="pct"/>
                  <w:tcBorders>
                    <w:top w:val="single" w:color="auto" w:sz="4" w:space="0"/>
                    <w:left w:val="single" w:color="auto" w:sz="4" w:space="0"/>
                    <w:bottom w:val="single" w:color="auto" w:sz="4" w:space="0"/>
                    <w:right w:val="single" w:color="auto" w:sz="4" w:space="0"/>
                  </w:tcBorders>
                  <w:vAlign w:val="center"/>
                </w:tcPr>
                <w:p w14:paraId="203A810C">
                  <w:pPr>
                    <w:pStyle w:val="17"/>
                    <w:keepNext w:val="0"/>
                    <w:keepLines/>
                    <w:pageBreakBefore w:val="0"/>
                    <w:kinsoku/>
                    <w:overflowPunct/>
                    <w:bidi w:val="0"/>
                    <w:adjustRightInd/>
                    <w:ind w:left="0" w:leftChars="0" w:firstLine="0" w:firstLineChars="0"/>
                    <w:jc w:val="cente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cs="Times New Roman"/>
                      <w:b w:val="0"/>
                      <w:bCs w:val="0"/>
                      <w:color w:val="000000" w:themeColor="text1"/>
                      <w:sz w:val="21"/>
                      <w:szCs w:val="21"/>
                      <w:lang w:eastAsia="zh-CN"/>
                      <w14:textFill>
                        <w14:solidFill>
                          <w14:schemeClr w14:val="tx1"/>
                        </w14:solidFill>
                      </w14:textFill>
                    </w:rPr>
                    <w:t>次氯酸钠</w:t>
                  </w:r>
                </w:p>
              </w:tc>
              <w:tc>
                <w:tcPr>
                  <w:tcW w:w="1170" w:type="pct"/>
                  <w:tcBorders>
                    <w:top w:val="single" w:color="auto" w:sz="4" w:space="0"/>
                    <w:left w:val="single" w:color="auto" w:sz="4" w:space="0"/>
                    <w:bottom w:val="single" w:color="auto" w:sz="4" w:space="0"/>
                    <w:right w:val="single" w:color="auto" w:sz="4" w:space="0"/>
                  </w:tcBorders>
                  <w:vAlign w:val="center"/>
                </w:tcPr>
                <w:p w14:paraId="0DAD3396">
                  <w:pPr>
                    <w:pStyle w:val="17"/>
                    <w:keepNext w:val="0"/>
                    <w:keepLines/>
                    <w:pageBreakBefore w:val="0"/>
                    <w:kinsoku/>
                    <w:overflowPunct/>
                    <w:bidi w:val="0"/>
                    <w:adjustRightInd/>
                    <w:ind w:left="0" w:leftChars="0" w:firstLine="0" w:firstLineChars="0"/>
                    <w:jc w:val="cente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cs="Times New Roman"/>
                      <w:b w:val="0"/>
                      <w:bCs w:val="0"/>
                      <w:color w:val="000000" w:themeColor="text1"/>
                      <w:sz w:val="21"/>
                      <w:szCs w:val="21"/>
                      <w:lang w:eastAsia="zh-CN"/>
                      <w14:textFill>
                        <w14:solidFill>
                          <w14:schemeClr w14:val="tx1"/>
                        </w14:solidFill>
                      </w14:textFill>
                    </w:rPr>
                    <w:t>是</w:t>
                  </w:r>
                </w:p>
              </w:tc>
              <w:tc>
                <w:tcPr>
                  <w:tcW w:w="1024" w:type="pct"/>
                  <w:tcBorders>
                    <w:top w:val="single" w:color="auto" w:sz="4" w:space="0"/>
                    <w:left w:val="single" w:color="auto" w:sz="4" w:space="0"/>
                    <w:bottom w:val="single" w:color="auto" w:sz="4" w:space="0"/>
                    <w:right w:val="single" w:color="auto" w:sz="4" w:space="0"/>
                  </w:tcBorders>
                  <w:vAlign w:val="center"/>
                </w:tcPr>
                <w:p w14:paraId="6E8AB80C">
                  <w:pPr>
                    <w:pStyle w:val="17"/>
                    <w:keepNext w:val="0"/>
                    <w:keepLines/>
                    <w:pageBreakBefore w:val="0"/>
                    <w:kinsoku/>
                    <w:overflowPunct/>
                    <w:bidi w:val="0"/>
                    <w:adjustRightInd/>
                    <w:ind w:left="0" w:leftChars="0" w:firstLine="0" w:firstLineChars="0"/>
                    <w:jc w:val="center"/>
                    <w:rPr>
                      <w:rFonts w:hint="eastAsia" w:ascii="Times New Roman" w:hAnsi="Times New Roman" w:cs="Times New Roman"/>
                      <w:b w:val="0"/>
                      <w:bCs w:val="0"/>
                      <w:color w:val="000000" w:themeColor="text1"/>
                      <w:sz w:val="21"/>
                      <w:szCs w:val="21"/>
                      <w:lang w:eastAsia="zh-CN"/>
                      <w14:textFill>
                        <w14:solidFill>
                          <w14:schemeClr w14:val="tx1"/>
                        </w14:solidFill>
                      </w14:textFill>
                    </w:rPr>
                  </w:pPr>
                  <w:r>
                    <w:rPr>
                      <w:rFonts w:hint="eastAsia" w:ascii="Times New Roman" w:hAnsi="Times New Roman" w:cs="Times New Roman"/>
                      <w:b w:val="0"/>
                      <w:bCs w:val="0"/>
                      <w:color w:val="000000" w:themeColor="text1"/>
                      <w:sz w:val="21"/>
                      <w:szCs w:val="21"/>
                      <w:lang w:eastAsia="zh-CN"/>
                      <w14:textFill>
                        <w14:solidFill>
                          <w14:schemeClr w14:val="tx1"/>
                        </w14:solidFill>
                      </w14:textFill>
                    </w:rPr>
                    <w:t>生产车间</w:t>
                  </w:r>
                </w:p>
              </w:tc>
              <w:tc>
                <w:tcPr>
                  <w:tcW w:w="585" w:type="pct"/>
                  <w:tcBorders>
                    <w:top w:val="single" w:color="auto" w:sz="4" w:space="0"/>
                    <w:left w:val="single" w:color="auto" w:sz="4" w:space="0"/>
                    <w:bottom w:val="single" w:color="auto" w:sz="4" w:space="0"/>
                    <w:right w:val="single" w:color="auto" w:sz="4" w:space="0"/>
                  </w:tcBorders>
                  <w:vAlign w:val="center"/>
                </w:tcPr>
                <w:p w14:paraId="75E0B9C8">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1280" w:type="pct"/>
                  <w:tcBorders>
                    <w:top w:val="single" w:color="auto" w:sz="4" w:space="0"/>
                    <w:left w:val="single" w:color="auto" w:sz="4" w:space="0"/>
                    <w:bottom w:val="single" w:color="auto" w:sz="4" w:space="0"/>
                    <w:right w:val="single" w:color="auto" w:sz="4" w:space="0"/>
                  </w:tcBorders>
                  <w:vAlign w:val="center"/>
                </w:tcPr>
                <w:p w14:paraId="65E04F52">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w:t>
                  </w:r>
                </w:p>
              </w:tc>
            </w:tr>
          </w:tbl>
          <w:p w14:paraId="1B72B6EC">
            <w:pPr>
              <w:spacing w:line="360" w:lineRule="auto"/>
              <w:ind w:firstLine="482" w:firstLineChars="200"/>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lang w:eastAsia="zh-CN"/>
                <w14:textFill>
                  <w14:solidFill>
                    <w14:schemeClr w14:val="tx1"/>
                  </w14:solidFill>
                </w14:textFill>
              </w:rPr>
              <w:t>）</w:t>
            </w:r>
            <w:r>
              <w:rPr>
                <w:rFonts w:hint="default" w:ascii="Times New Roman" w:hAnsi="Times New Roman" w:cs="Times New Roman"/>
                <w:b/>
                <w:bCs/>
                <w:color w:val="000000" w:themeColor="text1"/>
                <w:sz w:val="24"/>
                <w14:textFill>
                  <w14:solidFill>
                    <w14:schemeClr w14:val="tx1"/>
                  </w14:solidFill>
                </w14:textFill>
              </w:rPr>
              <w:t>风险潜势</w:t>
            </w:r>
          </w:p>
          <w:p w14:paraId="760DEF3B">
            <w:pPr>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根据《建设项目环境风险评价技术导则》（HJ169－2018），</w:t>
            </w:r>
            <w:r>
              <w:rPr>
                <w:rFonts w:hint="default" w:ascii="Times New Roman" w:hAnsi="Times New Roman" w:cs="Times New Roman"/>
                <w:color w:val="000000" w:themeColor="text1"/>
                <w:sz w:val="24"/>
                <w14:textFill>
                  <w14:solidFill>
                    <w14:schemeClr w14:val="tx1"/>
                  </w14:solidFill>
                </w14:textFill>
              </w:rPr>
              <w:t>项目所涉及的每种危险物质在厂界内的最大存在总量与对应临界量的比值为Q，当只涉及一种危险物质时，计算该物质的总量与其临界量比值，当存在多种危险物质时，按下列公式计算Q值：</w:t>
            </w:r>
          </w:p>
          <w:p w14:paraId="2EC0A6F8">
            <w:pPr>
              <w:keepNext w:val="0"/>
              <w:keepLines/>
              <w:pageBreakBefore w:val="0"/>
              <w:kinsoku/>
              <w:overflowPunct/>
              <w:bidi w:val="0"/>
              <w:adjustRightInd/>
              <w:ind w:firstLine="56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position w:val="-16"/>
                <w:sz w:val="28"/>
                <w14:textFill>
                  <w14:solidFill>
                    <w14:schemeClr w14:val="tx1"/>
                  </w14:solidFill>
                </w14:textFill>
              </w:rPr>
              <w:object>
                <v:shape id="_x0000_i1037" o:spt="75" type="#_x0000_t75" style="height:34.65pt;width:104.75pt;" o:ole="t" filled="f" o:preferrelative="t" stroked="f" coordsize="21600,21600">
                  <v:path/>
                  <v:fill on="f" focussize="0,0"/>
                  <v:stroke on="f" joinstyle="miter"/>
                  <v:imagedata r:id="rId51" o:title=""/>
                  <o:lock v:ext="edit" aspectratio="t"/>
                  <w10:wrap type="none"/>
                  <w10:anchorlock/>
                </v:shape>
                <o:OLEObject Type="Embed" ProgID="Equation.KSEE3" ShapeID="_x0000_i1037" DrawAspect="Content" ObjectID="_1468075737" r:id="rId50">
                  <o:LockedField>false</o:LockedField>
                </o:OLEObject>
              </w:object>
            </w:r>
          </w:p>
          <w:p w14:paraId="2D205C92">
            <w:pPr>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式中：q1，q2，…qn—每种危险物质的最大存在总量，t；</w:t>
            </w:r>
          </w:p>
          <w:p w14:paraId="1814031B">
            <w:pPr>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Q1，Q2，…Qn—每种物质的临界量，t。可在HJ169-2018中附录B中查询。</w:t>
            </w:r>
          </w:p>
          <w:p w14:paraId="531271FD">
            <w:pPr>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当Q＜1时，该项目环境风险潜势为Ⅰ。</w:t>
            </w:r>
          </w:p>
          <w:p w14:paraId="6E93A252">
            <w:pPr>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当Q≥1时，将Q值划分为：（1）1≤Q＜10；（2）10≤Q＜100；（3）Q≥100。</w:t>
            </w:r>
          </w:p>
          <w:p w14:paraId="0352D7B6">
            <w:pPr>
              <w:pStyle w:val="17"/>
              <w:keepNext w:val="0"/>
              <w:keepLines/>
              <w:pageBreakBefore w:val="0"/>
              <w:kinsoku/>
              <w:overflowPunct/>
              <w:bidi w:val="0"/>
              <w:adjustRightInd/>
              <w:ind w:left="0" w:leftChars="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w:t>
            </w:r>
            <w:r>
              <w:rPr>
                <w:rFonts w:hint="default" w:ascii="Times New Roman" w:hAnsi="Times New Roman" w:cs="Times New Roman"/>
                <w:b/>
                <w:bCs/>
                <w:color w:val="000000" w:themeColor="text1"/>
                <w:sz w:val="21"/>
                <w:szCs w:val="21"/>
                <w:lang w:val="en-US" w:eastAsia="zh-CN"/>
                <w14:textFill>
                  <w14:solidFill>
                    <w14:schemeClr w14:val="tx1"/>
                  </w14:solidFill>
                </w14:textFill>
              </w:rPr>
              <w:t>2</w:t>
            </w:r>
            <w:r>
              <w:rPr>
                <w:rFonts w:hint="eastAsia" w:ascii="Times New Roman" w:hAnsi="Times New Roman" w:cs="Times New Roman"/>
                <w:b/>
                <w:bCs/>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
                <w:bCs/>
                <w:color w:val="000000" w:themeColor="text1"/>
                <w:sz w:val="21"/>
                <w:szCs w:val="21"/>
                <w14:textFill>
                  <w14:solidFill>
                    <w14:schemeClr w14:val="tx1"/>
                  </w14:solidFill>
                </w14:textFill>
              </w:rPr>
              <w:t xml:space="preserve"> 项目危险物质总量与临界量比值（Q）结果</w:t>
            </w:r>
          </w:p>
          <w:tbl>
            <w:tblPr>
              <w:tblStyle w:val="33"/>
              <w:tblW w:w="48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3"/>
              <w:gridCol w:w="1602"/>
              <w:gridCol w:w="1527"/>
              <w:gridCol w:w="2096"/>
            </w:tblGrid>
            <w:tr w14:paraId="4FE99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1745" w:type="pct"/>
                  <w:tcBorders>
                    <w:top w:val="single" w:color="auto" w:sz="4" w:space="0"/>
                    <w:left w:val="single" w:color="auto" w:sz="4" w:space="0"/>
                    <w:bottom w:val="single" w:color="auto" w:sz="4" w:space="0"/>
                    <w:right w:val="single" w:color="auto" w:sz="4" w:space="0"/>
                  </w:tcBorders>
                  <w:vAlign w:val="center"/>
                </w:tcPr>
                <w:p w14:paraId="7EBE5268">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物质名称</w:t>
                  </w:r>
                </w:p>
              </w:tc>
              <w:tc>
                <w:tcPr>
                  <w:tcW w:w="997" w:type="pct"/>
                  <w:tcBorders>
                    <w:top w:val="single" w:color="auto" w:sz="4" w:space="0"/>
                    <w:left w:val="single" w:color="auto" w:sz="4" w:space="0"/>
                    <w:bottom w:val="single" w:color="auto" w:sz="4" w:space="0"/>
                    <w:right w:val="single" w:color="auto" w:sz="4" w:space="0"/>
                  </w:tcBorders>
                  <w:vAlign w:val="center"/>
                </w:tcPr>
                <w:p w14:paraId="7B8C9DB2">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项目内最大存放量（t）</w:t>
                  </w:r>
                </w:p>
              </w:tc>
              <w:tc>
                <w:tcPr>
                  <w:tcW w:w="951" w:type="pct"/>
                  <w:tcBorders>
                    <w:top w:val="single" w:color="auto" w:sz="4" w:space="0"/>
                    <w:left w:val="single" w:color="auto" w:sz="4" w:space="0"/>
                    <w:bottom w:val="single" w:color="auto" w:sz="4" w:space="0"/>
                    <w:right w:val="single" w:color="auto" w:sz="4" w:space="0"/>
                  </w:tcBorders>
                  <w:vAlign w:val="center"/>
                </w:tcPr>
                <w:p w14:paraId="1803017E">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临界量（t）</w:t>
                  </w:r>
                </w:p>
              </w:tc>
              <w:tc>
                <w:tcPr>
                  <w:tcW w:w="1305" w:type="pct"/>
                  <w:tcBorders>
                    <w:top w:val="single" w:color="auto" w:sz="4" w:space="0"/>
                    <w:left w:val="single" w:color="auto" w:sz="4" w:space="0"/>
                    <w:bottom w:val="single" w:color="auto" w:sz="4" w:space="0"/>
                    <w:right w:val="single" w:color="auto" w:sz="4" w:space="0"/>
                  </w:tcBorders>
                  <w:vAlign w:val="center"/>
                </w:tcPr>
                <w:p w14:paraId="779E3422">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Q</w:t>
                  </w:r>
                </w:p>
              </w:tc>
            </w:tr>
            <w:tr w14:paraId="73C85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45" w:type="pct"/>
                  <w:tcBorders>
                    <w:top w:val="single" w:color="auto" w:sz="4" w:space="0"/>
                    <w:left w:val="single" w:color="auto" w:sz="4" w:space="0"/>
                    <w:bottom w:val="single" w:color="auto" w:sz="4" w:space="0"/>
                    <w:right w:val="single" w:color="auto" w:sz="4" w:space="0"/>
                  </w:tcBorders>
                  <w:vAlign w:val="center"/>
                </w:tcPr>
                <w:p w14:paraId="4C3C5E9B">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cs="Times New Roman"/>
                      <w:b w:val="0"/>
                      <w:bCs w:val="0"/>
                      <w:color w:val="000000" w:themeColor="text1"/>
                      <w:sz w:val="21"/>
                      <w:szCs w:val="21"/>
                      <w:lang w:eastAsia="zh-CN"/>
                      <w14:textFill>
                        <w14:solidFill>
                          <w14:schemeClr w14:val="tx1"/>
                        </w14:solidFill>
                      </w14:textFill>
                    </w:rPr>
                    <w:t>废</w:t>
                  </w:r>
                  <w:r>
                    <w:rPr>
                      <w:rFonts w:hint="default" w:ascii="Times New Roman" w:hAnsi="Times New Roman" w:cs="Times New Roman"/>
                      <w:b w:val="0"/>
                      <w:bCs w:val="0"/>
                      <w:color w:val="000000" w:themeColor="text1"/>
                      <w:sz w:val="21"/>
                      <w:szCs w:val="21"/>
                      <w:lang w:eastAsia="zh-CN"/>
                      <w14:textFill>
                        <w14:solidFill>
                          <w14:schemeClr w14:val="tx1"/>
                        </w14:solidFill>
                      </w14:textFill>
                    </w:rPr>
                    <w:t>机油</w:t>
                  </w:r>
                </w:p>
              </w:tc>
              <w:tc>
                <w:tcPr>
                  <w:tcW w:w="997" w:type="pct"/>
                  <w:tcBorders>
                    <w:top w:val="single" w:color="auto" w:sz="4" w:space="0"/>
                    <w:left w:val="single" w:color="auto" w:sz="4" w:space="0"/>
                    <w:bottom w:val="single" w:color="auto" w:sz="4" w:space="0"/>
                    <w:right w:val="single" w:color="auto" w:sz="4" w:space="0"/>
                  </w:tcBorders>
                  <w:vAlign w:val="center"/>
                </w:tcPr>
                <w:p w14:paraId="0185F923">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0.</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05</w:t>
                  </w:r>
                </w:p>
              </w:tc>
              <w:tc>
                <w:tcPr>
                  <w:tcW w:w="951" w:type="pct"/>
                  <w:tcBorders>
                    <w:top w:val="single" w:color="auto" w:sz="4" w:space="0"/>
                    <w:left w:val="single" w:color="auto" w:sz="4" w:space="0"/>
                    <w:bottom w:val="single" w:color="auto" w:sz="4" w:space="0"/>
                    <w:right w:val="single" w:color="auto" w:sz="4" w:space="0"/>
                  </w:tcBorders>
                  <w:vAlign w:val="center"/>
                </w:tcPr>
                <w:p w14:paraId="6E435B68">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2500</w:t>
                  </w:r>
                </w:p>
              </w:tc>
              <w:tc>
                <w:tcPr>
                  <w:tcW w:w="1305" w:type="pct"/>
                  <w:tcBorders>
                    <w:top w:val="single" w:color="auto" w:sz="4" w:space="0"/>
                    <w:left w:val="single" w:color="auto" w:sz="4" w:space="0"/>
                    <w:bottom w:val="single" w:color="auto" w:sz="4" w:space="0"/>
                    <w:right w:val="single" w:color="auto" w:sz="4" w:space="0"/>
                  </w:tcBorders>
                  <w:vAlign w:val="center"/>
                </w:tcPr>
                <w:p w14:paraId="3DBD7786">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0.00002</w:t>
                  </w:r>
                </w:p>
              </w:tc>
            </w:tr>
            <w:tr w14:paraId="182C2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45" w:type="pct"/>
                  <w:tcBorders>
                    <w:top w:val="single" w:color="auto" w:sz="4" w:space="0"/>
                    <w:left w:val="single" w:color="auto" w:sz="4" w:space="0"/>
                    <w:bottom w:val="single" w:color="auto" w:sz="4" w:space="0"/>
                    <w:right w:val="single" w:color="auto" w:sz="4" w:space="0"/>
                  </w:tcBorders>
                  <w:vAlign w:val="center"/>
                </w:tcPr>
                <w:p w14:paraId="0FE55735">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甲苯</w:t>
                  </w:r>
                </w:p>
              </w:tc>
              <w:tc>
                <w:tcPr>
                  <w:tcW w:w="997" w:type="pct"/>
                  <w:tcBorders>
                    <w:top w:val="single" w:color="auto" w:sz="4" w:space="0"/>
                    <w:left w:val="single" w:color="auto" w:sz="4" w:space="0"/>
                    <w:bottom w:val="single" w:color="auto" w:sz="4" w:space="0"/>
                    <w:right w:val="single" w:color="auto" w:sz="4" w:space="0"/>
                  </w:tcBorders>
                  <w:vAlign w:val="center"/>
                </w:tcPr>
                <w:p w14:paraId="369E676D">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0.000396</w:t>
                  </w:r>
                </w:p>
              </w:tc>
              <w:tc>
                <w:tcPr>
                  <w:tcW w:w="951" w:type="pct"/>
                  <w:tcBorders>
                    <w:top w:val="single" w:color="auto" w:sz="4" w:space="0"/>
                    <w:left w:val="single" w:color="auto" w:sz="4" w:space="0"/>
                    <w:bottom w:val="single" w:color="auto" w:sz="4" w:space="0"/>
                    <w:right w:val="single" w:color="auto" w:sz="4" w:space="0"/>
                  </w:tcBorders>
                  <w:vAlign w:val="center"/>
                </w:tcPr>
                <w:p w14:paraId="087051C1">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10</w:t>
                  </w:r>
                </w:p>
              </w:tc>
              <w:tc>
                <w:tcPr>
                  <w:tcW w:w="1305" w:type="pct"/>
                  <w:tcBorders>
                    <w:top w:val="single" w:color="auto" w:sz="4" w:space="0"/>
                    <w:left w:val="single" w:color="auto" w:sz="4" w:space="0"/>
                    <w:bottom w:val="single" w:color="auto" w:sz="4" w:space="0"/>
                    <w:right w:val="single" w:color="auto" w:sz="4" w:space="0"/>
                  </w:tcBorders>
                  <w:vAlign w:val="center"/>
                </w:tcPr>
                <w:p w14:paraId="34CC3F01">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0.0000396</w:t>
                  </w:r>
                </w:p>
              </w:tc>
            </w:tr>
            <w:tr w14:paraId="37FE7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45" w:type="pct"/>
                  <w:tcBorders>
                    <w:top w:val="single" w:color="auto" w:sz="4" w:space="0"/>
                    <w:left w:val="single" w:color="auto" w:sz="4" w:space="0"/>
                    <w:bottom w:val="single" w:color="auto" w:sz="4" w:space="0"/>
                    <w:right w:val="single" w:color="auto" w:sz="4" w:space="0"/>
                  </w:tcBorders>
                  <w:vAlign w:val="center"/>
                </w:tcPr>
                <w:p w14:paraId="44740E8D">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乙苯</w:t>
                  </w:r>
                </w:p>
              </w:tc>
              <w:tc>
                <w:tcPr>
                  <w:tcW w:w="997" w:type="pct"/>
                  <w:tcBorders>
                    <w:top w:val="single" w:color="auto" w:sz="4" w:space="0"/>
                    <w:left w:val="single" w:color="auto" w:sz="4" w:space="0"/>
                    <w:bottom w:val="single" w:color="auto" w:sz="4" w:space="0"/>
                    <w:right w:val="single" w:color="auto" w:sz="4" w:space="0"/>
                  </w:tcBorders>
                  <w:vAlign w:val="center"/>
                </w:tcPr>
                <w:p w14:paraId="558D6C55">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0.000324</w:t>
                  </w:r>
                </w:p>
              </w:tc>
              <w:tc>
                <w:tcPr>
                  <w:tcW w:w="951" w:type="pct"/>
                  <w:tcBorders>
                    <w:top w:val="single" w:color="auto" w:sz="4" w:space="0"/>
                    <w:left w:val="single" w:color="auto" w:sz="4" w:space="0"/>
                    <w:bottom w:val="single" w:color="auto" w:sz="4" w:space="0"/>
                    <w:right w:val="single" w:color="auto" w:sz="4" w:space="0"/>
                  </w:tcBorders>
                  <w:vAlign w:val="center"/>
                </w:tcPr>
                <w:p w14:paraId="5EFAF30E">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10</w:t>
                  </w:r>
                </w:p>
              </w:tc>
              <w:tc>
                <w:tcPr>
                  <w:tcW w:w="1305" w:type="pct"/>
                  <w:tcBorders>
                    <w:top w:val="single" w:color="auto" w:sz="4" w:space="0"/>
                    <w:left w:val="single" w:color="auto" w:sz="4" w:space="0"/>
                    <w:bottom w:val="single" w:color="auto" w:sz="4" w:space="0"/>
                    <w:right w:val="single" w:color="auto" w:sz="4" w:space="0"/>
                  </w:tcBorders>
                  <w:vAlign w:val="center"/>
                </w:tcPr>
                <w:p w14:paraId="4D513604">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0.00</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0324</w:t>
                  </w:r>
                </w:p>
              </w:tc>
            </w:tr>
            <w:tr w14:paraId="105E2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45" w:type="pct"/>
                  <w:tcBorders>
                    <w:top w:val="single" w:color="auto" w:sz="4" w:space="0"/>
                    <w:left w:val="single" w:color="auto" w:sz="4" w:space="0"/>
                    <w:bottom w:val="single" w:color="auto" w:sz="4" w:space="0"/>
                    <w:right w:val="single" w:color="auto" w:sz="4" w:space="0"/>
                  </w:tcBorders>
                  <w:vAlign w:val="center"/>
                </w:tcPr>
                <w:p w14:paraId="3667F871">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苯乙烯</w:t>
                  </w:r>
                </w:p>
              </w:tc>
              <w:tc>
                <w:tcPr>
                  <w:tcW w:w="997" w:type="pct"/>
                  <w:tcBorders>
                    <w:top w:val="single" w:color="auto" w:sz="4" w:space="0"/>
                    <w:left w:val="single" w:color="auto" w:sz="4" w:space="0"/>
                    <w:bottom w:val="single" w:color="auto" w:sz="4" w:space="0"/>
                    <w:right w:val="single" w:color="auto" w:sz="4" w:space="0"/>
                  </w:tcBorders>
                  <w:vAlign w:val="center"/>
                </w:tcPr>
                <w:p w14:paraId="316709FE">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0.0108</w:t>
                  </w:r>
                </w:p>
              </w:tc>
              <w:tc>
                <w:tcPr>
                  <w:tcW w:w="951" w:type="pct"/>
                  <w:tcBorders>
                    <w:top w:val="single" w:color="auto" w:sz="4" w:space="0"/>
                    <w:left w:val="single" w:color="auto" w:sz="4" w:space="0"/>
                    <w:bottom w:val="single" w:color="auto" w:sz="4" w:space="0"/>
                    <w:right w:val="single" w:color="auto" w:sz="4" w:space="0"/>
                  </w:tcBorders>
                  <w:vAlign w:val="center"/>
                </w:tcPr>
                <w:p w14:paraId="7C752C07">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w:t>
                  </w:r>
                </w:p>
              </w:tc>
              <w:tc>
                <w:tcPr>
                  <w:tcW w:w="1305" w:type="pct"/>
                  <w:tcBorders>
                    <w:top w:val="single" w:color="auto" w:sz="4" w:space="0"/>
                    <w:left w:val="single" w:color="auto" w:sz="4" w:space="0"/>
                    <w:bottom w:val="single" w:color="auto" w:sz="4" w:space="0"/>
                    <w:right w:val="single" w:color="auto" w:sz="4" w:space="0"/>
                  </w:tcBorders>
                  <w:vAlign w:val="center"/>
                </w:tcPr>
                <w:p w14:paraId="1470C50E">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108</w:t>
                  </w:r>
                </w:p>
              </w:tc>
            </w:tr>
            <w:tr w14:paraId="6816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45" w:type="pct"/>
                  <w:tcBorders>
                    <w:top w:val="single" w:color="auto" w:sz="4" w:space="0"/>
                    <w:left w:val="single" w:color="auto" w:sz="4" w:space="0"/>
                    <w:bottom w:val="single" w:color="auto" w:sz="4" w:space="0"/>
                    <w:right w:val="single" w:color="auto" w:sz="4" w:space="0"/>
                  </w:tcBorders>
                  <w:vAlign w:val="center"/>
                </w:tcPr>
                <w:p w14:paraId="749DA9F3">
                  <w:pPr>
                    <w:pStyle w:val="17"/>
                    <w:keepNext w:val="0"/>
                    <w:keepLines/>
                    <w:pageBreakBefore w:val="0"/>
                    <w:kinsoku/>
                    <w:overflowPunct/>
                    <w:bidi w:val="0"/>
                    <w:adjustRightInd/>
                    <w:ind w:left="0" w:leftChars="0" w:firstLine="0" w:firstLineChars="0"/>
                    <w:jc w:val="cente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cs="Times New Roman"/>
                      <w:b w:val="0"/>
                      <w:bCs w:val="0"/>
                      <w:color w:val="000000" w:themeColor="text1"/>
                      <w:sz w:val="21"/>
                      <w:szCs w:val="21"/>
                      <w:lang w:eastAsia="zh-CN"/>
                      <w14:textFill>
                        <w14:solidFill>
                          <w14:schemeClr w14:val="tx1"/>
                        </w14:solidFill>
                      </w14:textFill>
                    </w:rPr>
                    <w:t>次氯酸钠</w:t>
                  </w:r>
                </w:p>
              </w:tc>
              <w:tc>
                <w:tcPr>
                  <w:tcW w:w="997" w:type="pct"/>
                  <w:tcBorders>
                    <w:top w:val="single" w:color="auto" w:sz="4" w:space="0"/>
                    <w:left w:val="single" w:color="auto" w:sz="4" w:space="0"/>
                    <w:bottom w:val="single" w:color="auto" w:sz="4" w:space="0"/>
                    <w:right w:val="single" w:color="auto" w:sz="4" w:space="0"/>
                  </w:tcBorders>
                  <w:vAlign w:val="center"/>
                </w:tcPr>
                <w:p w14:paraId="480EA16C">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0.004</w:t>
                  </w:r>
                </w:p>
              </w:tc>
              <w:tc>
                <w:tcPr>
                  <w:tcW w:w="951" w:type="pct"/>
                  <w:tcBorders>
                    <w:top w:val="single" w:color="auto" w:sz="4" w:space="0"/>
                    <w:left w:val="single" w:color="auto" w:sz="4" w:space="0"/>
                    <w:bottom w:val="single" w:color="auto" w:sz="4" w:space="0"/>
                    <w:right w:val="single" w:color="auto" w:sz="4" w:space="0"/>
                  </w:tcBorders>
                  <w:vAlign w:val="center"/>
                </w:tcPr>
                <w:p w14:paraId="17A926B1">
                  <w:pPr>
                    <w:pStyle w:val="17"/>
                    <w:keepNext w:val="0"/>
                    <w:keepLines/>
                    <w:pageBreakBefore w:val="0"/>
                    <w:kinsoku/>
                    <w:overflowPunct/>
                    <w:bidi w:val="0"/>
                    <w:adjustRightInd/>
                    <w:ind w:left="0" w:leftChars="0"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5</w:t>
                  </w:r>
                </w:p>
              </w:tc>
              <w:tc>
                <w:tcPr>
                  <w:tcW w:w="1305" w:type="pct"/>
                  <w:tcBorders>
                    <w:top w:val="single" w:color="auto" w:sz="4" w:space="0"/>
                    <w:left w:val="single" w:color="auto" w:sz="4" w:space="0"/>
                    <w:bottom w:val="single" w:color="auto" w:sz="4" w:space="0"/>
                    <w:right w:val="single" w:color="auto" w:sz="4" w:space="0"/>
                  </w:tcBorders>
                  <w:vAlign w:val="center"/>
                </w:tcPr>
                <w:p w14:paraId="632E3F36">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0.0008</w:t>
                  </w:r>
                </w:p>
              </w:tc>
            </w:tr>
            <w:tr w14:paraId="4F24D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45" w:type="pct"/>
                  <w:tcBorders>
                    <w:top w:val="single" w:color="auto" w:sz="4" w:space="0"/>
                    <w:left w:val="single" w:color="auto" w:sz="4" w:space="0"/>
                    <w:bottom w:val="single" w:color="auto" w:sz="4" w:space="0"/>
                    <w:right w:val="single" w:color="auto" w:sz="4" w:space="0"/>
                  </w:tcBorders>
                  <w:vAlign w:val="center"/>
                </w:tcPr>
                <w:p w14:paraId="66F8BC20">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合计</w:t>
                  </w:r>
                </w:p>
              </w:tc>
              <w:tc>
                <w:tcPr>
                  <w:tcW w:w="997" w:type="pct"/>
                  <w:tcBorders>
                    <w:top w:val="single" w:color="auto" w:sz="4" w:space="0"/>
                    <w:left w:val="single" w:color="auto" w:sz="4" w:space="0"/>
                    <w:bottom w:val="single" w:color="auto" w:sz="4" w:space="0"/>
                    <w:right w:val="single" w:color="auto" w:sz="4" w:space="0"/>
                  </w:tcBorders>
                  <w:vAlign w:val="center"/>
                </w:tcPr>
                <w:p w14:paraId="667A3A1C">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c>
                <w:tcPr>
                  <w:tcW w:w="951" w:type="pct"/>
                  <w:tcBorders>
                    <w:top w:val="single" w:color="auto" w:sz="4" w:space="0"/>
                    <w:left w:val="single" w:color="auto" w:sz="4" w:space="0"/>
                    <w:bottom w:val="single" w:color="auto" w:sz="4" w:space="0"/>
                    <w:right w:val="single" w:color="auto" w:sz="4" w:space="0"/>
                  </w:tcBorders>
                  <w:vAlign w:val="center"/>
                </w:tcPr>
                <w:p w14:paraId="72A4ECD1">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c>
                <w:tcPr>
                  <w:tcW w:w="1305" w:type="pct"/>
                  <w:tcBorders>
                    <w:top w:val="single" w:color="auto" w:sz="4" w:space="0"/>
                    <w:left w:val="single" w:color="auto" w:sz="4" w:space="0"/>
                    <w:bottom w:val="single" w:color="auto" w:sz="4" w:space="0"/>
                    <w:right w:val="single" w:color="auto" w:sz="4" w:space="0"/>
                  </w:tcBorders>
                  <w:shd w:val="clear" w:color="auto" w:fill="auto"/>
                  <w:vAlign w:val="center"/>
                </w:tcPr>
                <w:p w14:paraId="242FEB59">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0.001</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9</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72</w:t>
                  </w:r>
                </w:p>
              </w:tc>
            </w:tr>
            <w:tr w14:paraId="3DE0E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61566F0E">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备注：甲苯、乙苯、苯乙烯按照活性炭吸附的最大在线量进行核算</w:t>
                  </w:r>
                </w:p>
              </w:tc>
            </w:tr>
          </w:tbl>
          <w:p w14:paraId="6FB14B33">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根据以上分析可知，</w:t>
            </w:r>
            <w:r>
              <w:rPr>
                <w:rFonts w:hint="default" w:ascii="Times New Roman" w:hAnsi="Times New Roman" w:eastAsia="宋体" w:cs="Times New Roman"/>
                <w:color w:val="000000" w:themeColor="text1"/>
                <w:sz w:val="24"/>
                <w:szCs w:val="24"/>
                <w14:textFill>
                  <w14:solidFill>
                    <w14:schemeClr w14:val="tx1"/>
                  </w14:solidFill>
                </w14:textFill>
              </w:rPr>
              <w:t>Q=</w:t>
            </w:r>
            <w:r>
              <w:rPr>
                <w:rFonts w:hint="eastAsia" w:cs="Times New Roman"/>
                <w:b w:val="0"/>
                <w:bCs w:val="0"/>
                <w:color w:val="000000" w:themeColor="text1"/>
                <w:sz w:val="24"/>
                <w:szCs w:val="24"/>
                <w:lang w:val="en-US" w:eastAsia="zh-CN"/>
                <w14:textFill>
                  <w14:solidFill>
                    <w14:schemeClr w14:val="tx1"/>
                  </w14:solidFill>
                </w14:textFill>
              </w:rPr>
              <w:t>0.001972</w:t>
            </w:r>
            <w:r>
              <w:rPr>
                <w:rFonts w:hint="default" w:ascii="Times New Roman" w:hAnsi="Times New Roman" w:eastAsia="宋体" w:cs="Times New Roman"/>
                <w:color w:val="000000" w:themeColor="text1"/>
                <w:sz w:val="24"/>
                <w:szCs w:val="24"/>
                <w14:textFill>
                  <w14:solidFill>
                    <w14:schemeClr w14:val="tx1"/>
                  </w14:solidFill>
                </w14:textFill>
              </w:rPr>
              <w:t>＜1，</w:t>
            </w:r>
            <w:r>
              <w:rPr>
                <w:rFonts w:hint="default" w:ascii="Times New Roman" w:hAnsi="Times New Roman" w:eastAsia="宋体" w:cs="Times New Roman"/>
                <w:color w:val="000000" w:themeColor="text1"/>
                <w:sz w:val="24"/>
                <w14:textFill>
                  <w14:solidFill>
                    <w14:schemeClr w14:val="tx1"/>
                  </w14:solidFill>
                </w14:textFill>
              </w:rPr>
              <w:t>可直接判断本项目环境风险潜势为</w:t>
            </w: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1 \* ROMAN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I</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。根据《建设项目环境风险评价技术导则》（HJ169-2018）附录C，当Q＜1时，项目环境风险潜势为Ⅰ。因此，本项目环境风险不设评价等级，仅进行简单分析。</w:t>
            </w:r>
          </w:p>
          <w:p w14:paraId="5EA44846">
            <w:pPr>
              <w:keepNext w:val="0"/>
              <w:keepLines/>
              <w:pageBreakBefore w:val="0"/>
              <w:kinsoku/>
              <w:overflowPunct/>
              <w:bidi w:val="0"/>
              <w:adjustRightInd/>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w:t>
            </w:r>
            <w:r>
              <w:rPr>
                <w:rFonts w:hint="default" w:ascii="Times New Roman" w:hAnsi="Times New Roman" w:cs="Times New Roman"/>
                <w:b/>
                <w:bCs/>
                <w:color w:val="000000" w:themeColor="text1"/>
                <w:sz w:val="24"/>
                <w:lang w:val="en-US" w:eastAsia="zh-CN"/>
                <w14:textFill>
                  <w14:solidFill>
                    <w14:schemeClr w14:val="tx1"/>
                  </w14:solidFill>
                </w14:textFill>
              </w:rPr>
              <w:t>3</w:t>
            </w:r>
            <w:r>
              <w:rPr>
                <w:rFonts w:hint="default" w:ascii="Times New Roman" w:hAnsi="Times New Roman" w:cs="Times New Roman"/>
                <w:b/>
                <w:bCs/>
                <w:color w:val="000000" w:themeColor="text1"/>
                <w:sz w:val="24"/>
                <w14:textFill>
                  <w14:solidFill>
                    <w14:schemeClr w14:val="tx1"/>
                  </w14:solidFill>
                </w14:textFill>
              </w:rPr>
              <w:t>）风险事故影响分析</w:t>
            </w:r>
          </w:p>
          <w:p w14:paraId="289FDF8D">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风险事故主要为泄漏</w:t>
            </w:r>
            <w:r>
              <w:rPr>
                <w:rFonts w:hint="default" w:ascii="Times New Roman" w:hAnsi="Times New Roman" w:eastAsia="宋体" w:cs="Times New Roman"/>
                <w:color w:val="000000" w:themeColor="text1"/>
                <w:sz w:val="24"/>
                <w:lang w:eastAsia="zh-CN"/>
                <w14:textFill>
                  <w14:solidFill>
                    <w14:schemeClr w14:val="tx1"/>
                  </w14:solidFill>
                </w14:textFill>
              </w:rPr>
              <w:t>事故；</w:t>
            </w:r>
            <w:r>
              <w:rPr>
                <w:rFonts w:hint="default" w:ascii="Times New Roman" w:hAnsi="Times New Roman" w:eastAsia="宋体" w:cs="Times New Roman"/>
                <w:color w:val="000000" w:themeColor="text1"/>
                <w:sz w:val="24"/>
                <w14:textFill>
                  <w14:solidFill>
                    <w14:schemeClr w14:val="tx1"/>
                  </w14:solidFill>
                </w14:textFill>
              </w:rPr>
              <w:t>火灾</w:t>
            </w:r>
            <w:r>
              <w:rPr>
                <w:rFonts w:hint="default" w:ascii="Times New Roman" w:hAnsi="Times New Roman" w:eastAsia="宋体" w:cs="Times New Roman"/>
                <w:color w:val="000000" w:themeColor="text1"/>
                <w:sz w:val="24"/>
                <w:lang w:eastAsia="zh-CN"/>
                <w14:textFill>
                  <w14:solidFill>
                    <w14:schemeClr w14:val="tx1"/>
                  </w14:solidFill>
                </w14:textFill>
              </w:rPr>
              <w:t>事故</w:t>
            </w:r>
            <w:r>
              <w:rPr>
                <w:rFonts w:hint="default" w:ascii="Times New Roman" w:hAnsi="Times New Roman" w:eastAsia="宋体" w:cs="Times New Roman"/>
                <w:color w:val="000000" w:themeColor="text1"/>
                <w:sz w:val="24"/>
                <w14:textFill>
                  <w14:solidFill>
                    <w14:schemeClr w14:val="tx1"/>
                  </w14:solidFill>
                </w14:textFill>
              </w:rPr>
              <w:t>及导致的次生环境污染事故</w:t>
            </w:r>
            <w:r>
              <w:rPr>
                <w:rFonts w:hint="default" w:ascii="Times New Roman" w:hAnsi="Times New Roman" w:eastAsia="宋体" w:cs="Times New Roman"/>
                <w:color w:val="000000" w:themeColor="text1"/>
                <w:sz w:val="24"/>
                <w:lang w:eastAsia="zh-CN"/>
                <w14:textFill>
                  <w14:solidFill>
                    <w14:schemeClr w14:val="tx1"/>
                  </w14:solidFill>
                </w14:textFill>
              </w:rPr>
              <w:t>。</w:t>
            </w:r>
          </w:p>
          <w:p w14:paraId="029FB0A5">
            <w:pPr>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w:t>
            </w:r>
            <w:r>
              <w:rPr>
                <w:rFonts w:hint="eastAsia" w:cs="Times New Roman"/>
                <w:color w:val="000000" w:themeColor="text1"/>
                <w:sz w:val="24"/>
                <w:lang w:eastAsia="zh-CN"/>
                <w14:textFill>
                  <w14:solidFill>
                    <w14:schemeClr w14:val="tx1"/>
                  </w14:solidFill>
                </w14:textFill>
              </w:rPr>
              <w:t>锅炉原料生物质燃料为可燃物质，</w:t>
            </w:r>
            <w:r>
              <w:rPr>
                <w:rFonts w:hint="default" w:ascii="Times New Roman" w:hAnsi="Times New Roman" w:cs="Times New Roman"/>
                <w:color w:val="000000" w:themeColor="text1"/>
                <w:sz w:val="24"/>
                <w14:textFill>
                  <w14:solidFill>
                    <w14:schemeClr w14:val="tx1"/>
                  </w14:solidFill>
                </w14:textFill>
              </w:rPr>
              <w:t>产生的</w:t>
            </w:r>
            <w:r>
              <w:rPr>
                <w:rFonts w:hint="default" w:ascii="Times New Roman" w:hAnsi="Times New Roman" w:cs="Times New Roman"/>
                <w:color w:val="000000" w:themeColor="text1"/>
                <w:sz w:val="24"/>
                <w:lang w:eastAsia="zh-CN"/>
                <w14:textFill>
                  <w14:solidFill>
                    <w14:schemeClr w14:val="tx1"/>
                  </w14:solidFill>
                </w14:textFill>
              </w:rPr>
              <w:t>废机油</w:t>
            </w:r>
            <w:r>
              <w:rPr>
                <w:rFonts w:hint="default" w:ascii="Times New Roman" w:hAnsi="Times New Roman" w:cs="Times New Roman"/>
                <w:color w:val="000000" w:themeColor="text1"/>
                <w:sz w:val="24"/>
                <w14:textFill>
                  <w14:solidFill>
                    <w14:schemeClr w14:val="tx1"/>
                  </w14:solidFill>
                </w14:textFill>
              </w:rPr>
              <w:t>为可燃物质，遇火后造成火灾，首先会对周围人群、建筑物及财产造成一定影响；其次，一旦发生火灾事故，完全燃烧的产物是CO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和H</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O，不完全燃烧的产物有一氧化碳等气体，CO有毒性，将对环境空气造成伴生污染；堵漏过程中可能使用的大量拦截、堵漏材料，掺杂一定的物料，若事故排放后随意丢弃、排放，将对环境产生二次污染。</w:t>
            </w:r>
          </w:p>
          <w:p w14:paraId="257F6FF5">
            <w:pPr>
              <w:keepNext w:val="0"/>
              <w:keepLines/>
              <w:pageBreakBefore w:val="0"/>
              <w:kinsoku/>
              <w:overflowPunct/>
              <w:bidi w:val="0"/>
              <w:adjustRightInd/>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由于</w:t>
            </w:r>
            <w:r>
              <w:rPr>
                <w:rFonts w:hint="default" w:ascii="Times New Roman" w:hAnsi="Times New Roman" w:cs="Times New Roman"/>
                <w:color w:val="000000" w:themeColor="text1"/>
                <w:sz w:val="24"/>
                <w:lang w:eastAsia="zh-CN"/>
                <w14:textFill>
                  <w14:solidFill>
                    <w14:schemeClr w14:val="tx1"/>
                  </w14:solidFill>
                </w14:textFill>
              </w:rPr>
              <w:t>废机油</w:t>
            </w:r>
            <w:r>
              <w:rPr>
                <w:rFonts w:hint="eastAsia" w:cs="Times New Roman"/>
                <w:color w:val="000000" w:themeColor="text1"/>
                <w:sz w:val="24"/>
                <w:lang w:eastAsia="zh-CN"/>
                <w14:textFill>
                  <w14:solidFill>
                    <w14:schemeClr w14:val="tx1"/>
                  </w14:solidFill>
                </w14:textFill>
              </w:rPr>
              <w:t>、废活性炭、次氯酸钠</w:t>
            </w:r>
            <w:r>
              <w:rPr>
                <w:rFonts w:hint="default" w:ascii="Times New Roman" w:hAnsi="Times New Roman" w:cs="Times New Roman"/>
                <w:color w:val="000000" w:themeColor="text1"/>
                <w:sz w:val="24"/>
                <w14:textFill>
                  <w14:solidFill>
                    <w14:schemeClr w14:val="tx1"/>
                  </w14:solidFill>
                </w14:textFill>
              </w:rPr>
              <w:t>存量较小，厂内设有规范的收集设施，均可做到安全运行，泄漏的可能性较小</w:t>
            </w:r>
            <w:r>
              <w:rPr>
                <w:rFonts w:hint="eastAsia" w:cs="Times New Roman"/>
                <w:color w:val="000000" w:themeColor="text1"/>
                <w:sz w:val="24"/>
                <w:lang w:eastAsia="zh-CN"/>
                <w14:textFill>
                  <w14:solidFill>
                    <w14:schemeClr w14:val="tx1"/>
                  </w14:solidFill>
                </w14:textFill>
              </w:rPr>
              <w:t>。</w:t>
            </w:r>
          </w:p>
          <w:p w14:paraId="339C49A5">
            <w:pPr>
              <w:keepNext w:val="0"/>
              <w:keepLines/>
              <w:pageBreakBefore w:val="0"/>
              <w:kinsoku/>
              <w:overflowPunct/>
              <w:bidi w:val="0"/>
              <w:adjustRightInd/>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w:t>
            </w:r>
            <w:r>
              <w:rPr>
                <w:rFonts w:hint="default" w:ascii="Times New Roman" w:hAnsi="Times New Roman" w:cs="Times New Roman"/>
                <w:b/>
                <w:bCs/>
                <w:color w:val="000000" w:themeColor="text1"/>
                <w:sz w:val="24"/>
                <w:lang w:val="en-US" w:eastAsia="zh-CN"/>
                <w14:textFill>
                  <w14:solidFill>
                    <w14:schemeClr w14:val="tx1"/>
                  </w14:solidFill>
                </w14:textFill>
              </w:rPr>
              <w:t>4</w:t>
            </w:r>
            <w:r>
              <w:rPr>
                <w:rFonts w:hint="default" w:ascii="Times New Roman" w:hAnsi="Times New Roman" w:cs="Times New Roman"/>
                <w:b/>
                <w:bCs/>
                <w:color w:val="000000" w:themeColor="text1"/>
                <w:sz w:val="24"/>
                <w14:textFill>
                  <w14:solidFill>
                    <w14:schemeClr w14:val="tx1"/>
                  </w14:solidFill>
                </w14:textFill>
              </w:rPr>
              <w:t>）风险防范措施</w:t>
            </w:r>
          </w:p>
          <w:p w14:paraId="725B3171">
            <w:pPr>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为把风险事故的发生和影响降到最低限度，针对项目的生产特点，特别应注意以下几点：加强职工安全环保教育，增强操作工人的责任心，防止和减少因人为因素造成的事故，同时也要加强防火安全教育；应配备必需的消防设施，落实安全管理责任。</w:t>
            </w:r>
          </w:p>
          <w:p w14:paraId="1E31D411">
            <w:pPr>
              <w:keepNext w:val="0"/>
              <w:keepLines/>
              <w:pageBreakBefore w:val="0"/>
              <w:kinsoku/>
              <w:overflowPunct/>
              <w:bidi w:val="0"/>
              <w:adjustRightInd/>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w:t>
            </w:r>
            <w:r>
              <w:rPr>
                <w:rFonts w:hint="default" w:ascii="Times New Roman" w:hAnsi="Times New Roman" w:cs="Times New Roman"/>
                <w:b/>
                <w:bCs/>
                <w:color w:val="000000" w:themeColor="text1"/>
                <w:kern w:val="0"/>
                <w:sz w:val="24"/>
                <w14:textFill>
                  <w14:solidFill>
                    <w14:schemeClr w14:val="tx1"/>
                  </w14:solidFill>
                </w14:textFill>
              </w:rPr>
              <w:t>泄漏事故风险防范措施</w:t>
            </w:r>
          </w:p>
          <w:p w14:paraId="6022144A">
            <w:pPr>
              <w:pStyle w:val="12"/>
              <w:keepNext w:val="0"/>
              <w:keepLines/>
              <w:pageBreakBefore w:val="0"/>
              <w:kinsoku/>
              <w:overflowPunct/>
              <w:bidi w:val="0"/>
              <w:adjustRightInd/>
              <w:spacing w:line="360" w:lineRule="auto"/>
              <w:ind w:firstLine="480" w:firstLineChars="200"/>
              <w:rPr>
                <w:rFonts w:hint="default"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（1）按照</w:t>
            </w:r>
            <w:r>
              <w:rPr>
                <w:rFonts w:hint="eastAsia" w:ascii="Times New Roman" w:hAnsi="Times New Roman" w:cs="Times New Roman"/>
                <w:bCs/>
                <w:color w:val="000000" w:themeColor="text1"/>
                <w:sz w:val="24"/>
                <w:lang w:val="en-US" w:eastAsia="zh-CN"/>
                <w14:textFill>
                  <w14:solidFill>
                    <w14:schemeClr w14:val="tx1"/>
                  </w14:solidFill>
                </w14:textFill>
              </w:rPr>
              <w:t>《危险废物贮存污染控制标准》（GB18597-2023）</w:t>
            </w:r>
            <w:r>
              <w:rPr>
                <w:rFonts w:hint="default" w:ascii="Times New Roman" w:hAnsi="Times New Roman" w:cs="Times New Roman"/>
                <w:bCs/>
                <w:color w:val="000000" w:themeColor="text1"/>
                <w:sz w:val="24"/>
                <w:lang w:val="en-US" w:eastAsia="zh-CN"/>
                <w14:textFill>
                  <w14:solidFill>
                    <w14:schemeClr w14:val="tx1"/>
                  </w14:solidFill>
                </w14:textFill>
              </w:rPr>
              <w:t>要求，各种危险废物采用专用的容器存放，收集后置于危废间内，防止风吹雨淋和日晒。危废间设立危险废物警示标志，由专人进行管理，严格落实危险固废转移台账管理，做到每一笔危险固废的去向都有台账记录，包括厂区内部的和行政管理部门的；</w:t>
            </w:r>
          </w:p>
          <w:p w14:paraId="544B362C">
            <w:pPr>
              <w:pStyle w:val="12"/>
              <w:keepNext w:val="0"/>
              <w:keepLines/>
              <w:pageBreakBefore w:val="0"/>
              <w:kinsoku/>
              <w:overflowPunct/>
              <w:bidi w:val="0"/>
              <w:adjustRightInd/>
              <w:spacing w:line="360" w:lineRule="auto"/>
              <w:ind w:firstLine="480" w:firstLineChars="200"/>
              <w:rPr>
                <w:rFonts w:hint="default"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（2）危险废物暂存场所设置堵截泄漏的裙脚，地面进行防渗处理，危废暂存场所</w:t>
            </w:r>
            <w:r>
              <w:rPr>
                <w:rFonts w:hint="eastAsia" w:cs="Times New Roman"/>
                <w:bCs/>
                <w:color w:val="000000" w:themeColor="text1"/>
                <w:sz w:val="24"/>
                <w:lang w:val="en-US" w:eastAsia="zh-CN"/>
                <w14:textFill>
                  <w14:solidFill>
                    <w14:schemeClr w14:val="tx1"/>
                  </w14:solidFill>
                </w14:textFill>
              </w:rPr>
              <w:t>危废贮存库</w:t>
            </w:r>
            <w:r>
              <w:rPr>
                <w:rFonts w:hint="default" w:ascii="Times New Roman" w:hAnsi="Times New Roman" w:cs="Times New Roman"/>
                <w:bCs/>
                <w:color w:val="000000" w:themeColor="text1"/>
                <w:sz w:val="24"/>
                <w:lang w:val="en-US" w:eastAsia="zh-CN"/>
                <w14:textFill>
                  <w14:solidFill>
                    <w14:schemeClr w14:val="tx1"/>
                  </w14:solidFill>
                </w14:textFill>
              </w:rPr>
              <w:t>地面做防渗，防渗层为至少1m厚粘土层（渗透系数≤10-7cm/s），或2mm厚高密度聚乙烯，或至少2mm厚的其它人工材料，渗透系数≤10-10cm/s；</w:t>
            </w:r>
          </w:p>
          <w:p w14:paraId="64495B82">
            <w:pPr>
              <w:pStyle w:val="12"/>
              <w:keepNext w:val="0"/>
              <w:keepLines/>
              <w:pageBreakBefore w:val="0"/>
              <w:kinsoku/>
              <w:overflowPunct/>
              <w:bidi w:val="0"/>
              <w:adjustRightInd/>
              <w:spacing w:line="360" w:lineRule="auto"/>
              <w:ind w:firstLine="480" w:firstLineChars="200"/>
              <w:rPr>
                <w:rFonts w:hint="default"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（3）对装有危废的容器进行定期检查，容器泄漏损坏时必须立即处理，并将危废装入完好容器内，同时危险废物储存区设置警示标牌；</w:t>
            </w:r>
          </w:p>
          <w:p w14:paraId="3F4B7936">
            <w:pPr>
              <w:pStyle w:val="12"/>
              <w:keepNext w:val="0"/>
              <w:keepLines/>
              <w:pageBreakBefore w:val="0"/>
              <w:kinsoku/>
              <w:overflowPunct/>
              <w:bidi w:val="0"/>
              <w:adjustRightInd/>
              <w:spacing w:line="360" w:lineRule="auto"/>
              <w:ind w:firstLine="480" w:firstLineChars="200"/>
              <w:rPr>
                <w:rFonts w:hint="default"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4）所有包装袋、桶必须贴上危险废物标签，危险废物标签上文字字体为黑体、底色为醒目的桔黄色，稳妥贴附在包装袋、桶适当位置，使其清晰易读。危险废物标签要提供下列说明：“危险废物”字样、危险废物产生单位名称、联系人、联系电话、主要化学成分或商品名称、危险类别、安全措施等。</w:t>
            </w:r>
          </w:p>
          <w:p w14:paraId="3CFC416E">
            <w:pPr>
              <w:pStyle w:val="12"/>
              <w:keepNext w:val="0"/>
              <w:keepLines/>
              <w:pageBreakBefore w:val="0"/>
              <w:kinsoku/>
              <w:overflowPunct/>
              <w:bidi w:val="0"/>
              <w:adjustRightInd/>
              <w:spacing w:line="360" w:lineRule="auto"/>
              <w:ind w:firstLine="480" w:firstLineChars="200"/>
              <w:rPr>
                <w:rFonts w:hint="default"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（5）按照</w:t>
            </w:r>
            <w:r>
              <w:rPr>
                <w:rFonts w:hint="eastAsia" w:cs="Times New Roman"/>
                <w:bCs/>
                <w:color w:val="000000" w:themeColor="text1"/>
                <w:sz w:val="24"/>
                <w:lang w:val="en-US" w:eastAsia="zh-CN"/>
                <w14:textFill>
                  <w14:solidFill>
                    <w14:schemeClr w14:val="tx1"/>
                  </w14:solidFill>
                </w14:textFill>
              </w:rPr>
              <w:t>相关</w:t>
            </w:r>
            <w:r>
              <w:rPr>
                <w:rFonts w:hint="default" w:ascii="Times New Roman" w:hAnsi="Times New Roman" w:cs="Times New Roman"/>
                <w:bCs/>
                <w:color w:val="000000" w:themeColor="text1"/>
                <w:sz w:val="24"/>
                <w:lang w:val="en-US" w:eastAsia="zh-CN"/>
                <w14:textFill>
                  <w14:solidFill>
                    <w14:schemeClr w14:val="tx1"/>
                  </w14:solidFill>
                </w14:textFill>
              </w:rPr>
              <w:t>要求，编制突发环境事件应急预案、风险评估，并到当地环境主管部门进行备案。</w:t>
            </w:r>
          </w:p>
          <w:p w14:paraId="2AEBBDEB">
            <w:pPr>
              <w:keepNext w:val="0"/>
              <w:keepLines/>
              <w:pageBreakBefore w:val="0"/>
              <w:kinsoku/>
              <w:overflowPunct/>
              <w:bidi w:val="0"/>
              <w:adjustRightInd/>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kern w:val="0"/>
                <w:sz w:val="24"/>
                <w14:textFill>
                  <w14:solidFill>
                    <w14:schemeClr w14:val="tx1"/>
                  </w14:solidFill>
                </w14:textFill>
              </w:rPr>
              <w:t>2）</w:t>
            </w:r>
            <w:r>
              <w:rPr>
                <w:rFonts w:hint="default" w:ascii="Times New Roman" w:hAnsi="Times New Roman" w:cs="Times New Roman"/>
                <w:b/>
                <w:bCs/>
                <w:color w:val="000000" w:themeColor="text1"/>
                <w:sz w:val="24"/>
                <w14:textFill>
                  <w14:solidFill>
                    <w14:schemeClr w14:val="tx1"/>
                  </w14:solidFill>
                </w14:textFill>
              </w:rPr>
              <w:t>火灾事故风险防范措施</w:t>
            </w:r>
          </w:p>
          <w:p w14:paraId="3C72A420">
            <w:pPr>
              <w:pStyle w:val="153"/>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①</w:t>
            </w:r>
            <w:r>
              <w:rPr>
                <w:rFonts w:hint="default" w:ascii="Times New Roman" w:hAnsi="Times New Roman" w:cs="Times New Roman"/>
                <w:bCs/>
                <w:color w:val="000000" w:themeColor="text1"/>
                <w:sz w:val="24"/>
                <w:lang w:val="en-US" w:eastAsia="zh-CN"/>
                <w14:textFill>
                  <w14:solidFill>
                    <w14:schemeClr w14:val="tx1"/>
                  </w14:solidFill>
                </w14:textFill>
              </w:rPr>
              <w:t>项目加强危废间的贮存管理，加强相关隔离措施，厂区应设置“严禁烟火”的警示牌。制定火灾防范措施</w:t>
            </w:r>
            <w:r>
              <w:rPr>
                <w:rFonts w:hint="default" w:ascii="Times New Roman" w:hAnsi="Times New Roman" w:cs="Times New Roman"/>
                <w:color w:val="000000" w:themeColor="text1"/>
                <w:sz w:val="24"/>
                <w14:textFill>
                  <w14:solidFill>
                    <w14:schemeClr w14:val="tx1"/>
                  </w14:solidFill>
                </w14:textFill>
              </w:rPr>
              <w:t>。</w:t>
            </w:r>
          </w:p>
          <w:p w14:paraId="1326427E">
            <w:pPr>
              <w:pStyle w:val="153"/>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②制定和落实防火安全责任制及消防安全规章制度，除加强对员工的消防知识培训，对消防安全责任人及员工也定期进行消防知识培训，消防安全管理人员持证上岗。</w:t>
            </w:r>
          </w:p>
          <w:p w14:paraId="2A732174">
            <w:pPr>
              <w:pStyle w:val="153"/>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③制定灭火和应急疏散预案，同时设置安全疏散通道。灭火器应布置在明显便于取用的地方，并定期维护检查，确保能正常使用。</w:t>
            </w:r>
          </w:p>
          <w:p w14:paraId="758AA687">
            <w:pPr>
              <w:keepNext w:val="0"/>
              <w:keepLines/>
              <w:pageBreakBefore w:val="0"/>
              <w:kinsoku/>
              <w:overflowPunct/>
              <w:bidi w:val="0"/>
              <w:adjustRightInd/>
              <w:spacing w:line="360" w:lineRule="auto"/>
              <w:ind w:firstLine="482" w:firstLineChars="200"/>
              <w:rPr>
                <w:rFonts w:hint="default" w:ascii="Times New Roman" w:hAnsi="Times New Roman" w:cs="Times New Roman"/>
                <w:b/>
                <w:bCs/>
                <w:color w:val="000000" w:themeColor="text1"/>
                <w:kern w:val="0"/>
                <w:sz w:val="24"/>
                <w14:textFill>
                  <w14:solidFill>
                    <w14:schemeClr w14:val="tx1"/>
                  </w14:solidFill>
                </w14:textFill>
              </w:rPr>
            </w:pPr>
            <w:r>
              <w:rPr>
                <w:rFonts w:hint="default" w:ascii="Times New Roman" w:hAnsi="Times New Roman" w:cs="Times New Roman"/>
                <w:b/>
                <w:bCs/>
                <w:color w:val="000000" w:themeColor="text1"/>
                <w:kern w:val="0"/>
                <w:sz w:val="24"/>
                <w14:textFill>
                  <w14:solidFill>
                    <w14:schemeClr w14:val="tx1"/>
                  </w14:solidFill>
                </w14:textFill>
              </w:rPr>
              <w:t>（</w:t>
            </w:r>
            <w:r>
              <w:rPr>
                <w:rFonts w:hint="default" w:ascii="Times New Roman" w:hAnsi="Times New Roman" w:cs="Times New Roman"/>
                <w:b/>
                <w:bCs/>
                <w:color w:val="000000" w:themeColor="text1"/>
                <w:kern w:val="0"/>
                <w:sz w:val="24"/>
                <w:lang w:val="en-US" w:eastAsia="zh-CN"/>
                <w14:textFill>
                  <w14:solidFill>
                    <w14:schemeClr w14:val="tx1"/>
                  </w14:solidFill>
                </w14:textFill>
              </w:rPr>
              <w:t>5</w:t>
            </w:r>
            <w:r>
              <w:rPr>
                <w:rFonts w:hint="default" w:ascii="Times New Roman" w:hAnsi="Times New Roman" w:cs="Times New Roman"/>
                <w:b/>
                <w:bCs/>
                <w:color w:val="000000" w:themeColor="text1"/>
                <w:kern w:val="0"/>
                <w:sz w:val="24"/>
                <w14:textFill>
                  <w14:solidFill>
                    <w14:schemeClr w14:val="tx1"/>
                  </w14:solidFill>
                </w14:textFill>
              </w:rPr>
              <w:t>）应急处理措施</w:t>
            </w:r>
          </w:p>
          <w:p w14:paraId="22D1CD3D">
            <w:pPr>
              <w:pStyle w:val="153"/>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严格落实环境风险防范措施，根据《关于印发〈突发环境事件应急预案管理暂行办法〉的通知》（环发〔2015〕4号）要求，待项目建设完成后，及时进行《突发环境事件应急预案》</w:t>
            </w:r>
            <w:r>
              <w:rPr>
                <w:rFonts w:hint="default" w:ascii="Times New Roman" w:hAnsi="Times New Roman" w:cs="Times New Roman"/>
                <w:color w:val="000000" w:themeColor="text1"/>
                <w:sz w:val="24"/>
                <w:lang w:eastAsia="zh-CN"/>
                <w14:textFill>
                  <w14:solidFill>
                    <w14:schemeClr w14:val="tx1"/>
                  </w14:solidFill>
                </w14:textFill>
              </w:rPr>
              <w:t>编制</w:t>
            </w:r>
            <w:r>
              <w:rPr>
                <w:rFonts w:hint="default" w:ascii="Times New Roman" w:hAnsi="Times New Roman" w:cs="Times New Roman"/>
                <w:color w:val="000000" w:themeColor="text1"/>
                <w:sz w:val="24"/>
                <w14:textFill>
                  <w14:solidFill>
                    <w14:schemeClr w14:val="tx1"/>
                  </w14:solidFill>
                </w14:textFill>
              </w:rPr>
              <w:t>工作并于玉溪市生态环境局</w:t>
            </w:r>
            <w:r>
              <w:rPr>
                <w:rFonts w:hint="eastAsia" w:cs="Times New Roman"/>
                <w:color w:val="000000" w:themeColor="text1"/>
                <w:sz w:val="24"/>
                <w:lang w:eastAsia="zh-CN"/>
                <w14:textFill>
                  <w14:solidFill>
                    <w14:schemeClr w14:val="tx1"/>
                  </w14:solidFill>
                </w14:textFill>
              </w:rPr>
              <w:t>峨山</w:t>
            </w:r>
            <w:r>
              <w:rPr>
                <w:rFonts w:hint="default" w:ascii="Times New Roman" w:hAnsi="Times New Roman" w:cs="Times New Roman"/>
                <w:color w:val="000000" w:themeColor="text1"/>
                <w:sz w:val="24"/>
                <w14:textFill>
                  <w14:solidFill>
                    <w14:schemeClr w14:val="tx1"/>
                  </w14:solidFill>
                </w14:textFill>
              </w:rPr>
              <w:t>分局备案；加强应急演练，建立完善应急报告制度，落实应急物资和经费。切实做好环保设施的日常维护和管理，落实环境风险防范措施，杜绝事故性排放。</w:t>
            </w:r>
          </w:p>
          <w:p w14:paraId="0E9A78B7">
            <w:pPr>
              <w:keepNext w:val="0"/>
              <w:keepLines/>
              <w:pageBreakBefore w:val="0"/>
              <w:kinsoku/>
              <w:overflowPunct/>
              <w:bidi w:val="0"/>
              <w:adjustRightInd/>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1）泄漏应急处理</w:t>
            </w:r>
          </w:p>
          <w:p w14:paraId="59A69E60">
            <w:pPr>
              <w:keepNext w:val="0"/>
              <w:keepLines/>
              <w:pageBreakBefore w:val="0"/>
              <w:kinsoku/>
              <w:overflowPunct/>
              <w:bidi w:val="0"/>
              <w:adjustRightInd/>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①</w:t>
            </w:r>
            <w:r>
              <w:rPr>
                <w:rFonts w:hint="default" w:ascii="Times New Roman" w:hAnsi="Times New Roman" w:cs="Times New Roman"/>
                <w:bCs/>
                <w:color w:val="000000" w:themeColor="text1"/>
                <w:sz w:val="24"/>
                <w14:textFill>
                  <w14:solidFill>
                    <w14:schemeClr w14:val="tx1"/>
                  </w14:solidFill>
                </w14:textFill>
              </w:rPr>
              <w:t>发现泄漏后生产人员立即将泄漏的</w:t>
            </w:r>
            <w:r>
              <w:rPr>
                <w:rFonts w:hint="default" w:ascii="Times New Roman" w:hAnsi="Times New Roman" w:cs="Times New Roman"/>
                <w:bCs/>
                <w:color w:val="000000" w:themeColor="text1"/>
                <w:sz w:val="24"/>
                <w:lang w:eastAsia="zh-CN"/>
                <w14:textFill>
                  <w14:solidFill>
                    <w14:schemeClr w14:val="tx1"/>
                  </w14:solidFill>
                </w14:textFill>
              </w:rPr>
              <w:t>物质</w:t>
            </w:r>
            <w:r>
              <w:rPr>
                <w:rFonts w:hint="default" w:ascii="Times New Roman" w:hAnsi="Times New Roman" w:cs="Times New Roman"/>
                <w:bCs/>
                <w:color w:val="000000" w:themeColor="text1"/>
                <w:sz w:val="24"/>
                <w14:textFill>
                  <w14:solidFill>
                    <w14:schemeClr w14:val="tx1"/>
                  </w14:solidFill>
                </w14:textFill>
              </w:rPr>
              <w:t>收集到专门的容器内，放置于</w:t>
            </w:r>
            <w:r>
              <w:rPr>
                <w:rFonts w:hint="eastAsia" w:cs="Times New Roman"/>
                <w:bCs/>
                <w:color w:val="000000" w:themeColor="text1"/>
                <w:sz w:val="24"/>
                <w:lang w:eastAsia="zh-CN"/>
                <w14:textFill>
                  <w14:solidFill>
                    <w14:schemeClr w14:val="tx1"/>
                  </w14:solidFill>
                </w14:textFill>
              </w:rPr>
              <w:t>危废贮存库</w:t>
            </w:r>
            <w:r>
              <w:rPr>
                <w:rFonts w:hint="default" w:ascii="Times New Roman" w:hAnsi="Times New Roman" w:cs="Times New Roman"/>
                <w:bCs/>
                <w:color w:val="000000" w:themeColor="text1"/>
                <w:sz w:val="24"/>
                <w14:textFill>
                  <w14:solidFill>
                    <w14:schemeClr w14:val="tx1"/>
                  </w14:solidFill>
                </w14:textFill>
              </w:rPr>
              <w:t>内，及时交由</w:t>
            </w:r>
            <w:r>
              <w:rPr>
                <w:rFonts w:hint="default" w:ascii="Times New Roman" w:hAnsi="Times New Roman" w:cs="Times New Roman"/>
                <w:color w:val="000000" w:themeColor="text1"/>
                <w:sz w:val="24"/>
                <w14:textFill>
                  <w14:solidFill>
                    <w14:schemeClr w14:val="tx1"/>
                  </w14:solidFill>
                </w14:textFill>
              </w:rPr>
              <w:t>有资质的单位</w:t>
            </w:r>
            <w:r>
              <w:rPr>
                <w:rFonts w:hint="default" w:ascii="Times New Roman" w:hAnsi="Times New Roman" w:cs="Times New Roman"/>
                <w:bCs/>
                <w:color w:val="000000" w:themeColor="text1"/>
                <w:sz w:val="24"/>
                <w14:textFill>
                  <w14:solidFill>
                    <w14:schemeClr w14:val="tx1"/>
                  </w14:solidFill>
                </w14:textFill>
              </w:rPr>
              <w:t>处置，防止造成新的污染。</w:t>
            </w:r>
          </w:p>
          <w:p w14:paraId="654343FD">
            <w:pPr>
              <w:keepNext w:val="0"/>
              <w:keepLines/>
              <w:pageBreakBefore w:val="0"/>
              <w:kinsoku/>
              <w:overflowPunct/>
              <w:bidi w:val="0"/>
              <w:adjustRightInd/>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fldChar w:fldCharType="begin"/>
            </w:r>
            <w:r>
              <w:rPr>
                <w:rFonts w:hint="default" w:ascii="Times New Roman" w:hAnsi="Times New Roman" w:cs="Times New Roman"/>
                <w:color w:val="000000" w:themeColor="text1"/>
                <w:sz w:val="24"/>
                <w14:textFill>
                  <w14:solidFill>
                    <w14:schemeClr w14:val="tx1"/>
                  </w14:solidFill>
                </w14:textFill>
              </w:rPr>
              <w:instrText xml:space="preserve"> = 2 \* GB3 </w:instrText>
            </w:r>
            <w:r>
              <w:rPr>
                <w:rFonts w:hint="default" w:ascii="Times New Roman" w:hAnsi="Times New Roman" w:cs="Times New Roman"/>
                <w:color w:val="000000" w:themeColor="text1"/>
                <w:sz w:val="24"/>
                <w14:textFill>
                  <w14:solidFill>
                    <w14:schemeClr w14:val="tx1"/>
                  </w14:solidFill>
                </w14:textFill>
              </w:rPr>
              <w:fldChar w:fldCharType="separate"/>
            </w:r>
            <w:r>
              <w:rPr>
                <w:rFonts w:hint="default" w:ascii="Times New Roman" w:hAnsi="Times New Roman" w:cs="Times New Roman"/>
                <w:color w:val="000000" w:themeColor="text1"/>
                <w:sz w:val="24"/>
                <w14:textFill>
                  <w14:solidFill>
                    <w14:schemeClr w14:val="tx1"/>
                  </w14:solidFill>
                </w14:textFill>
              </w:rPr>
              <w:t>②</w:t>
            </w:r>
            <w:r>
              <w:rPr>
                <w:rFonts w:hint="default" w:ascii="Times New Roman" w:hAnsi="Times New Roman" w:cs="Times New Roman"/>
                <w:color w:val="000000" w:themeColor="text1"/>
                <w:sz w:val="24"/>
                <w14:textFill>
                  <w14:solidFill>
                    <w14:schemeClr w14:val="tx1"/>
                  </w14:solidFill>
                </w14:textFill>
              </w:rPr>
              <w:fldChar w:fldCharType="end"/>
            </w:r>
            <w:r>
              <w:rPr>
                <w:rFonts w:hint="default" w:ascii="Times New Roman" w:hAnsi="Times New Roman" w:cs="Times New Roman"/>
                <w:bCs/>
                <w:color w:val="000000" w:themeColor="text1"/>
                <w:sz w:val="24"/>
                <w14:textFill>
                  <w14:solidFill>
                    <w14:schemeClr w14:val="tx1"/>
                  </w14:solidFill>
                </w14:textFill>
              </w:rPr>
              <w:t>收集完毕之后将受影响的土壤清理干净。</w:t>
            </w:r>
          </w:p>
          <w:p w14:paraId="114CC39B">
            <w:pPr>
              <w:keepNext w:val="0"/>
              <w:keepLines/>
              <w:pageBreakBefore w:val="0"/>
              <w:kinsoku/>
              <w:overflowPunct/>
              <w:bidi w:val="0"/>
              <w:adjustRightInd/>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2）火灾应急处理</w:t>
            </w:r>
          </w:p>
          <w:p w14:paraId="6E422CEB">
            <w:pPr>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①迅速撤离火灾污染区人员至上风处，并立即进行隔离。应急处理人员戴自给正压式呼吸器，穿防毒服。尽可能切断泄漏源。</w:t>
            </w:r>
          </w:p>
          <w:p w14:paraId="4933637A">
            <w:pPr>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fldChar w:fldCharType="begin"/>
            </w:r>
            <w:r>
              <w:rPr>
                <w:rFonts w:hint="default" w:ascii="Times New Roman" w:hAnsi="Times New Roman" w:cs="Times New Roman"/>
                <w:color w:val="000000" w:themeColor="text1"/>
                <w:sz w:val="24"/>
                <w14:textFill>
                  <w14:solidFill>
                    <w14:schemeClr w14:val="tx1"/>
                  </w14:solidFill>
                </w14:textFill>
              </w:rPr>
              <w:instrText xml:space="preserve"> = 2 \* GB3 </w:instrText>
            </w:r>
            <w:r>
              <w:rPr>
                <w:rFonts w:hint="default" w:ascii="Times New Roman" w:hAnsi="Times New Roman" w:cs="Times New Roman"/>
                <w:color w:val="000000" w:themeColor="text1"/>
                <w:sz w:val="24"/>
                <w14:textFill>
                  <w14:solidFill>
                    <w14:schemeClr w14:val="tx1"/>
                  </w14:solidFill>
                </w14:textFill>
              </w:rPr>
              <w:fldChar w:fldCharType="separate"/>
            </w:r>
            <w:r>
              <w:rPr>
                <w:rFonts w:hint="default" w:ascii="Times New Roman" w:hAnsi="Times New Roman" w:cs="Times New Roman"/>
                <w:color w:val="000000" w:themeColor="text1"/>
                <w:sz w:val="24"/>
                <w14:textFill>
                  <w14:solidFill>
                    <w14:schemeClr w14:val="tx1"/>
                  </w14:solidFill>
                </w14:textFill>
              </w:rPr>
              <w:t>②</w:t>
            </w:r>
            <w:r>
              <w:rPr>
                <w:rFonts w:hint="default" w:ascii="Times New Roman" w:hAnsi="Times New Roman" w:cs="Times New Roman"/>
                <w:color w:val="000000" w:themeColor="text1"/>
                <w:sz w:val="24"/>
                <w14:textFill>
                  <w14:solidFill>
                    <w14:schemeClr w14:val="tx1"/>
                  </w14:solidFill>
                </w14:textFill>
              </w:rPr>
              <w:fldChar w:fldCharType="end"/>
            </w:r>
            <w:r>
              <w:rPr>
                <w:rFonts w:hint="default" w:ascii="Times New Roman" w:hAnsi="Times New Roman" w:cs="Times New Roman"/>
                <w:color w:val="000000" w:themeColor="text1"/>
                <w:sz w:val="24"/>
                <w14:textFill>
                  <w14:solidFill>
                    <w14:schemeClr w14:val="tx1"/>
                  </w14:solidFill>
                </w14:textFill>
              </w:rPr>
              <w:t>应急处理人员戴自给正压式呼吸器，穿防毒服，用灭火器紧急处理，及时报告，根据情况向厂内应急中心求救或拨打119。</w:t>
            </w:r>
          </w:p>
          <w:p w14:paraId="14C8BF47">
            <w:pPr>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fldChar w:fldCharType="begin"/>
            </w:r>
            <w:r>
              <w:rPr>
                <w:rFonts w:hint="default" w:ascii="Times New Roman" w:hAnsi="Times New Roman" w:cs="Times New Roman"/>
                <w:color w:val="000000" w:themeColor="text1"/>
                <w:sz w:val="24"/>
                <w14:textFill>
                  <w14:solidFill>
                    <w14:schemeClr w14:val="tx1"/>
                  </w14:solidFill>
                </w14:textFill>
              </w:rPr>
              <w:instrText xml:space="preserve"> = 3 \* GB3 </w:instrText>
            </w:r>
            <w:r>
              <w:rPr>
                <w:rFonts w:hint="default" w:ascii="Times New Roman" w:hAnsi="Times New Roman" w:cs="Times New Roman"/>
                <w:color w:val="000000" w:themeColor="text1"/>
                <w:sz w:val="24"/>
                <w14:textFill>
                  <w14:solidFill>
                    <w14:schemeClr w14:val="tx1"/>
                  </w14:solidFill>
                </w14:textFill>
              </w:rPr>
              <w:fldChar w:fldCharType="separate"/>
            </w:r>
            <w:r>
              <w:rPr>
                <w:rFonts w:hint="default" w:ascii="Times New Roman" w:hAnsi="Times New Roman" w:cs="Times New Roman"/>
                <w:color w:val="000000" w:themeColor="text1"/>
                <w:sz w:val="24"/>
                <w14:textFill>
                  <w14:solidFill>
                    <w14:schemeClr w14:val="tx1"/>
                  </w14:solidFill>
                </w14:textFill>
              </w:rPr>
              <w:t>③</w:t>
            </w:r>
            <w:r>
              <w:rPr>
                <w:rFonts w:hint="default" w:ascii="Times New Roman" w:hAnsi="Times New Roman" w:cs="Times New Roman"/>
                <w:color w:val="000000" w:themeColor="text1"/>
                <w:sz w:val="24"/>
                <w14:textFill>
                  <w14:solidFill>
                    <w14:schemeClr w14:val="tx1"/>
                  </w14:solidFill>
                </w14:textFill>
              </w:rPr>
              <w:fldChar w:fldCharType="end"/>
            </w:r>
            <w:r>
              <w:rPr>
                <w:rFonts w:hint="default" w:ascii="Times New Roman" w:hAnsi="Times New Roman" w:cs="Times New Roman"/>
                <w:color w:val="000000" w:themeColor="text1"/>
                <w:sz w:val="24"/>
                <w14:textFill>
                  <w14:solidFill>
                    <w14:schemeClr w14:val="tx1"/>
                  </w14:solidFill>
                </w14:textFill>
              </w:rPr>
              <w:t>切断火势蔓延的途径，冷却和疏散受火势威胁的密闭容器和可燃物，控制燃烧范围，并积极抢救受伤和被困人员。合理通风，加速扩散。</w:t>
            </w:r>
          </w:p>
          <w:p w14:paraId="7247D30C">
            <w:pPr>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④当人体吸入有毒气体引起中毒，须迅速脱离现场至空气新鲜处；情节严重的要立即就医。</w:t>
            </w:r>
          </w:p>
          <w:p w14:paraId="37CB8DEC">
            <w:pPr>
              <w:spacing w:line="360" w:lineRule="auto"/>
              <w:ind w:firstLine="482" w:firstLineChars="200"/>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kern w:val="0"/>
                <w:sz w:val="24"/>
                <w:lang w:eastAsia="zh-CN"/>
                <w14:textFill>
                  <w14:solidFill>
                    <w14:schemeClr w14:val="tx1"/>
                  </w14:solidFill>
                </w14:textFill>
              </w:rPr>
              <w:t>（</w:t>
            </w:r>
            <w:r>
              <w:rPr>
                <w:rFonts w:hint="default" w:ascii="Times New Roman" w:hAnsi="Times New Roman" w:cs="Times New Roman"/>
                <w:b/>
                <w:bCs/>
                <w:color w:val="000000" w:themeColor="text1"/>
                <w:kern w:val="0"/>
                <w:sz w:val="24"/>
                <w:lang w:val="en-US" w:eastAsia="zh-CN"/>
                <w14:textFill>
                  <w14:solidFill>
                    <w14:schemeClr w14:val="tx1"/>
                  </w14:solidFill>
                </w14:textFill>
              </w:rPr>
              <w:t>5</w:t>
            </w:r>
            <w:r>
              <w:rPr>
                <w:rFonts w:hint="default" w:ascii="Times New Roman" w:hAnsi="Times New Roman" w:cs="Times New Roman"/>
                <w:b/>
                <w:bCs/>
                <w:color w:val="000000" w:themeColor="text1"/>
                <w:kern w:val="0"/>
                <w:sz w:val="24"/>
                <w:lang w:eastAsia="zh-CN"/>
                <w14:textFill>
                  <w14:solidFill>
                    <w14:schemeClr w14:val="tx1"/>
                  </w14:solidFill>
                </w14:textFill>
              </w:rPr>
              <w:t>）</w:t>
            </w:r>
            <w:r>
              <w:rPr>
                <w:rFonts w:hint="default" w:ascii="Times New Roman" w:hAnsi="Times New Roman" w:cs="Times New Roman"/>
                <w:b/>
                <w:bCs/>
                <w:color w:val="000000" w:themeColor="text1"/>
                <w:sz w:val="24"/>
                <w:lang w:eastAsia="zh-CN"/>
                <w14:textFill>
                  <w14:solidFill>
                    <w14:schemeClr w14:val="tx1"/>
                  </w14:solidFill>
                </w14:textFill>
              </w:rPr>
              <w:t>次生污染物 CO 的环境影响分析</w:t>
            </w:r>
          </w:p>
          <w:p w14:paraId="4D0E54C3">
            <w:pPr>
              <w:spacing w:line="360" w:lineRule="auto"/>
              <w:ind w:firstLine="480" w:firstLineChars="200"/>
              <w:rPr>
                <w:rFonts w:hint="default" w:ascii="Times New Roman" w:hAnsi="Times New Roman" w:eastAsia="宋体" w:cs="Times New Roman"/>
                <w:b w:val="0"/>
                <w:bCs w:val="0"/>
                <w:color w:val="000000" w:themeColor="text1"/>
                <w:sz w:val="24"/>
                <w:lang w:eastAsia="zh-CN"/>
                <w14:textFill>
                  <w14:solidFill>
                    <w14:schemeClr w14:val="tx1"/>
                  </w14:solidFill>
                </w14:textFill>
              </w:rPr>
            </w:pPr>
            <w:r>
              <w:rPr>
                <w:rFonts w:hint="default" w:ascii="Times New Roman" w:hAnsi="Times New Roman" w:cs="Times New Roman"/>
                <w:b w:val="0"/>
                <w:bCs w:val="0"/>
                <w:color w:val="000000" w:themeColor="text1"/>
                <w:sz w:val="24"/>
                <w:lang w:eastAsia="zh-CN"/>
                <w14:textFill>
                  <w14:solidFill>
                    <w14:schemeClr w14:val="tx1"/>
                  </w14:solidFill>
                </w14:textFill>
              </w:rPr>
              <w:t>本项目最大可行事故为厂区可燃物质发生的火灾事故。</w:t>
            </w:r>
          </w:p>
          <w:p w14:paraId="4B9C00B7">
            <w:pPr>
              <w:spacing w:line="360" w:lineRule="auto"/>
              <w:ind w:firstLine="480" w:firstLineChars="200"/>
              <w:rPr>
                <w:rFonts w:hint="default" w:ascii="Times New Roman" w:hAnsi="Times New Roman" w:eastAsia="宋体" w:cs="Times New Roman"/>
                <w:b w:val="0"/>
                <w:bCs w:val="0"/>
                <w:color w:val="000000" w:themeColor="text1"/>
                <w:sz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根据</w:t>
            </w:r>
            <w:r>
              <w:rPr>
                <w:rFonts w:hint="default" w:ascii="Times New Roman" w:hAnsi="Times New Roman" w:cs="Times New Roman"/>
                <w:color w:val="000000" w:themeColor="text1"/>
                <w:sz w:val="24"/>
                <w14:textFill>
                  <w14:solidFill>
                    <w14:schemeClr w14:val="tx1"/>
                  </w14:solidFill>
                </w14:textFill>
              </w:rPr>
              <w:t>《建设项目环境风险评价技术导则》（HJ169-2018）</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中</w:t>
            </w:r>
            <w:r>
              <w:rPr>
                <w:rFonts w:hint="default"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F3.2一氧化碳产生量</w:t>
            </w:r>
            <w:r>
              <w:rPr>
                <w:rFonts w:hint="default"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，本项目发生火灾伴生/次生中CO的产生量按以下</w:t>
            </w:r>
            <w:r>
              <w:rPr>
                <w:rFonts w:hint="eastAsia" w:cs="Times New Roman"/>
                <w:b w:val="0"/>
                <w:bCs w:val="0"/>
                <w:color w:val="000000" w:themeColor="text1"/>
                <w:sz w:val="24"/>
                <w:lang w:eastAsia="zh-CN"/>
                <w14:textFill>
                  <w14:solidFill>
                    <w14:schemeClr w14:val="tx1"/>
                  </w14:solidFill>
                </w14:textFill>
              </w:rPr>
              <w:t>公式</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计算：</w:t>
            </w:r>
          </w:p>
          <w:p w14:paraId="66A01F62">
            <w:pPr>
              <w:spacing w:line="360" w:lineRule="auto"/>
              <w:ind w:firstLine="480" w:firstLineChars="200"/>
              <w:rPr>
                <w:rFonts w:hint="default" w:ascii="Times New Roman" w:hAnsi="Times New Roman" w:cs="Times New Roman"/>
                <w:b w:val="0"/>
                <w:bCs w:val="0"/>
                <w:color w:val="000000" w:themeColor="text1"/>
                <w:sz w:val="24"/>
                <w14:textFill>
                  <w14:solidFill>
                    <w14:schemeClr w14:val="tx1"/>
                  </w14:solidFill>
                </w14:textFill>
              </w:rPr>
            </w:pPr>
            <w:r>
              <w:rPr>
                <w:rFonts w:hint="default" w:ascii="Times New Roman" w:hAnsi="Times New Roman" w:cs="Times New Roman"/>
                <w:b w:val="0"/>
                <w:bCs w:val="0"/>
                <w:color w:val="000000" w:themeColor="text1"/>
                <w:sz w:val="24"/>
                <w14:textFill>
                  <w14:solidFill>
                    <w14:schemeClr w14:val="tx1"/>
                  </w14:solidFill>
                </w14:textFill>
              </w:rPr>
              <w:t>G</w:t>
            </w:r>
            <w:r>
              <w:rPr>
                <w:rFonts w:hint="default" w:ascii="Times New Roman" w:hAnsi="Times New Roman" w:cs="Times New Roman"/>
                <w:b w:val="0"/>
                <w:bCs w:val="0"/>
                <w:color w:val="000000" w:themeColor="text1"/>
                <w:sz w:val="24"/>
                <w:vertAlign w:val="subscript"/>
                <w14:textFill>
                  <w14:solidFill>
                    <w14:schemeClr w14:val="tx1"/>
                  </w14:solidFill>
                </w14:textFill>
              </w:rPr>
              <w:t>CO</w:t>
            </w:r>
            <w:r>
              <w:rPr>
                <w:rFonts w:hint="default" w:ascii="Times New Roman" w:hAnsi="Times New Roman" w:cs="Times New Roman"/>
                <w:b w:val="0"/>
                <w:bCs w:val="0"/>
                <w:color w:val="000000" w:themeColor="text1"/>
                <w:sz w:val="24"/>
                <w14:textFill>
                  <w14:solidFill>
                    <w14:schemeClr w14:val="tx1"/>
                  </w14:solidFill>
                </w14:textFill>
              </w:rPr>
              <w:t>=2330qC</w:t>
            </w:r>
          </w:p>
          <w:p w14:paraId="38CDB16D">
            <w:pPr>
              <w:spacing w:line="360" w:lineRule="auto"/>
              <w:ind w:firstLine="480" w:firstLineChars="200"/>
              <w:rPr>
                <w:rFonts w:hint="default" w:ascii="Times New Roman" w:hAnsi="Times New Roman" w:cs="Times New Roman"/>
                <w:b w:val="0"/>
                <w:bCs w:val="0"/>
                <w:color w:val="000000" w:themeColor="text1"/>
                <w:sz w:val="24"/>
                <w14:textFill>
                  <w14:solidFill>
                    <w14:schemeClr w14:val="tx1"/>
                  </w14:solidFill>
                </w14:textFill>
              </w:rPr>
            </w:pPr>
            <w:r>
              <w:rPr>
                <w:rFonts w:hint="default" w:ascii="Times New Roman" w:hAnsi="Times New Roman" w:cs="Times New Roman"/>
                <w:b w:val="0"/>
                <w:bCs w:val="0"/>
                <w:color w:val="000000" w:themeColor="text1"/>
                <w:sz w:val="24"/>
                <w14:textFill>
                  <w14:solidFill>
                    <w14:schemeClr w14:val="tx1"/>
                  </w14:solidFill>
                </w14:textFill>
              </w:rPr>
              <w:t>式中：G</w:t>
            </w:r>
            <w:r>
              <w:rPr>
                <w:rFonts w:hint="default" w:ascii="Times New Roman" w:hAnsi="Times New Roman" w:cs="Times New Roman"/>
                <w:b w:val="0"/>
                <w:bCs w:val="0"/>
                <w:color w:val="000000" w:themeColor="text1"/>
                <w:sz w:val="24"/>
                <w:vertAlign w:val="subscript"/>
                <w14:textFill>
                  <w14:solidFill>
                    <w14:schemeClr w14:val="tx1"/>
                  </w14:solidFill>
                </w14:textFill>
              </w:rPr>
              <w:t>CO</w:t>
            </w:r>
            <w:r>
              <w:rPr>
                <w:rFonts w:hint="default" w:ascii="Times New Roman" w:hAnsi="Times New Roman" w:cs="Times New Roman"/>
                <w:b w:val="0"/>
                <w:bCs w:val="0"/>
                <w:color w:val="000000" w:themeColor="text1"/>
                <w:sz w:val="24"/>
                <w14:textFill>
                  <w14:solidFill>
                    <w14:schemeClr w14:val="tx1"/>
                  </w14:solidFill>
                </w14:textFill>
              </w:rPr>
              <w:t>——</w:t>
            </w:r>
            <w:r>
              <w:rPr>
                <w:rFonts w:hint="default" w:ascii="Times New Roman" w:hAnsi="Times New Roman" w:cs="Times New Roman"/>
                <w:b w:val="0"/>
                <w:bCs w:val="0"/>
                <w:color w:val="000000" w:themeColor="text1"/>
                <w:sz w:val="24"/>
                <w:lang w:val="en-US" w:eastAsia="zh-CN"/>
                <w14:textFill>
                  <w14:solidFill>
                    <w14:schemeClr w14:val="tx1"/>
                  </w14:solidFill>
                </w14:textFill>
              </w:rPr>
              <w:t>CO</w:t>
            </w:r>
            <w:r>
              <w:rPr>
                <w:rFonts w:hint="default" w:ascii="Times New Roman" w:hAnsi="Times New Roman" w:cs="Times New Roman"/>
                <w:b w:val="0"/>
                <w:bCs w:val="0"/>
                <w:color w:val="000000" w:themeColor="text1"/>
                <w:sz w:val="24"/>
                <w14:textFill>
                  <w14:solidFill>
                    <w14:schemeClr w14:val="tx1"/>
                  </w14:solidFill>
                </w14:textFill>
              </w:rPr>
              <w:t>的产生量，g/kg；</w:t>
            </w:r>
          </w:p>
          <w:p w14:paraId="61F639FC">
            <w:pPr>
              <w:spacing w:line="360" w:lineRule="auto"/>
              <w:ind w:firstLine="480" w:firstLineChars="200"/>
              <w:rPr>
                <w:rFonts w:hint="default" w:ascii="Times New Roman" w:hAnsi="Times New Roman" w:cs="Times New Roman"/>
                <w:b w:val="0"/>
                <w:bCs w:val="0"/>
                <w:color w:val="000000" w:themeColor="text1"/>
                <w:sz w:val="24"/>
                <w14:textFill>
                  <w14:solidFill>
                    <w14:schemeClr w14:val="tx1"/>
                  </w14:solidFill>
                </w14:textFill>
              </w:rPr>
            </w:pPr>
            <w:r>
              <w:rPr>
                <w:rFonts w:hint="default" w:ascii="Times New Roman" w:hAnsi="Times New Roman" w:cs="Times New Roman"/>
                <w:b w:val="0"/>
                <w:bCs w:val="0"/>
                <w:color w:val="000000" w:themeColor="text1"/>
                <w:sz w:val="24"/>
                <w14:textFill>
                  <w14:solidFill>
                    <w14:schemeClr w14:val="tx1"/>
                  </w14:solidFill>
                </w14:textFill>
              </w:rPr>
              <w:t>C——物质中碳的质量百分比含量，%.，本项目取</w:t>
            </w:r>
            <w:r>
              <w:rPr>
                <w:rFonts w:hint="default" w:ascii="Times New Roman" w:hAnsi="Times New Roman" w:cs="Times New Roman"/>
                <w:b w:val="0"/>
                <w:bCs w:val="0"/>
                <w:color w:val="000000" w:themeColor="text1"/>
                <w:sz w:val="24"/>
                <w:lang w:val="en-US" w:eastAsia="zh-CN"/>
                <w14:textFill>
                  <w14:solidFill>
                    <w14:schemeClr w14:val="tx1"/>
                  </w14:solidFill>
                </w14:textFill>
              </w:rPr>
              <w:t>80</w:t>
            </w:r>
            <w:r>
              <w:rPr>
                <w:rFonts w:hint="default" w:ascii="Times New Roman" w:hAnsi="Times New Roman" w:cs="Times New Roman"/>
                <w:b w:val="0"/>
                <w:bCs w:val="0"/>
                <w:color w:val="000000" w:themeColor="text1"/>
                <w:sz w:val="24"/>
                <w14:textFill>
                  <w14:solidFill>
                    <w14:schemeClr w14:val="tx1"/>
                  </w14:solidFill>
                </w14:textFill>
              </w:rPr>
              <w:t>%；</w:t>
            </w:r>
          </w:p>
          <w:p w14:paraId="01B61E26">
            <w:pPr>
              <w:spacing w:line="360" w:lineRule="auto"/>
              <w:ind w:firstLine="480" w:firstLineChars="200"/>
              <w:rPr>
                <w:rFonts w:hint="default" w:ascii="Times New Roman" w:hAnsi="Times New Roman" w:cs="Times New Roman"/>
                <w:b w:val="0"/>
                <w:bCs w:val="0"/>
                <w:color w:val="000000" w:themeColor="text1"/>
                <w:sz w:val="24"/>
                <w14:textFill>
                  <w14:solidFill>
                    <w14:schemeClr w14:val="tx1"/>
                  </w14:solidFill>
                </w14:textFill>
              </w:rPr>
            </w:pPr>
            <w:r>
              <w:rPr>
                <w:rFonts w:hint="default" w:ascii="Times New Roman" w:hAnsi="Times New Roman" w:cs="Times New Roman"/>
                <w:b w:val="0"/>
                <w:bCs w:val="0"/>
                <w:color w:val="000000" w:themeColor="text1"/>
                <w:sz w:val="24"/>
                <w14:textFill>
                  <w14:solidFill>
                    <w14:schemeClr w14:val="tx1"/>
                  </w14:solidFill>
                </w14:textFill>
              </w:rPr>
              <w:t>q——化学不完全燃烧值，%，一般取5%-20%，本项目按10%计；</w:t>
            </w:r>
          </w:p>
          <w:p w14:paraId="67BD6007">
            <w:pPr>
              <w:spacing w:line="360" w:lineRule="auto"/>
              <w:ind w:firstLine="480" w:firstLineChars="200"/>
              <w:rPr>
                <w:rFonts w:hint="default" w:ascii="Times New Roman" w:hAnsi="Times New Roman" w:cs="Times New Roman"/>
                <w:b w:val="0"/>
                <w:bCs w:val="0"/>
                <w:color w:val="000000" w:themeColor="text1"/>
                <w:sz w:val="24"/>
                <w14:textFill>
                  <w14:solidFill>
                    <w14:schemeClr w14:val="tx1"/>
                  </w14:solidFill>
                </w14:textFill>
              </w:rPr>
            </w:pPr>
            <w:r>
              <w:rPr>
                <w:rFonts w:hint="default" w:ascii="Times New Roman" w:hAnsi="Times New Roman" w:cs="Times New Roman"/>
                <w:b w:val="0"/>
                <w:bCs w:val="0"/>
                <w:color w:val="000000" w:themeColor="text1"/>
                <w:sz w:val="24"/>
                <w14:textFill>
                  <w14:solidFill>
                    <w14:schemeClr w14:val="tx1"/>
                  </w14:solidFill>
                </w14:textFill>
              </w:rPr>
              <w:t>则本项目火灾伴生/次生中</w:t>
            </w:r>
            <w:r>
              <w:rPr>
                <w:rFonts w:hint="default" w:ascii="Times New Roman" w:hAnsi="Times New Roman" w:cs="Times New Roman"/>
                <w:b w:val="0"/>
                <w:bCs w:val="0"/>
                <w:color w:val="000000" w:themeColor="text1"/>
                <w:sz w:val="24"/>
                <w:lang w:val="en-US" w:eastAsia="zh-CN"/>
                <w14:textFill>
                  <w14:solidFill>
                    <w14:schemeClr w14:val="tx1"/>
                  </w14:solidFill>
                </w14:textFill>
              </w:rPr>
              <w:t>CO</w:t>
            </w:r>
            <w:r>
              <w:rPr>
                <w:rFonts w:hint="default" w:ascii="Times New Roman" w:hAnsi="Times New Roman" w:cs="Times New Roman"/>
                <w:b w:val="0"/>
                <w:bCs w:val="0"/>
                <w:color w:val="000000" w:themeColor="text1"/>
                <w:sz w:val="24"/>
                <w14:textFill>
                  <w14:solidFill>
                    <w14:schemeClr w14:val="tx1"/>
                  </w14:solidFill>
                </w14:textFill>
              </w:rPr>
              <w:t>的产生量G</w:t>
            </w:r>
            <w:r>
              <w:rPr>
                <w:rFonts w:hint="default" w:ascii="Times New Roman" w:hAnsi="Times New Roman" w:cs="Times New Roman"/>
                <w:b w:val="0"/>
                <w:bCs w:val="0"/>
                <w:color w:val="000000" w:themeColor="text1"/>
                <w:sz w:val="24"/>
                <w:vertAlign w:val="subscript"/>
                <w14:textFill>
                  <w14:solidFill>
                    <w14:schemeClr w14:val="tx1"/>
                  </w14:solidFill>
                </w14:textFill>
              </w:rPr>
              <w:t>CO</w:t>
            </w:r>
            <w:r>
              <w:rPr>
                <w:rFonts w:hint="default" w:ascii="Times New Roman" w:hAnsi="Times New Roman" w:cs="Times New Roman"/>
                <w:b w:val="0"/>
                <w:bCs w:val="0"/>
                <w:color w:val="000000" w:themeColor="text1"/>
                <w:sz w:val="24"/>
                <w14:textFill>
                  <w14:solidFill>
                    <w14:schemeClr w14:val="tx1"/>
                  </w14:solidFill>
                </w14:textFill>
              </w:rPr>
              <w:t>=186.4g/kg。</w:t>
            </w:r>
          </w:p>
          <w:p w14:paraId="194326ED">
            <w:pPr>
              <w:spacing w:line="360" w:lineRule="auto"/>
              <w:ind w:firstLine="480" w:firstLineChars="200"/>
              <w:rPr>
                <w:rFonts w:hint="default" w:ascii="Times New Roman" w:hAnsi="Times New Roman" w:cs="Times New Roman"/>
                <w:b w:val="0"/>
                <w:bCs w:val="0"/>
                <w:color w:val="000000" w:themeColor="text1"/>
                <w:sz w:val="24"/>
                <w:lang w:eastAsia="zh-CN"/>
                <w14:textFill>
                  <w14:solidFill>
                    <w14:schemeClr w14:val="tx1"/>
                  </w14:solidFill>
                </w14:textFill>
              </w:rPr>
            </w:pPr>
            <w:r>
              <w:rPr>
                <w:rFonts w:hint="default" w:ascii="Times New Roman" w:hAnsi="Times New Roman" w:cs="Times New Roman"/>
                <w:b w:val="0"/>
                <w:bCs w:val="0"/>
                <w:color w:val="000000" w:themeColor="text1"/>
                <w:sz w:val="24"/>
                <w:lang w:eastAsia="zh-CN"/>
                <w14:textFill>
                  <w14:solidFill>
                    <w14:schemeClr w14:val="tx1"/>
                  </w14:solidFill>
                </w14:textFill>
              </w:rPr>
              <w:t>假设发生火灾事故，</w:t>
            </w:r>
            <w:r>
              <w:rPr>
                <w:rFonts w:hint="default" w:ascii="Times New Roman" w:hAnsi="Times New Roman" w:cs="Times New Roman"/>
                <w:b w:val="0"/>
                <w:bCs w:val="0"/>
                <w:color w:val="000000" w:themeColor="text1"/>
                <w:sz w:val="24"/>
                <w:lang w:val="en-US" w:eastAsia="zh-CN"/>
                <w14:textFill>
                  <w14:solidFill>
                    <w14:schemeClr w14:val="tx1"/>
                  </w14:solidFill>
                </w14:textFill>
              </w:rPr>
              <w:t>10</w:t>
            </w:r>
            <w:r>
              <w:rPr>
                <w:rFonts w:hint="default" w:ascii="Times New Roman" w:hAnsi="Times New Roman" w:cs="Times New Roman"/>
                <w:b w:val="0"/>
                <w:bCs w:val="0"/>
                <w:color w:val="000000" w:themeColor="text1"/>
                <w:sz w:val="24"/>
                <w:lang w:eastAsia="zh-CN"/>
                <w14:textFill>
                  <w14:solidFill>
                    <w14:schemeClr w14:val="tx1"/>
                  </w14:solidFill>
                </w14:textFill>
              </w:rPr>
              <w:t>min内所有泄漏的物料燃烧，短时间内参与火灾的</w:t>
            </w:r>
            <w:r>
              <w:rPr>
                <w:rFonts w:hint="eastAsia" w:ascii="Times New Roman" w:hAnsi="Times New Roman" w:cs="Times New Roman"/>
                <w:b w:val="0"/>
                <w:bCs w:val="0"/>
                <w:color w:val="000000" w:themeColor="text1"/>
                <w:sz w:val="24"/>
                <w:lang w:eastAsia="zh-CN"/>
                <w14:textFill>
                  <w14:solidFill>
                    <w14:schemeClr w14:val="tx1"/>
                  </w14:solidFill>
                </w14:textFill>
              </w:rPr>
              <w:t>风险物质量</w:t>
            </w:r>
            <w:r>
              <w:rPr>
                <w:rFonts w:hint="default" w:ascii="Times New Roman" w:hAnsi="Times New Roman" w:cs="Times New Roman"/>
                <w:b w:val="0"/>
                <w:bCs w:val="0"/>
                <w:color w:val="000000" w:themeColor="text1"/>
                <w:sz w:val="24"/>
                <w:lang w:eastAsia="zh-CN"/>
                <w14:textFill>
                  <w14:solidFill>
                    <w14:schemeClr w14:val="tx1"/>
                  </w14:solidFill>
                </w14:textFill>
              </w:rPr>
              <w:t>为</w:t>
            </w:r>
            <w:r>
              <w:rPr>
                <w:rFonts w:hint="default" w:ascii="Times New Roman" w:hAnsi="Times New Roman" w:cs="Times New Roman"/>
                <w:b w:val="0"/>
                <w:bCs w:val="0"/>
                <w:color w:val="000000" w:themeColor="text1"/>
                <w:sz w:val="24"/>
                <w:lang w:val="en-US" w:eastAsia="zh-CN"/>
                <w14:textFill>
                  <w14:solidFill>
                    <w14:schemeClr w14:val="tx1"/>
                  </w14:solidFill>
                </w14:textFill>
              </w:rPr>
              <w:t>0.0</w:t>
            </w:r>
            <w:r>
              <w:rPr>
                <w:rFonts w:hint="eastAsia" w:ascii="Times New Roman" w:hAnsi="Times New Roman" w:cs="Times New Roman"/>
                <w:b w:val="0"/>
                <w:bCs w:val="0"/>
                <w:color w:val="000000" w:themeColor="text1"/>
                <w:sz w:val="24"/>
                <w:lang w:val="en-US" w:eastAsia="zh-CN"/>
                <w14:textFill>
                  <w14:solidFill>
                    <w14:schemeClr w14:val="tx1"/>
                  </w14:solidFill>
                </w14:textFill>
              </w:rPr>
              <w:t>6</w:t>
            </w:r>
            <w:r>
              <w:rPr>
                <w:rFonts w:hint="eastAsia" w:cs="Times New Roman"/>
                <w:b w:val="0"/>
                <w:bCs w:val="0"/>
                <w:color w:val="000000" w:themeColor="text1"/>
                <w:sz w:val="24"/>
                <w:lang w:val="en-US" w:eastAsia="zh-CN"/>
                <w14:textFill>
                  <w14:solidFill>
                    <w14:schemeClr w14:val="tx1"/>
                  </w14:solidFill>
                </w14:textFill>
              </w:rPr>
              <w:t>5</w:t>
            </w:r>
            <w:r>
              <w:rPr>
                <w:rFonts w:hint="eastAsia" w:ascii="Times New Roman" w:hAnsi="Times New Roman" w:cs="Times New Roman"/>
                <w:b w:val="0"/>
                <w:bCs w:val="0"/>
                <w:color w:val="000000" w:themeColor="text1"/>
                <w:sz w:val="24"/>
                <w:lang w:val="en-US" w:eastAsia="zh-CN"/>
                <w14:textFill>
                  <w14:solidFill>
                    <w14:schemeClr w14:val="tx1"/>
                  </w14:solidFill>
                </w14:textFill>
              </w:rPr>
              <w:t>52</w:t>
            </w:r>
            <w:r>
              <w:rPr>
                <w:rFonts w:hint="default" w:ascii="Times New Roman" w:hAnsi="Times New Roman" w:cs="Times New Roman"/>
                <w:b w:val="0"/>
                <w:bCs w:val="0"/>
                <w:color w:val="000000" w:themeColor="text1"/>
                <w:sz w:val="24"/>
                <w:lang w:val="en-US" w:eastAsia="zh-CN"/>
                <w14:textFill>
                  <w14:solidFill>
                    <w14:schemeClr w14:val="tx1"/>
                  </w14:solidFill>
                </w14:textFill>
              </w:rPr>
              <w:t>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w:t>
            </w:r>
            <w:r>
              <w:rPr>
                <w:rFonts w:hint="default" w:ascii="Times New Roman" w:hAnsi="Times New Roman" w:cs="Times New Roman"/>
                <w:b w:val="0"/>
                <w:bCs w:val="0"/>
                <w:color w:val="000000" w:themeColor="text1"/>
                <w:sz w:val="24"/>
                <w:lang w:eastAsia="zh-CN"/>
                <w14:textFill>
                  <w14:solidFill>
                    <w14:schemeClr w14:val="tx1"/>
                  </w14:solidFill>
                </w14:textFill>
              </w:rPr>
              <w:t>CO 的产生速率为</w:t>
            </w:r>
            <w:r>
              <w:rPr>
                <w:rFonts w:hint="default" w:ascii="Times New Roman" w:hAnsi="Times New Roman" w:cs="Times New Roman"/>
                <w:b w:val="0"/>
                <w:bCs w:val="0"/>
                <w:color w:val="000000" w:themeColor="text1"/>
                <w:sz w:val="24"/>
                <w:lang w:val="en-US" w:eastAsia="zh-CN"/>
                <w14:textFill>
                  <w14:solidFill>
                    <w14:schemeClr w14:val="tx1"/>
                  </w14:solidFill>
                </w14:textFill>
              </w:rPr>
              <w:t>0.0</w:t>
            </w:r>
            <w:r>
              <w:rPr>
                <w:rFonts w:hint="eastAsia" w:cs="Times New Roman"/>
                <w:b w:val="0"/>
                <w:bCs w:val="0"/>
                <w:color w:val="000000" w:themeColor="text1"/>
                <w:sz w:val="24"/>
                <w:lang w:val="en-US" w:eastAsia="zh-CN"/>
                <w14:textFill>
                  <w14:solidFill>
                    <w14:schemeClr w14:val="tx1"/>
                  </w14:solidFill>
                </w14:textFill>
              </w:rPr>
              <w:t>2035</w:t>
            </w:r>
            <w:r>
              <w:rPr>
                <w:rFonts w:hint="default" w:ascii="Times New Roman" w:hAnsi="Times New Roman" w:cs="Times New Roman"/>
                <w:b w:val="0"/>
                <w:bCs w:val="0"/>
                <w:color w:val="000000" w:themeColor="text1"/>
                <w:sz w:val="24"/>
                <w:lang w:eastAsia="zh-CN"/>
                <w14:textFill>
                  <w14:solidFill>
                    <w14:schemeClr w14:val="tx1"/>
                  </w14:solidFill>
                </w14:textFill>
              </w:rPr>
              <w:t>kg/s。</w:t>
            </w:r>
          </w:p>
          <w:p w14:paraId="172BF04A">
            <w:pPr>
              <w:spacing w:line="360" w:lineRule="auto"/>
              <w:ind w:firstLine="480" w:firstLineChars="200"/>
              <w:rPr>
                <w:rFonts w:hint="default" w:ascii="Times New Roman" w:hAnsi="Times New Roman" w:eastAsia="宋体" w:cs="Times New Roman"/>
                <w:b w:val="0"/>
                <w:bCs w:val="0"/>
                <w:color w:val="000000" w:themeColor="text1"/>
                <w:sz w:val="24"/>
                <w:lang w:eastAsia="zh-CN"/>
                <w14:textFill>
                  <w14:solidFill>
                    <w14:schemeClr w14:val="tx1"/>
                  </w14:solidFill>
                </w14:textFill>
              </w:rPr>
            </w:pPr>
            <w:r>
              <w:rPr>
                <w:rFonts w:hint="default" w:ascii="Times New Roman" w:hAnsi="Times New Roman" w:cs="Times New Roman"/>
                <w:b w:val="0"/>
                <w:bCs w:val="0"/>
                <w:color w:val="000000" w:themeColor="text1"/>
                <w:sz w:val="24"/>
                <w14:textFill>
                  <w14:solidFill>
                    <w14:schemeClr w14:val="tx1"/>
                  </w14:solidFill>
                </w14:textFill>
              </w:rPr>
              <w:t>根据《建设项目环境风险评价技术导则》，本评价采用</w:t>
            </w:r>
            <w:r>
              <w:rPr>
                <w:rFonts w:hint="default" w:ascii="Times New Roman" w:hAnsi="Times New Roman" w:cs="Times New Roman"/>
                <w:b w:val="0"/>
                <w:bCs w:val="0"/>
                <w:color w:val="000000" w:themeColor="text1"/>
                <w:sz w:val="24"/>
                <w:lang w:eastAsia="zh-CN"/>
                <w14:textFill>
                  <w14:solidFill>
                    <w14:schemeClr w14:val="tx1"/>
                  </w14:solidFill>
                </w14:textFill>
              </w:rPr>
              <w:t>多</w:t>
            </w:r>
            <w:r>
              <w:rPr>
                <w:rFonts w:hint="default" w:ascii="Times New Roman" w:hAnsi="Times New Roman" w:cs="Times New Roman"/>
                <w:b w:val="0"/>
                <w:bCs w:val="0"/>
                <w:color w:val="000000" w:themeColor="text1"/>
                <w:sz w:val="24"/>
                <w14:textFill>
                  <w14:solidFill>
                    <w14:schemeClr w14:val="tx1"/>
                  </w14:solidFill>
                </w14:textFill>
              </w:rPr>
              <w:t>烟团模式</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。本次使用环境风险评价系统</w:t>
            </w:r>
            <w:r>
              <w:rPr>
                <w:rFonts w:hint="eastAsia"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RiskSystem</w:t>
            </w:r>
            <w:r>
              <w:rPr>
                <w:rFonts w:hint="eastAsia"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进行预测。</w:t>
            </w:r>
          </w:p>
          <w:p w14:paraId="2AB841A4">
            <w:pPr>
              <w:spacing w:line="360" w:lineRule="auto"/>
              <w:ind w:firstLine="480" w:firstLineChars="200"/>
              <w:rPr>
                <w:rFonts w:hint="default" w:ascii="Times New Roman" w:hAnsi="Times New Roman" w:eastAsia="宋体" w:cs="Times New Roman"/>
                <w:b w:val="0"/>
                <w:bCs w:val="0"/>
                <w:color w:val="000000" w:themeColor="text1"/>
                <w:sz w:val="24"/>
                <w:lang w:eastAsia="zh-CN"/>
                <w14:textFill>
                  <w14:solidFill>
                    <w14:schemeClr w14:val="tx1"/>
                  </w14:solidFill>
                </w14:textFill>
              </w:rPr>
            </w:pPr>
            <w:r>
              <w:rPr>
                <w:rFonts w:hint="default" w:ascii="Times New Roman" w:hAnsi="Times New Roman" w:cs="Times New Roman"/>
                <w:b w:val="0"/>
                <w:bCs w:val="0"/>
                <w:color w:val="000000" w:themeColor="text1"/>
                <w:sz w:val="24"/>
                <w:lang w:eastAsia="zh-CN"/>
                <w14:textFill>
                  <w14:solidFill>
                    <w14:schemeClr w14:val="tx1"/>
                  </w14:solidFill>
                </w14:textFill>
              </w:rPr>
              <w:t>考虑事故影响程度，故本次预测面源面积以生产车间面积</w:t>
            </w:r>
            <w:r>
              <w:rPr>
                <w:rFonts w:hint="eastAsia" w:cs="Times New Roman"/>
                <w:b w:val="0"/>
                <w:bCs w:val="0"/>
                <w:color w:val="000000" w:themeColor="text1"/>
                <w:sz w:val="24"/>
                <w:lang w:val="en-US" w:eastAsia="zh-CN"/>
                <w14:textFill>
                  <w14:solidFill>
                    <w14:schemeClr w14:val="tx1"/>
                  </w14:solidFill>
                </w14:textFill>
              </w:rPr>
              <w:t>1827</w:t>
            </w:r>
            <w:r>
              <w:rPr>
                <w:rFonts w:hint="default" w:ascii="Times New Roman" w:hAnsi="Times New Roman" w:cs="Times New Roman"/>
                <w:b w:val="0"/>
                <w:bCs w:val="0"/>
                <w:color w:val="000000" w:themeColor="text1"/>
                <w:sz w:val="24"/>
                <w:lang w:val="en-US" w:eastAsia="zh-CN"/>
                <w14:textFill>
                  <w14:solidFill>
                    <w14:schemeClr w14:val="tx1"/>
                  </w14:solidFill>
                </w14:textFill>
              </w:rPr>
              <w:t>m</w:t>
            </w:r>
            <w:r>
              <w:rPr>
                <w:rFonts w:hint="default" w:ascii="Times New Roman" w:hAnsi="Times New Roman" w:cs="Times New Roman"/>
                <w:b w:val="0"/>
                <w:bCs w:val="0"/>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b w:val="0"/>
                <w:bCs w:val="0"/>
                <w:color w:val="000000" w:themeColor="text1"/>
                <w:sz w:val="24"/>
                <w:lang w:val="en-US" w:eastAsia="zh-CN"/>
                <w14:textFill>
                  <w14:solidFill>
                    <w14:schemeClr w14:val="tx1"/>
                  </w14:solidFill>
                </w14:textFill>
              </w:rPr>
              <w:t>进行预测</w:t>
            </w:r>
            <w:r>
              <w:rPr>
                <w:rFonts w:hint="default"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预测结果</w:t>
            </w:r>
            <w:r>
              <w:rPr>
                <w:rFonts w:hint="eastAsia" w:cs="Times New Roman"/>
                <w:b w:val="0"/>
                <w:bCs w:val="0"/>
                <w:color w:val="000000" w:themeColor="text1"/>
                <w:sz w:val="24"/>
                <w:lang w:eastAsia="zh-CN"/>
                <w14:textFill>
                  <w14:solidFill>
                    <w14:schemeClr w14:val="tx1"/>
                  </w14:solidFill>
                </w14:textFill>
              </w:rPr>
              <w:t>见</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下表。</w:t>
            </w:r>
          </w:p>
          <w:p w14:paraId="23C2EC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表</w:t>
            </w:r>
            <w:r>
              <w:rPr>
                <w:rFonts w:hint="default" w:ascii="Times New Roman" w:hAnsi="Times New Roman" w:cs="Times New Roman"/>
                <w:b/>
                <w:bCs/>
                <w:color w:val="000000" w:themeColor="text1"/>
                <w:sz w:val="21"/>
                <w:szCs w:val="21"/>
                <w:lang w:val="en-US" w:eastAsia="zh-CN"/>
                <w14:textFill>
                  <w14:solidFill>
                    <w14:schemeClr w14:val="tx1"/>
                  </w14:solidFill>
                </w14:textFill>
              </w:rPr>
              <w:t>4-2</w:t>
            </w:r>
            <w:r>
              <w:rPr>
                <w:rFonts w:hint="eastAsia" w:cs="Times New Roman"/>
                <w:b/>
                <w:bCs/>
                <w:color w:val="000000" w:themeColor="text1"/>
                <w:sz w:val="21"/>
                <w:szCs w:val="21"/>
                <w:lang w:val="en-US" w:eastAsia="zh-CN"/>
                <w14:textFill>
                  <w14:solidFill>
                    <w14:schemeClr w14:val="tx1"/>
                  </w14:solidFill>
                </w14:textFill>
              </w:rPr>
              <w:t>9</w:t>
            </w: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火灾事故次生污染物 CO 对环境的影响</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6"/>
              <w:gridCol w:w="1531"/>
              <w:gridCol w:w="2049"/>
              <w:gridCol w:w="2055"/>
            </w:tblGrid>
            <w:tr w14:paraId="60B42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4" w:type="pct"/>
                  <w:vAlign w:val="center"/>
                </w:tcPr>
                <w:p w14:paraId="3C16C1A9">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预测时刻</w:t>
                  </w:r>
                </w:p>
              </w:tc>
              <w:tc>
                <w:tcPr>
                  <w:tcW w:w="3435" w:type="pct"/>
                  <w:gridSpan w:val="3"/>
                  <w:vAlign w:val="center"/>
                </w:tcPr>
                <w:p w14:paraId="668A5237">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10min</w:t>
                  </w:r>
                </w:p>
              </w:tc>
            </w:tr>
            <w:tr w14:paraId="3ABA9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4" w:type="pct"/>
                  <w:vAlign w:val="center"/>
                </w:tcPr>
                <w:p w14:paraId="62346126">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风速</w:t>
                  </w:r>
                  <w:r>
                    <w:rPr>
                      <w:rFonts w:hint="default" w:ascii="Times New Roman" w:hAnsi="Times New Roman" w:eastAsia="宋体" w:cs="Times New Roman"/>
                      <w:color w:val="000000" w:themeColor="text1"/>
                      <w:szCs w:val="21"/>
                      <w:lang w:val="en-US" w:eastAsia="zh-CN"/>
                      <w14:textFill>
                        <w14:solidFill>
                          <w14:schemeClr w14:val="tx1"/>
                        </w14:solidFill>
                      </w14:textFill>
                    </w:rPr>
                    <w:t>m/s</w:t>
                  </w:r>
                </w:p>
              </w:tc>
              <w:tc>
                <w:tcPr>
                  <w:tcW w:w="3435" w:type="pct"/>
                  <w:gridSpan w:val="3"/>
                  <w:vAlign w:val="center"/>
                </w:tcPr>
                <w:p w14:paraId="436F6D76">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1.7</w:t>
                  </w:r>
                </w:p>
              </w:tc>
            </w:tr>
            <w:tr w14:paraId="48148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4" w:type="pct"/>
                  <w:vAlign w:val="center"/>
                </w:tcPr>
                <w:p w14:paraId="6166A489">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风向</w:t>
                  </w:r>
                </w:p>
              </w:tc>
              <w:tc>
                <w:tcPr>
                  <w:tcW w:w="3435" w:type="pct"/>
                  <w:gridSpan w:val="3"/>
                  <w:vAlign w:val="center"/>
                </w:tcPr>
                <w:p w14:paraId="64E4DC5B">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SW西南风</w:t>
                  </w:r>
                </w:p>
              </w:tc>
            </w:tr>
            <w:tr w14:paraId="050A6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4" w:type="pct"/>
                  <w:vAlign w:val="center"/>
                </w:tcPr>
                <w:p w14:paraId="4729EF97">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面源高度</w:t>
                  </w:r>
                </w:p>
              </w:tc>
              <w:tc>
                <w:tcPr>
                  <w:tcW w:w="3435" w:type="pct"/>
                  <w:gridSpan w:val="3"/>
                  <w:vAlign w:val="center"/>
                </w:tcPr>
                <w:p w14:paraId="170EF38A">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5m</w:t>
                  </w:r>
                </w:p>
              </w:tc>
            </w:tr>
            <w:tr w14:paraId="0370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4" w:type="pct"/>
                  <w:vAlign w:val="center"/>
                </w:tcPr>
                <w:p w14:paraId="0BCD5AD4">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大气稳定度</w:t>
                  </w:r>
                </w:p>
              </w:tc>
              <w:tc>
                <w:tcPr>
                  <w:tcW w:w="933" w:type="pct"/>
                  <w:vAlign w:val="center"/>
                </w:tcPr>
                <w:p w14:paraId="41965DBC">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A</w:t>
                  </w:r>
                </w:p>
              </w:tc>
              <w:tc>
                <w:tcPr>
                  <w:tcW w:w="1249" w:type="pct"/>
                  <w:vAlign w:val="center"/>
                </w:tcPr>
                <w:p w14:paraId="2F167333">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D</w:t>
                  </w:r>
                </w:p>
              </w:tc>
              <w:tc>
                <w:tcPr>
                  <w:tcW w:w="1253" w:type="pct"/>
                  <w:vAlign w:val="center"/>
                </w:tcPr>
                <w:p w14:paraId="323E7C05">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F</w:t>
                  </w:r>
                </w:p>
              </w:tc>
            </w:tr>
            <w:tr w14:paraId="4A34A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4" w:type="pct"/>
                  <w:vAlign w:val="center"/>
                </w:tcPr>
                <w:p w14:paraId="36D96120">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最大落地浓度</w:t>
                  </w:r>
                  <w:r>
                    <w:rPr>
                      <w:rFonts w:hint="default" w:ascii="Times New Roman" w:hAnsi="Times New Roman" w:eastAsia="宋体" w:cs="Times New Roman"/>
                      <w:color w:val="000000" w:themeColor="text1"/>
                      <w:szCs w:val="21"/>
                      <w:lang w:val="en-US" w:eastAsia="zh-CN"/>
                      <w14:textFill>
                        <w14:solidFill>
                          <w14:schemeClr w14:val="tx1"/>
                        </w14:solidFill>
                      </w14:textFill>
                    </w:rPr>
                    <w:t>mg/m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933" w:type="pct"/>
                  <w:vAlign w:val="center"/>
                </w:tcPr>
                <w:p w14:paraId="0CED395E">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27.6392</w:t>
                  </w:r>
                </w:p>
              </w:tc>
              <w:tc>
                <w:tcPr>
                  <w:tcW w:w="1249" w:type="pct"/>
                  <w:vAlign w:val="center"/>
                </w:tcPr>
                <w:p w14:paraId="3FECAE8F">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88.0180</w:t>
                  </w:r>
                </w:p>
              </w:tc>
              <w:tc>
                <w:tcPr>
                  <w:tcW w:w="1253" w:type="pct"/>
                  <w:vAlign w:val="center"/>
                </w:tcPr>
                <w:p w14:paraId="0FB62620">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140.9494</w:t>
                  </w:r>
                </w:p>
              </w:tc>
            </w:tr>
            <w:tr w14:paraId="7E4BB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4" w:type="pct"/>
                  <w:vAlign w:val="center"/>
                </w:tcPr>
                <w:p w14:paraId="096EB5EF">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出现距离</w:t>
                  </w:r>
                  <w:r>
                    <w:rPr>
                      <w:rFonts w:hint="default" w:ascii="Times New Roman" w:hAnsi="Times New Roman" w:eastAsia="宋体" w:cs="Times New Roman"/>
                      <w:color w:val="000000" w:themeColor="text1"/>
                      <w:szCs w:val="21"/>
                      <w:lang w:val="en-US" w:eastAsia="zh-CN"/>
                      <w14:textFill>
                        <w14:solidFill>
                          <w14:schemeClr w14:val="tx1"/>
                        </w14:solidFill>
                      </w14:textFill>
                    </w:rPr>
                    <w:t>m</w:t>
                  </w:r>
                </w:p>
              </w:tc>
              <w:tc>
                <w:tcPr>
                  <w:tcW w:w="933" w:type="pct"/>
                  <w:vAlign w:val="center"/>
                </w:tcPr>
                <w:p w14:paraId="49CD6351">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14.6</w:t>
                  </w:r>
                </w:p>
              </w:tc>
              <w:tc>
                <w:tcPr>
                  <w:tcW w:w="1249" w:type="pct"/>
                  <w:vAlign w:val="center"/>
                </w:tcPr>
                <w:p w14:paraId="595C9779">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15.1</w:t>
                  </w:r>
                </w:p>
              </w:tc>
              <w:tc>
                <w:tcPr>
                  <w:tcW w:w="1253" w:type="pct"/>
                  <w:vAlign w:val="center"/>
                </w:tcPr>
                <w:p w14:paraId="4CF1C16F">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14.2</w:t>
                  </w:r>
                </w:p>
              </w:tc>
            </w:tr>
            <w:tr w14:paraId="37499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4" w:type="pct"/>
                  <w:vAlign w:val="center"/>
                </w:tcPr>
                <w:p w14:paraId="63BFFD92">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半致死浓度范围</w:t>
                  </w:r>
                  <w:r>
                    <w:rPr>
                      <w:rFonts w:hint="default" w:ascii="Times New Roman" w:hAnsi="Times New Roman" w:eastAsia="宋体" w:cs="Times New Roman"/>
                      <w:color w:val="000000" w:themeColor="text1"/>
                      <w:szCs w:val="21"/>
                      <w:lang w:val="en-US" w:eastAsia="zh-CN"/>
                      <w14:textFill>
                        <w14:solidFill>
                          <w14:schemeClr w14:val="tx1"/>
                        </w14:solidFill>
                      </w14:textFill>
                    </w:rPr>
                    <w:t>m</w:t>
                  </w:r>
                </w:p>
              </w:tc>
              <w:tc>
                <w:tcPr>
                  <w:tcW w:w="933" w:type="pct"/>
                  <w:vAlign w:val="center"/>
                </w:tcPr>
                <w:p w14:paraId="7C2C735E">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249" w:type="pct"/>
                  <w:vAlign w:val="center"/>
                </w:tcPr>
                <w:p w14:paraId="1B2EFD6A">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253" w:type="pct"/>
                  <w:vAlign w:val="center"/>
                </w:tcPr>
                <w:p w14:paraId="78F0B0F8">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3BE39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4" w:type="pct"/>
                  <w:vAlign w:val="center"/>
                </w:tcPr>
                <w:p w14:paraId="13D98510">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短时间接触容许浓度范围</w:t>
                  </w:r>
                  <w:r>
                    <w:rPr>
                      <w:rFonts w:hint="default" w:ascii="Times New Roman" w:hAnsi="Times New Roman" w:eastAsia="宋体" w:cs="Times New Roman"/>
                      <w:color w:val="000000" w:themeColor="text1"/>
                      <w:szCs w:val="21"/>
                      <w:lang w:val="en-US" w:eastAsia="zh-CN"/>
                      <w14:textFill>
                        <w14:solidFill>
                          <w14:schemeClr w14:val="tx1"/>
                        </w14:solidFill>
                      </w14:textFill>
                    </w:rPr>
                    <w:t>m</w:t>
                  </w:r>
                </w:p>
              </w:tc>
              <w:tc>
                <w:tcPr>
                  <w:tcW w:w="933" w:type="pct"/>
                  <w:vAlign w:val="center"/>
                </w:tcPr>
                <w:p w14:paraId="4D59962E">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c>
                <w:tcPr>
                  <w:tcW w:w="1249" w:type="pct"/>
                  <w:vAlign w:val="center"/>
                </w:tcPr>
                <w:p w14:paraId="438E9067">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47.1</w:t>
                  </w:r>
                </w:p>
              </w:tc>
              <w:tc>
                <w:tcPr>
                  <w:tcW w:w="1253" w:type="pct"/>
                  <w:vAlign w:val="center"/>
                </w:tcPr>
                <w:p w14:paraId="14515D77">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88.6</w:t>
                  </w:r>
                </w:p>
              </w:tc>
            </w:tr>
          </w:tbl>
          <w:p w14:paraId="5F335221">
            <w:pPr>
              <w:spacing w:line="360" w:lineRule="auto"/>
              <w:ind w:firstLine="480" w:firstLineChars="200"/>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cs="Times New Roman"/>
                <w:b w:val="0"/>
                <w:bCs w:val="0"/>
                <w:color w:val="000000" w:themeColor="text1"/>
                <w:sz w:val="24"/>
                <w14:textFill>
                  <w14:solidFill>
                    <w14:schemeClr w14:val="tx1"/>
                  </w14:solidFill>
                </w14:textFill>
              </w:rPr>
              <w:t>经现场调查，CO半致死浓度范围无居住村民，故项目发生火灾产生次生CO对项目所在区域影响不大</w:t>
            </w:r>
            <w:r>
              <w:rPr>
                <w:rFonts w:hint="default" w:ascii="Times New Roman" w:hAnsi="Times New Roman"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符合《玉溪市生态环境局关于印发玉溪市生态环境分区管控动态更新调整方案（2023年）的通知》（玉市环〔2024〕40号）中</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峨山县</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产业园区重点管控单元环境风险防控</w:t>
            </w:r>
            <w:r>
              <w:rPr>
                <w:rFonts w:hint="default" w:ascii="Times New Roman" w:hAnsi="Times New Roman"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工业企业应有完善的风险防范措施，其最大可信事故半致死浓度范围内不得有居民点存在</w:t>
            </w:r>
            <w:r>
              <w:rPr>
                <w:rFonts w:hint="default" w:ascii="Times New Roman" w:hAnsi="Times New Roman"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w:t>
            </w:r>
          </w:p>
          <w:p w14:paraId="58DCCF77">
            <w:pPr>
              <w:keepNext w:val="0"/>
              <w:keepLines/>
              <w:pageBreakBefore w:val="0"/>
              <w:kinsoku/>
              <w:overflowPunct/>
              <w:bidi w:val="0"/>
              <w:adjustRightInd/>
              <w:spacing w:line="360" w:lineRule="auto"/>
              <w:ind w:firstLine="482" w:firstLineChars="200"/>
              <w:rPr>
                <w:rFonts w:hint="default" w:ascii="Times New Roman" w:hAnsi="Times New Roman" w:cs="Times New Roman"/>
                <w:b/>
                <w:bCs/>
                <w:color w:val="000000" w:themeColor="text1"/>
                <w:kern w:val="0"/>
                <w:sz w:val="24"/>
                <w14:textFill>
                  <w14:solidFill>
                    <w14:schemeClr w14:val="tx1"/>
                  </w14:solidFill>
                </w14:textFill>
              </w:rPr>
            </w:pPr>
            <w:r>
              <w:rPr>
                <w:rFonts w:hint="default" w:ascii="Times New Roman" w:hAnsi="Times New Roman" w:cs="Times New Roman"/>
                <w:b/>
                <w:bCs/>
                <w:color w:val="000000" w:themeColor="text1"/>
                <w:kern w:val="0"/>
                <w:sz w:val="24"/>
                <w14:textFill>
                  <w14:solidFill>
                    <w14:schemeClr w14:val="tx1"/>
                  </w14:solidFill>
                </w14:textFill>
              </w:rPr>
              <w:t>（7）</w:t>
            </w:r>
            <w:r>
              <w:rPr>
                <w:rFonts w:hint="default" w:ascii="Times New Roman" w:hAnsi="Times New Roman" w:cs="Times New Roman"/>
                <w:b/>
                <w:bCs/>
                <w:color w:val="000000" w:themeColor="text1"/>
                <w:sz w:val="24"/>
                <w14:textFill>
                  <w14:solidFill>
                    <w14:schemeClr w14:val="tx1"/>
                  </w14:solidFill>
                </w14:textFill>
              </w:rPr>
              <w:t>环境风险分析结论</w:t>
            </w:r>
          </w:p>
          <w:p w14:paraId="0B3DFF7F">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综上所述，本项目环境风险潜势为Ⅰ级，风险评价等级为简单分析，不存在重大风险源，主要风险事故为</w:t>
            </w:r>
            <w:r>
              <w:rPr>
                <w:rFonts w:hint="default" w:ascii="Times New Roman" w:hAnsi="Times New Roman" w:eastAsia="宋体" w:cs="Times New Roman"/>
                <w:color w:val="000000" w:themeColor="text1"/>
                <w:sz w:val="24"/>
                <w:lang w:eastAsia="zh-CN"/>
                <w14:textFill>
                  <w14:solidFill>
                    <w14:schemeClr w14:val="tx1"/>
                  </w14:solidFill>
                </w14:textFill>
              </w:rPr>
              <w:t>废机油、废液压油</w:t>
            </w:r>
            <w:r>
              <w:rPr>
                <w:rFonts w:hint="default" w:ascii="Times New Roman" w:hAnsi="Times New Roman" w:eastAsia="宋体" w:cs="Times New Roman"/>
                <w:color w:val="000000" w:themeColor="text1"/>
                <w:sz w:val="24"/>
                <w14:textFill>
                  <w14:solidFill>
                    <w14:schemeClr w14:val="tx1"/>
                  </w14:solidFill>
                </w14:textFill>
              </w:rPr>
              <w:t>泄漏、火灾事故，对在厂、邻近人员造成伤害。结合项目实际情况，本评价提出了相关防范措施，在加强管理及积极落实有关防范措施后，本项目环境事故发生的可能性很低，且项目环境风险在可防控范围内，项目环境风险影响较小。</w:t>
            </w:r>
          </w:p>
          <w:p w14:paraId="6E2B6A73">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w:t>
            </w:r>
            <w:r>
              <w:rPr>
                <w:rFonts w:hint="eastAsia" w:ascii="Times New Roman" w:hAnsi="Times New Roman" w:cs="Times New Roman"/>
                <w:b/>
                <w:bCs/>
                <w:color w:val="000000" w:themeColor="text1"/>
                <w:sz w:val="21"/>
                <w:szCs w:val="21"/>
                <w:lang w:val="en-US" w:eastAsia="zh-CN"/>
                <w14:textFill>
                  <w14:solidFill>
                    <w14:schemeClr w14:val="tx1"/>
                  </w14:solidFill>
                </w14:textFill>
              </w:rPr>
              <w:t>30</w:t>
            </w:r>
            <w:r>
              <w:rPr>
                <w:rFonts w:hint="default" w:ascii="Times New Roman" w:hAnsi="Times New Roman" w:eastAsia="宋体" w:cs="Times New Roman"/>
                <w:b/>
                <w:bCs/>
                <w:color w:val="000000" w:themeColor="text1"/>
                <w:sz w:val="21"/>
                <w:szCs w:val="21"/>
                <w14:textFill>
                  <w14:solidFill>
                    <w14:schemeClr w14:val="tx1"/>
                  </w14:solidFill>
                </w14:textFill>
              </w:rPr>
              <w:t xml:space="preserve"> 建设项目环境风险简单分析内容表</w:t>
            </w:r>
          </w:p>
          <w:tbl>
            <w:tblPr>
              <w:tblStyle w:val="34"/>
              <w:tblW w:w="4998"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871"/>
              <w:gridCol w:w="1069"/>
              <w:gridCol w:w="1998"/>
              <w:gridCol w:w="1005"/>
              <w:gridCol w:w="2248"/>
            </w:tblGrid>
            <w:tr w14:paraId="240E8D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1142" w:type="pct"/>
                  <w:tcBorders>
                    <w:tl2br w:val="nil"/>
                    <w:tr2bl w:val="nil"/>
                  </w:tcBorders>
                  <w:vAlign w:val="center"/>
                </w:tcPr>
                <w:p w14:paraId="3316E48F">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建设项目名称</w:t>
                  </w:r>
                </w:p>
              </w:tc>
              <w:tc>
                <w:tcPr>
                  <w:tcW w:w="3857" w:type="pct"/>
                  <w:gridSpan w:val="4"/>
                  <w:tcBorders>
                    <w:tl2br w:val="nil"/>
                    <w:tr2bl w:val="nil"/>
                  </w:tcBorders>
                  <w:vAlign w:val="center"/>
                </w:tcPr>
                <w:p w14:paraId="733E17AF">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000000" w:themeColor="text1"/>
                      <w:sz w:val="21"/>
                      <w:szCs w:val="21"/>
                      <w:lang w:val="zh-CN"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文邦包装锅炉以及环保设施技改项目</w:t>
                  </w:r>
                </w:p>
              </w:tc>
            </w:tr>
            <w:tr w14:paraId="77CA8A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1142" w:type="pct"/>
                  <w:tcBorders>
                    <w:tl2br w:val="nil"/>
                    <w:tr2bl w:val="nil"/>
                  </w:tcBorders>
                  <w:vAlign w:val="center"/>
                </w:tcPr>
                <w:p w14:paraId="1C23A058">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建设地点</w:t>
                  </w:r>
                </w:p>
              </w:tc>
              <w:tc>
                <w:tcPr>
                  <w:tcW w:w="3857" w:type="pct"/>
                  <w:gridSpan w:val="4"/>
                  <w:tcBorders>
                    <w:tl2br w:val="nil"/>
                    <w:tr2bl w:val="nil"/>
                  </w:tcBorders>
                  <w:vAlign w:val="center"/>
                </w:tcPr>
                <w:p w14:paraId="0A6A4511">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zh-CN"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玉溪市峨山县双江街道办事处峨山县文邦包装制品有限公司内</w:t>
                  </w:r>
                </w:p>
              </w:tc>
            </w:tr>
            <w:tr w14:paraId="43C34E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1142" w:type="pct"/>
                  <w:tcBorders>
                    <w:tl2br w:val="nil"/>
                    <w:tr2bl w:val="nil"/>
                  </w:tcBorders>
                  <w:vAlign w:val="center"/>
                </w:tcPr>
                <w:p w14:paraId="6207AEA5">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地理坐标</w:t>
                  </w:r>
                </w:p>
              </w:tc>
              <w:tc>
                <w:tcPr>
                  <w:tcW w:w="686" w:type="pct"/>
                  <w:tcBorders>
                    <w:tl2br w:val="nil"/>
                    <w:tr2bl w:val="nil"/>
                  </w:tcBorders>
                  <w:vAlign w:val="center"/>
                </w:tcPr>
                <w:p w14:paraId="3946B9F2">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zh-CN"/>
                      <w14:textFill>
                        <w14:solidFill>
                          <w14:schemeClr w14:val="tx1"/>
                        </w14:solidFill>
                      </w14:textFill>
                    </w:rPr>
                  </w:pPr>
                  <w:r>
                    <w:rPr>
                      <w:rFonts w:hint="default" w:ascii="Times New Roman" w:hAnsi="Times New Roman" w:eastAsia="宋体" w:cs="Times New Roman"/>
                      <w:bCs/>
                      <w:color w:val="000000" w:themeColor="text1"/>
                      <w:sz w:val="21"/>
                      <w:szCs w:val="21"/>
                      <w:lang w:val="zh-CN"/>
                      <w14:textFill>
                        <w14:solidFill>
                          <w14:schemeClr w14:val="tx1"/>
                        </w14:solidFill>
                      </w14:textFill>
                    </w:rPr>
                    <w:t>东经</w:t>
                  </w:r>
                </w:p>
              </w:tc>
              <w:tc>
                <w:tcPr>
                  <w:tcW w:w="1242" w:type="pct"/>
                  <w:tcBorders>
                    <w:tl2br w:val="nil"/>
                    <w:tr2bl w:val="nil"/>
                  </w:tcBorders>
                  <w:vAlign w:val="center"/>
                </w:tcPr>
                <w:p w14:paraId="092D9CAB">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zh-CN"/>
                      <w14:textFill>
                        <w14:solidFill>
                          <w14:schemeClr w14:val="tx1"/>
                        </w14:solidFill>
                      </w14:textFill>
                    </w:rPr>
                  </w:pPr>
                  <w:r>
                    <w:rPr>
                      <w:rFonts w:hint="default" w:ascii="Times New Roman" w:hAnsi="Times New Roman" w:eastAsia="宋体" w:cs="Times New Roman"/>
                      <w:bCs/>
                      <w:color w:val="000000" w:themeColor="text1"/>
                      <w:sz w:val="21"/>
                      <w:szCs w:val="21"/>
                      <w:lang w:val="zh-CN"/>
                      <w14:textFill>
                        <w14:solidFill>
                          <w14:schemeClr w14:val="tx1"/>
                        </w14:solidFill>
                      </w14:textFill>
                    </w:rPr>
                    <w:t>10</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Cs/>
                      <w:color w:val="000000" w:themeColor="text1"/>
                      <w:sz w:val="21"/>
                      <w:szCs w:val="21"/>
                      <w:lang w:val="zh-CN"/>
                      <w14:textFill>
                        <w14:solidFill>
                          <w14:schemeClr w14:val="tx1"/>
                        </w14:solidFill>
                      </w14:textFill>
                    </w:rPr>
                    <w:t>度</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42</w:t>
                  </w:r>
                  <w:r>
                    <w:rPr>
                      <w:rFonts w:hint="default" w:ascii="Times New Roman" w:hAnsi="Times New Roman" w:eastAsia="宋体" w:cs="Times New Roman"/>
                      <w:bCs/>
                      <w:color w:val="000000" w:themeColor="text1"/>
                      <w:sz w:val="21"/>
                      <w:szCs w:val="21"/>
                      <w:lang w:val="zh-CN"/>
                      <w14:textFill>
                        <w14:solidFill>
                          <w14:schemeClr w14:val="tx1"/>
                        </w14:solidFill>
                      </w14:textFill>
                    </w:rPr>
                    <w:t>分</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55.777</w:t>
                  </w:r>
                  <w:r>
                    <w:rPr>
                      <w:rFonts w:hint="default" w:ascii="Times New Roman" w:hAnsi="Times New Roman" w:eastAsia="宋体" w:cs="Times New Roman"/>
                      <w:bCs/>
                      <w:color w:val="000000" w:themeColor="text1"/>
                      <w:sz w:val="21"/>
                      <w:szCs w:val="21"/>
                      <w:lang w:val="zh-CN"/>
                      <w14:textFill>
                        <w14:solidFill>
                          <w14:schemeClr w14:val="tx1"/>
                        </w14:solidFill>
                      </w14:textFill>
                    </w:rPr>
                    <w:t>秒</w:t>
                  </w:r>
                </w:p>
              </w:tc>
              <w:tc>
                <w:tcPr>
                  <w:tcW w:w="625" w:type="pct"/>
                  <w:tcBorders>
                    <w:tl2br w:val="nil"/>
                    <w:tr2bl w:val="nil"/>
                  </w:tcBorders>
                  <w:vAlign w:val="center"/>
                </w:tcPr>
                <w:p w14:paraId="6EA97E0A">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zh-CN"/>
                      <w14:textFill>
                        <w14:solidFill>
                          <w14:schemeClr w14:val="tx1"/>
                        </w14:solidFill>
                      </w14:textFill>
                    </w:rPr>
                  </w:pPr>
                  <w:r>
                    <w:rPr>
                      <w:rFonts w:hint="default" w:ascii="Times New Roman" w:hAnsi="Times New Roman" w:eastAsia="宋体" w:cs="Times New Roman"/>
                      <w:bCs/>
                      <w:color w:val="000000" w:themeColor="text1"/>
                      <w:sz w:val="21"/>
                      <w:szCs w:val="21"/>
                      <w:lang w:val="zh-CN"/>
                      <w14:textFill>
                        <w14:solidFill>
                          <w14:schemeClr w14:val="tx1"/>
                        </w14:solidFill>
                      </w14:textFill>
                    </w:rPr>
                    <w:t>北纬</w:t>
                  </w:r>
                </w:p>
              </w:tc>
              <w:tc>
                <w:tcPr>
                  <w:tcW w:w="1302" w:type="pct"/>
                  <w:tcBorders>
                    <w:tl2br w:val="nil"/>
                    <w:tr2bl w:val="nil"/>
                  </w:tcBorders>
                  <w:vAlign w:val="center"/>
                </w:tcPr>
                <w:p w14:paraId="546DB403">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zh-CN"/>
                      <w14:textFill>
                        <w14:solidFill>
                          <w14:schemeClr w14:val="tx1"/>
                        </w14:solidFill>
                      </w14:textFill>
                    </w:rPr>
                  </w:pPr>
                  <w:r>
                    <w:rPr>
                      <w:rFonts w:hint="default" w:ascii="Times New Roman" w:hAnsi="Times New Roman" w:eastAsia="宋体" w:cs="Times New Roman"/>
                      <w:bCs/>
                      <w:color w:val="000000" w:themeColor="text1"/>
                      <w:sz w:val="21"/>
                      <w:szCs w:val="21"/>
                      <w:lang w:val="zh-CN"/>
                      <w14:textFill>
                        <w14:solidFill>
                          <w14:schemeClr w14:val="tx1"/>
                        </w14:solidFill>
                      </w14:textFill>
                    </w:rPr>
                    <w:t>24度</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18</w:t>
                  </w:r>
                  <w:r>
                    <w:rPr>
                      <w:rFonts w:hint="default" w:ascii="Times New Roman" w:hAnsi="Times New Roman" w:eastAsia="宋体" w:cs="Times New Roman"/>
                      <w:bCs/>
                      <w:color w:val="000000" w:themeColor="text1"/>
                      <w:sz w:val="21"/>
                      <w:szCs w:val="21"/>
                      <w:lang w:val="zh-CN"/>
                      <w14:textFill>
                        <w14:solidFill>
                          <w14:schemeClr w14:val="tx1"/>
                        </w14:solidFill>
                      </w14:textFill>
                    </w:rPr>
                    <w:t>分</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28.864</w:t>
                  </w:r>
                  <w:r>
                    <w:rPr>
                      <w:rFonts w:hint="default" w:ascii="Times New Roman" w:hAnsi="Times New Roman" w:eastAsia="宋体" w:cs="Times New Roman"/>
                      <w:bCs/>
                      <w:color w:val="000000" w:themeColor="text1"/>
                      <w:sz w:val="21"/>
                      <w:szCs w:val="21"/>
                      <w:lang w:val="zh-CN"/>
                      <w14:textFill>
                        <w14:solidFill>
                          <w14:schemeClr w14:val="tx1"/>
                        </w14:solidFill>
                      </w14:textFill>
                    </w:rPr>
                    <w:t>秒</w:t>
                  </w:r>
                </w:p>
              </w:tc>
            </w:tr>
            <w:tr w14:paraId="6532C0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1142" w:type="pct"/>
                  <w:tcBorders>
                    <w:tl2br w:val="nil"/>
                    <w:tr2bl w:val="nil"/>
                  </w:tcBorders>
                  <w:vAlign w:val="center"/>
                </w:tcPr>
                <w:p w14:paraId="639C92FD">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主要危险物质及分布</w:t>
                  </w:r>
                </w:p>
              </w:tc>
              <w:tc>
                <w:tcPr>
                  <w:tcW w:w="3857" w:type="pct"/>
                  <w:gridSpan w:val="4"/>
                  <w:tcBorders>
                    <w:tl2br w:val="nil"/>
                    <w:tr2bl w:val="nil"/>
                  </w:tcBorders>
                  <w:vAlign w:val="center"/>
                </w:tcPr>
                <w:p w14:paraId="25AE255F">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zh-CN"/>
                      <w14:textFill>
                        <w14:solidFill>
                          <w14:schemeClr w14:val="tx1"/>
                        </w14:solidFill>
                      </w14:textFill>
                    </w:rPr>
                    <w:t>根据《建设项目环境风险评价技术导则》（HJ169-2018）相关要求，本项目主要风险物质为</w:t>
                  </w:r>
                  <w:r>
                    <w:rPr>
                      <w:rFonts w:hint="default" w:ascii="Times New Roman" w:hAnsi="Times New Roman" w:eastAsia="宋体" w:cs="Times New Roman"/>
                      <w:color w:val="000000" w:themeColor="text1"/>
                      <w:sz w:val="21"/>
                      <w:szCs w:val="21"/>
                      <w:lang w:eastAsia="zh-CN"/>
                      <w14:textFill>
                        <w14:solidFill>
                          <w14:schemeClr w14:val="tx1"/>
                        </w14:solidFill>
                      </w14:textFill>
                    </w:rPr>
                    <w:t>废机油</w:t>
                  </w:r>
                  <w:r>
                    <w:rPr>
                      <w:rFonts w:hint="eastAsia" w:ascii="Times New Roman" w:hAnsi="Times New Roman" w:eastAsia="宋体" w:cs="Times New Roman"/>
                      <w:color w:val="000000" w:themeColor="text1"/>
                      <w:sz w:val="21"/>
                      <w:szCs w:val="21"/>
                      <w:lang w:eastAsia="zh-CN"/>
                      <w14:textFill>
                        <w14:solidFill>
                          <w14:schemeClr w14:val="tx1"/>
                        </w14:solidFill>
                      </w14:textFill>
                    </w:rPr>
                    <w:t>、废活性炭</w:t>
                  </w:r>
                  <w:r>
                    <w:rPr>
                      <w:rFonts w:hint="eastAsia" w:cs="Times New Roman"/>
                      <w:color w:val="000000" w:themeColor="text1"/>
                      <w:sz w:val="21"/>
                      <w:szCs w:val="21"/>
                      <w:lang w:eastAsia="zh-CN"/>
                      <w14:textFill>
                        <w14:solidFill>
                          <w14:schemeClr w14:val="tx1"/>
                        </w14:solidFill>
                      </w14:textFill>
                    </w:rPr>
                    <w:t>、次氯酸钠</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废机油</w:t>
                  </w:r>
                  <w:r>
                    <w:rPr>
                      <w:rFonts w:hint="eastAsia" w:ascii="Times New Roman" w:hAnsi="Times New Roman" w:eastAsia="宋体" w:cs="Times New Roman"/>
                      <w:color w:val="000000" w:themeColor="text1"/>
                      <w:sz w:val="21"/>
                      <w:szCs w:val="21"/>
                      <w:lang w:eastAsia="zh-CN"/>
                      <w14:textFill>
                        <w14:solidFill>
                          <w14:schemeClr w14:val="tx1"/>
                        </w14:solidFill>
                      </w14:textFill>
                    </w:rPr>
                    <w:t>、废活性炭</w:t>
                  </w:r>
                  <w:r>
                    <w:rPr>
                      <w:rFonts w:hint="default" w:ascii="Times New Roman" w:hAnsi="Times New Roman" w:eastAsia="宋体" w:cs="Times New Roman"/>
                      <w:color w:val="000000" w:themeColor="text1"/>
                      <w:sz w:val="21"/>
                      <w:szCs w:val="21"/>
                      <w:lang w:eastAsia="zh-CN"/>
                      <w14:textFill>
                        <w14:solidFill>
                          <w14:schemeClr w14:val="tx1"/>
                        </w14:solidFill>
                      </w14:textFill>
                    </w:rPr>
                    <w:t>暂存于</w:t>
                  </w:r>
                  <w:r>
                    <w:rPr>
                      <w:rFonts w:hint="eastAsia" w:cs="Times New Roman"/>
                      <w:color w:val="000000" w:themeColor="text1"/>
                      <w:sz w:val="21"/>
                      <w:szCs w:val="21"/>
                      <w:lang w:eastAsia="zh-CN"/>
                      <w14:textFill>
                        <w14:solidFill>
                          <w14:schemeClr w14:val="tx1"/>
                        </w14:solidFill>
                      </w14:textFill>
                    </w:rPr>
                    <w:t>危废贮存库、次氯酸钠暂存于生产车间</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r>
            <w:tr w14:paraId="760DC5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1142" w:type="pct"/>
                  <w:tcBorders>
                    <w:tl2br w:val="nil"/>
                    <w:tr2bl w:val="nil"/>
                  </w:tcBorders>
                  <w:vAlign w:val="center"/>
                </w:tcPr>
                <w:p w14:paraId="0F263B95">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环境影响途径及危害后果</w:t>
                  </w:r>
                </w:p>
              </w:tc>
              <w:tc>
                <w:tcPr>
                  <w:tcW w:w="3857" w:type="pct"/>
                  <w:gridSpan w:val="4"/>
                  <w:tcBorders>
                    <w:tl2br w:val="nil"/>
                    <w:tr2bl w:val="nil"/>
                  </w:tcBorders>
                  <w:vAlign w:val="center"/>
                </w:tcPr>
                <w:p w14:paraId="23779408">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风险事故主要为泄漏事故；火灾事故及导致的次生环境污染事故。</w:t>
                  </w:r>
                  <w:r>
                    <w:rPr>
                      <w:rFonts w:hint="default" w:ascii="Times New Roman" w:hAnsi="Times New Roman" w:eastAsia="宋体" w:cs="Times New Roman"/>
                      <w:color w:val="000000" w:themeColor="text1"/>
                      <w:sz w:val="21"/>
                      <w:szCs w:val="21"/>
                      <w:lang w:val="zh-CN" w:eastAsia="zh-CN"/>
                      <w14:textFill>
                        <w14:solidFill>
                          <w14:schemeClr w14:val="tx1"/>
                        </w14:solidFill>
                      </w14:textFill>
                    </w:rPr>
                    <w:t>风险物质泄漏遇明火发生火灾事故，造成人员伤亡及经济损失；火灾事故救援过程中产生的清消废水若没有及时收集，泄漏至厂区外会对周边地表水、土壤及沿途生态环境造成影响。</w:t>
                  </w:r>
                </w:p>
              </w:tc>
            </w:tr>
            <w:tr w14:paraId="43B1E9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1142" w:type="pct"/>
                  <w:tcBorders>
                    <w:tl2br w:val="nil"/>
                    <w:tr2bl w:val="nil"/>
                  </w:tcBorders>
                  <w:vAlign w:val="center"/>
                </w:tcPr>
                <w:p w14:paraId="22213331">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风险防范措施要求</w:t>
                  </w:r>
                </w:p>
              </w:tc>
              <w:tc>
                <w:tcPr>
                  <w:tcW w:w="3857" w:type="pct"/>
                  <w:gridSpan w:val="4"/>
                  <w:tcBorders>
                    <w:tl2br w:val="nil"/>
                    <w:tr2bl w:val="nil"/>
                  </w:tcBorders>
                  <w:vAlign w:val="center"/>
                </w:tcPr>
                <w:p w14:paraId="64C43FB8">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设有1间</w:t>
                  </w:r>
                  <w:r>
                    <w:rPr>
                      <w:rFonts w:hint="eastAsia" w:cs="Times New Roman"/>
                      <w:color w:val="000000" w:themeColor="text1"/>
                      <w:sz w:val="21"/>
                      <w:szCs w:val="21"/>
                      <w:lang w:eastAsia="zh-CN"/>
                      <w14:textFill>
                        <w14:solidFill>
                          <w14:schemeClr w14:val="tx1"/>
                        </w14:solidFill>
                      </w14:textFill>
                    </w:rPr>
                    <w:t>危废贮存库</w:t>
                  </w:r>
                  <w:r>
                    <w:rPr>
                      <w:rFonts w:hint="default" w:ascii="Times New Roman" w:hAnsi="Times New Roman" w:eastAsia="宋体" w:cs="Times New Roman"/>
                      <w:color w:val="000000" w:themeColor="text1"/>
                      <w:sz w:val="21"/>
                      <w:szCs w:val="21"/>
                      <w:lang w:eastAsia="zh-CN"/>
                      <w14:textFill>
                        <w14:solidFill>
                          <w14:schemeClr w14:val="tx1"/>
                        </w14:solidFill>
                      </w14:textFill>
                    </w:rPr>
                    <w:t>，并设有专用收集容器，</w:t>
                  </w:r>
                  <w:r>
                    <w:rPr>
                      <w:rFonts w:hint="eastAsia" w:ascii="Times New Roman" w:hAnsi="Times New Roman" w:eastAsia="宋体" w:cs="Times New Roman"/>
                      <w:color w:val="000000" w:themeColor="text1"/>
                      <w:sz w:val="21"/>
                      <w:szCs w:val="21"/>
                      <w:lang w:eastAsia="zh-CN"/>
                      <w14:textFill>
                        <w14:solidFill>
                          <w14:schemeClr w14:val="tx1"/>
                        </w14:solidFill>
                      </w14:textFill>
                    </w:rPr>
                    <w:t>分区分类收集废活性炭、</w:t>
                  </w:r>
                  <w:r>
                    <w:rPr>
                      <w:rFonts w:hint="default" w:ascii="Times New Roman" w:hAnsi="Times New Roman" w:eastAsia="宋体" w:cs="Times New Roman"/>
                      <w:color w:val="000000" w:themeColor="text1"/>
                      <w:sz w:val="21"/>
                      <w:szCs w:val="21"/>
                      <w:lang w:eastAsia="zh-CN"/>
                      <w14:textFill>
                        <w14:solidFill>
                          <w14:schemeClr w14:val="tx1"/>
                        </w14:solidFill>
                      </w14:textFill>
                    </w:rPr>
                    <w:t>废机油，收集后委托有资质单位处置</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p w14:paraId="13C46610">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为减少事故发生，必须增加管理力度，提高员工技术水平和安全意识，严格按规范操作，认真落实应急预案。并加强设备检查和维修，减少故障发生，提高企业的应急能力，从而确保生产安全。</w:t>
                  </w:r>
                </w:p>
              </w:tc>
            </w:tr>
            <w:tr w14:paraId="4CF5A2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5000" w:type="pct"/>
                  <w:gridSpan w:val="5"/>
                  <w:tcBorders>
                    <w:tl2br w:val="nil"/>
                    <w:tr2bl w:val="nil"/>
                  </w:tcBorders>
                  <w:vAlign w:val="center"/>
                </w:tcPr>
                <w:p w14:paraId="4741F8C0">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填表说明（列出项目相关信息及评价说明）：本项目环境风险评价等级为简单分析，项目可能发生的事故为火灾事故，建设单位在严格执行上述预防措施后，并加强管理，严格操作，避免人为因素造成事故，可将环境风险控制在可接受的水平之内。</w:t>
                  </w:r>
                </w:p>
              </w:tc>
            </w:tr>
          </w:tbl>
          <w:p w14:paraId="1933E993">
            <w:pPr>
              <w:keepNext w:val="0"/>
              <w:keepLines/>
              <w:pageBreakBefore w:val="0"/>
              <w:kinsoku/>
              <w:overflowPunct/>
              <w:bidi w:val="0"/>
              <w:adjustRightInd/>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14:textFill>
                  <w14:solidFill>
                    <w14:schemeClr w14:val="tx1"/>
                  </w14:solidFill>
                </w14:textFill>
              </w:rPr>
              <w:t>、竣工环境保护验收</w:t>
            </w:r>
          </w:p>
          <w:p w14:paraId="18FBD3B6">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环保措施应当与整合主体工程同时设计、同时施工和同时投产，环保设施按照建设项目竣工环境保护验收管理办法，工程完成后在规定时间建设单位应向当地环保部门提出申请环保设施竣工验收，同时提交竣工环境保护验收调查报告</w:t>
            </w:r>
            <w:r>
              <w:rPr>
                <w:rFonts w:hint="default" w:ascii="Times New Roman" w:hAnsi="Times New Roman" w:cs="Times New Roman"/>
                <w:color w:val="000000" w:themeColor="text1"/>
                <w:szCs w:val="24"/>
                <w14:textFill>
                  <w14:solidFill>
                    <w14:schemeClr w14:val="tx1"/>
                  </w14:solidFill>
                </w14:textFill>
              </w:rPr>
              <w:t>。</w:t>
            </w:r>
          </w:p>
          <w:p w14:paraId="2A4ED207">
            <w:pPr>
              <w:pStyle w:val="17"/>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w:t>
            </w:r>
            <w:r>
              <w:rPr>
                <w:rFonts w:hint="eastAsia" w:ascii="Times New Roman" w:hAnsi="Times New Roman" w:cs="Times New Roman"/>
                <w:b/>
                <w:bCs/>
                <w:color w:val="000000" w:themeColor="text1"/>
                <w:sz w:val="21"/>
                <w:szCs w:val="21"/>
                <w:lang w:val="en-US" w:eastAsia="zh-CN"/>
                <w14:textFill>
                  <w14:solidFill>
                    <w14:schemeClr w14:val="tx1"/>
                  </w14:solidFill>
                </w14:textFill>
              </w:rPr>
              <w:t>31</w:t>
            </w:r>
            <w:r>
              <w:rPr>
                <w:rFonts w:hint="default" w:ascii="Times New Roman" w:hAnsi="Times New Roman" w:eastAsia="宋体" w:cs="Times New Roman"/>
                <w:b/>
                <w:bCs/>
                <w:color w:val="000000" w:themeColor="text1"/>
                <w:sz w:val="21"/>
                <w:szCs w:val="21"/>
                <w14:textFill>
                  <w14:solidFill>
                    <w14:schemeClr w14:val="tx1"/>
                  </w14:solidFill>
                </w14:textFill>
              </w:rPr>
              <w:t xml:space="preserve">  项目环保设施竣工验收一览表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650"/>
              <w:gridCol w:w="651"/>
              <w:gridCol w:w="3785"/>
              <w:gridCol w:w="2361"/>
            </w:tblGrid>
            <w:tr w14:paraId="2BCA8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0" w:type="pct"/>
                  <w:vAlign w:val="center"/>
                </w:tcPr>
                <w:p w14:paraId="15E141B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w:t>
                  </w:r>
                </w:p>
              </w:tc>
              <w:tc>
                <w:tcPr>
                  <w:tcW w:w="793" w:type="pct"/>
                  <w:gridSpan w:val="2"/>
                  <w:vAlign w:val="center"/>
                </w:tcPr>
                <w:p w14:paraId="79F5D12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验收对象</w:t>
                  </w:r>
                </w:p>
              </w:tc>
              <w:tc>
                <w:tcPr>
                  <w:tcW w:w="2307" w:type="pct"/>
                  <w:vAlign w:val="center"/>
                </w:tcPr>
                <w:p w14:paraId="71AFC2E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治理措施</w:t>
                  </w:r>
                </w:p>
              </w:tc>
              <w:tc>
                <w:tcPr>
                  <w:tcW w:w="1439" w:type="pct"/>
                  <w:vAlign w:val="center"/>
                </w:tcPr>
                <w:p w14:paraId="530ED5E8">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验收标准</w:t>
                  </w:r>
                </w:p>
              </w:tc>
            </w:tr>
            <w:tr w14:paraId="31033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0" w:type="pct"/>
                  <w:vMerge w:val="restart"/>
                  <w:vAlign w:val="center"/>
                </w:tcPr>
                <w:p w14:paraId="188C9D2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大气污染防治措施</w:t>
                  </w:r>
                </w:p>
              </w:tc>
              <w:tc>
                <w:tcPr>
                  <w:tcW w:w="396" w:type="pct"/>
                  <w:vMerge w:val="restart"/>
                  <w:vAlign w:val="center"/>
                </w:tcPr>
                <w:p w14:paraId="2AB4F2E2">
                  <w:pPr>
                    <w:pStyle w:val="129"/>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有组织废气</w:t>
                  </w:r>
                </w:p>
              </w:tc>
              <w:tc>
                <w:tcPr>
                  <w:tcW w:w="396" w:type="pct"/>
                  <w:vAlign w:val="center"/>
                </w:tcPr>
                <w:p w14:paraId="2FB82918">
                  <w:pPr>
                    <w:pStyle w:val="129"/>
                    <w:pageBreakBefore w:val="0"/>
                    <w:kinsoku/>
                    <w:overflowPunct/>
                    <w:topLinePunct w:val="0"/>
                    <w:bidi w:val="0"/>
                    <w:ind w:left="0" w:leftChars="0" w:right="0" w:rightChars="0" w:firstLine="0" w:firstLine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锅炉废气</w:t>
                  </w:r>
                </w:p>
              </w:tc>
              <w:tc>
                <w:tcPr>
                  <w:tcW w:w="2307" w:type="pct"/>
                  <w:vAlign w:val="center"/>
                </w:tcPr>
                <w:p w14:paraId="67A37798">
                  <w:pPr>
                    <w:pStyle w:val="129"/>
                    <w:pageBreakBefore w:val="0"/>
                    <w:kinsoku/>
                    <w:overflowPunct/>
                    <w:topLinePunct w:val="0"/>
                    <w:bidi w:val="0"/>
                    <w:ind w:left="0" w:leftChars="0" w:right="0" w:rightChars="0" w:firstLine="0" w:firstLineChars="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新增1套“低氮燃烧+旋风除尘+布袋除尘”废气治理设施。依托现有30m高排气筒。</w:t>
                  </w:r>
                </w:p>
                <w:p w14:paraId="0B0C400B">
                  <w:pPr>
                    <w:pStyle w:val="129"/>
                    <w:pageBreakBefore w:val="0"/>
                    <w:kinsoku/>
                    <w:overflowPunct/>
                    <w:topLinePunct w:val="0"/>
                    <w:bidi w:val="0"/>
                    <w:ind w:left="0" w:leftChars="0" w:right="0" w:rightChars="0" w:firstLine="0" w:firstLineChars="0"/>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锅炉废气经收集后进入“低氮燃烧+旋风除尘+布袋除尘”处理达标后依托现有30m高排气筒DA001排放。</w:t>
                  </w:r>
                </w:p>
              </w:tc>
              <w:tc>
                <w:tcPr>
                  <w:tcW w:w="2361" w:type="dxa"/>
                  <w:shd w:val="clear" w:color="auto" w:fill="auto"/>
                  <w:vAlign w:val="center"/>
                </w:tcPr>
                <w:p w14:paraId="0C1A89FA">
                  <w:pPr>
                    <w:pStyle w:val="129"/>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zh-CN" w:eastAsia="zh-CN"/>
                      <w14:textFill>
                        <w14:solidFill>
                          <w14:schemeClr w14:val="tx1"/>
                        </w14:solidFill>
                      </w14:textFill>
                    </w:rPr>
                    <w:t>颗粒物、二氧化硫、氮氧化物、烟气黑度执行</w:t>
                  </w:r>
                  <w:r>
                    <w:rPr>
                      <w:rFonts w:hint="default" w:ascii="Times New Roman" w:hAnsi="Times New Roman" w:eastAsia="宋体" w:cs="Times New Roman"/>
                      <w:color w:val="000000" w:themeColor="text1"/>
                      <w:sz w:val="21"/>
                      <w:szCs w:val="21"/>
                      <w:lang w:val="zh-CN" w:eastAsia="zh-CN"/>
                      <w14:textFill>
                        <w14:solidFill>
                          <w14:schemeClr w14:val="tx1"/>
                        </w14:solidFill>
                      </w14:textFill>
                    </w:rPr>
                    <w:t>《锅炉大气污染物排放标准》（GB13271-2014）表2</w:t>
                  </w:r>
                  <w:r>
                    <w:rPr>
                      <w:rFonts w:hint="eastAsia" w:ascii="Times New Roman" w:hAnsi="Times New Roman" w:eastAsia="宋体" w:cs="Times New Roman"/>
                      <w:color w:val="000000" w:themeColor="text1"/>
                      <w:sz w:val="21"/>
                      <w:szCs w:val="21"/>
                      <w:lang w:val="zh-CN" w:eastAsia="zh-CN"/>
                      <w14:textFill>
                        <w14:solidFill>
                          <w14:schemeClr w14:val="tx1"/>
                        </w14:solidFill>
                      </w14:textFill>
                    </w:rPr>
                    <w:t>燃气</w:t>
                  </w:r>
                  <w:r>
                    <w:rPr>
                      <w:rFonts w:hint="default" w:ascii="Times New Roman" w:hAnsi="Times New Roman" w:eastAsia="宋体" w:cs="Times New Roman"/>
                      <w:color w:val="000000" w:themeColor="text1"/>
                      <w:sz w:val="21"/>
                      <w:szCs w:val="21"/>
                      <w:lang w:val="zh-CN" w:eastAsia="zh-CN"/>
                      <w14:textFill>
                        <w14:solidFill>
                          <w14:schemeClr w14:val="tx1"/>
                        </w14:solidFill>
                      </w14:textFill>
                    </w:rPr>
                    <w:t>锅炉大气污染物排放浓度限值</w:t>
                  </w:r>
                </w:p>
              </w:tc>
            </w:tr>
            <w:tr w14:paraId="1F998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0" w:type="pct"/>
                  <w:vMerge w:val="continue"/>
                  <w:vAlign w:val="center"/>
                </w:tcPr>
                <w:p w14:paraId="057B246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96" w:type="pct"/>
                  <w:vMerge w:val="continue"/>
                  <w:vAlign w:val="center"/>
                </w:tcPr>
                <w:p w14:paraId="12F05015">
                  <w:pPr>
                    <w:pStyle w:val="129"/>
                    <w:pageBreakBefore w:val="0"/>
                    <w:kinsoku/>
                    <w:overflowPunct/>
                    <w:topLinePunct w:val="0"/>
                    <w:bidi w:val="0"/>
                    <w:ind w:left="0" w:leftChars="0" w:right="0" w:rightChars="0" w:firstLine="0" w:firstLineChars="0"/>
                    <w:rPr>
                      <w:rFonts w:hint="eastAsia" w:cs="Times New Roman"/>
                      <w:color w:val="000000" w:themeColor="text1"/>
                      <w:sz w:val="21"/>
                      <w:szCs w:val="21"/>
                      <w:lang w:val="en-US" w:eastAsia="zh-CN"/>
                      <w14:textFill>
                        <w14:solidFill>
                          <w14:schemeClr w14:val="tx1"/>
                        </w14:solidFill>
                      </w14:textFill>
                    </w:rPr>
                  </w:pPr>
                </w:p>
              </w:tc>
              <w:tc>
                <w:tcPr>
                  <w:tcW w:w="396" w:type="pct"/>
                  <w:vAlign w:val="center"/>
                </w:tcPr>
                <w:p w14:paraId="7B91C5F9">
                  <w:pPr>
                    <w:pStyle w:val="129"/>
                    <w:pageBreakBefore w:val="0"/>
                    <w:kinsoku/>
                    <w:overflowPunct/>
                    <w:topLinePunct w:val="0"/>
                    <w:bidi w:val="0"/>
                    <w:ind w:left="0" w:leftChars="0" w:right="0" w:rightChars="0" w:firstLine="0" w:firstLine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有机废气</w:t>
                  </w:r>
                </w:p>
              </w:tc>
              <w:tc>
                <w:tcPr>
                  <w:tcW w:w="2307" w:type="pct"/>
                  <w:vAlign w:val="center"/>
                </w:tcPr>
                <w:p w14:paraId="103DD185">
                  <w:pPr>
                    <w:pStyle w:val="129"/>
                    <w:pageBreakBefore w:val="0"/>
                    <w:kinsoku/>
                    <w:overflowPunct/>
                    <w:topLinePunct w:val="0"/>
                    <w:bidi w:val="0"/>
                    <w:ind w:left="0" w:leftChars="0" w:right="0" w:rightChars="0" w:firstLine="0" w:firstLineChars="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本项目发泡工序新增2个集气罩、成型工序新增1个集气罩，新增1套“两级活性炭吸附装置”。</w:t>
                  </w:r>
                </w:p>
                <w:p w14:paraId="7FD666C3">
                  <w:pPr>
                    <w:pStyle w:val="129"/>
                    <w:pageBreakBefore w:val="0"/>
                    <w:kinsoku/>
                    <w:overflowPunct/>
                    <w:topLinePunct w:val="0"/>
                    <w:bidi w:val="0"/>
                    <w:ind w:left="0" w:leftChars="0" w:right="0" w:rightChars="0" w:firstLine="0" w:firstLineChars="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有机废气经收集后进入1套“两级活性炭吸附装置”处理，处理后通过15m高排气筒DA002排放。</w:t>
                  </w:r>
                </w:p>
              </w:tc>
              <w:tc>
                <w:tcPr>
                  <w:tcW w:w="2361" w:type="dxa"/>
                  <w:shd w:val="clear" w:color="auto" w:fill="auto"/>
                  <w:vAlign w:val="center"/>
                </w:tcPr>
                <w:p w14:paraId="71FA0C2D">
                  <w:pPr>
                    <w:pStyle w:val="129"/>
                    <w:pageBreakBefore w:val="0"/>
                    <w:kinsoku/>
                    <w:overflowPunct/>
                    <w:topLinePunct w:val="0"/>
                    <w:bidi w:val="0"/>
                    <w:ind w:left="0" w:leftChars="0" w:right="0" w:rightChars="0" w:firstLine="0" w:firstLineChars="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非甲烷总烃、甲苯、乙苯</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苯乙烯计，执行《合成树脂工业污染物排放标准》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GB31572-2015</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及2024年修改单）</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表4标准，臭气浓度执行</w:t>
                  </w:r>
                  <w:r>
                    <w:rPr>
                      <w:rFonts w:hint="default" w:ascii="Times New Roman" w:hAnsi="Times New Roman" w:eastAsia="宋体" w:cs="Times New Roman"/>
                      <w:color w:val="000000" w:themeColor="text1"/>
                      <w:sz w:val="21"/>
                      <w:szCs w:val="21"/>
                      <w:lang w:val="zh-CN" w:eastAsia="zh-CN"/>
                      <w14:textFill>
                        <w14:solidFill>
                          <w14:schemeClr w14:val="tx1"/>
                        </w14:solidFill>
                      </w14:textFill>
                    </w:rPr>
                    <w:t>《恶臭污染物排放标准》（GB14554-93）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表2限值</w:t>
                  </w:r>
                </w:p>
              </w:tc>
            </w:tr>
            <w:tr w14:paraId="2B54F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0" w:type="pct"/>
                  <w:vMerge w:val="continue"/>
                  <w:vAlign w:val="center"/>
                </w:tcPr>
                <w:p w14:paraId="2051D8E9">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93" w:type="pct"/>
                  <w:gridSpan w:val="2"/>
                  <w:vAlign w:val="center"/>
                </w:tcPr>
                <w:p w14:paraId="4E31068F">
                  <w:pPr>
                    <w:pStyle w:val="129"/>
                    <w:pageBreakBefore w:val="0"/>
                    <w:kinsoku/>
                    <w:overflowPunct/>
                    <w:topLinePunct w:val="0"/>
                    <w:bidi w:val="0"/>
                    <w:ind w:left="0" w:leftChars="0" w:right="0" w:rightChars="0" w:firstLine="0" w:firstLine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无组织废气</w:t>
                  </w:r>
                </w:p>
              </w:tc>
              <w:tc>
                <w:tcPr>
                  <w:tcW w:w="2307" w:type="pct"/>
                  <w:vAlign w:val="center"/>
                </w:tcPr>
                <w:p w14:paraId="6F612A8B">
                  <w:pPr>
                    <w:pStyle w:val="129"/>
                    <w:pageBreakBefore w:val="0"/>
                    <w:kinsoku/>
                    <w:overflowPunct/>
                    <w:topLinePunct w:val="0"/>
                    <w:bidi w:val="0"/>
                    <w:ind w:left="0" w:leftChars="0" w:right="0" w:rightChars="0" w:firstLine="0" w:firstLineChars="0"/>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本项目切割废气、未捕集无组织废气、异味经</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车间加强通风、自然稀释扩散</w:t>
                  </w:r>
                  <w:r>
                    <w:rPr>
                      <w:rFonts w:hint="eastAsia" w:cs="Times New Roman"/>
                      <w:b w:val="0"/>
                      <w:bCs w:val="0"/>
                      <w:color w:val="000000" w:themeColor="text1"/>
                      <w:sz w:val="21"/>
                      <w:szCs w:val="21"/>
                      <w:vertAlign w:val="baseline"/>
                      <w:lang w:val="en-US" w:eastAsia="zh-CN"/>
                      <w14:textFill>
                        <w14:solidFill>
                          <w14:schemeClr w14:val="tx1"/>
                        </w14:solidFill>
                      </w14:textFill>
                    </w:rPr>
                    <w:t>后无组织排放。</w:t>
                  </w:r>
                </w:p>
                <w:p w14:paraId="236EAC81">
                  <w:pPr>
                    <w:pStyle w:val="129"/>
                    <w:pageBreakBefore w:val="0"/>
                    <w:kinsoku/>
                    <w:overflowPunct/>
                    <w:topLinePunct w:val="0"/>
                    <w:bidi w:val="0"/>
                    <w:ind w:left="0" w:leftChars="0" w:right="0" w:rightChars="0" w:firstLine="0" w:firstLineChars="0"/>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生物质燃料以袋装的方式堆放在锅炉房内</w:t>
                  </w:r>
                  <w:r>
                    <w:rPr>
                      <w:rFonts w:hint="eastAsia" w:cs="Times New Roman"/>
                      <w:b w:val="0"/>
                      <w:bCs w:val="0"/>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生物质燃料堆放粉尘</w:t>
                  </w:r>
                  <w:r>
                    <w:rPr>
                      <w:rFonts w:hint="eastAsia" w:cs="Times New Roman"/>
                      <w:color w:val="000000" w:themeColor="text1"/>
                      <w:sz w:val="21"/>
                      <w:szCs w:val="21"/>
                      <w:lang w:eastAsia="zh-CN"/>
                      <w14:textFill>
                        <w14:solidFill>
                          <w14:schemeClr w14:val="tx1"/>
                        </w14:solidFill>
                      </w14:textFill>
                    </w:rPr>
                    <w:t>经</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加强通风、自然稀释扩散</w:t>
                  </w:r>
                  <w:r>
                    <w:rPr>
                      <w:rFonts w:hint="eastAsia" w:cs="Times New Roman"/>
                      <w:b w:val="0"/>
                      <w:bCs w:val="0"/>
                      <w:color w:val="000000" w:themeColor="text1"/>
                      <w:sz w:val="21"/>
                      <w:szCs w:val="21"/>
                      <w:vertAlign w:val="baseline"/>
                      <w:lang w:val="en-US" w:eastAsia="zh-CN"/>
                      <w14:textFill>
                        <w14:solidFill>
                          <w14:schemeClr w14:val="tx1"/>
                        </w14:solidFill>
                      </w14:textFill>
                    </w:rPr>
                    <w:t>后无组织排放。</w:t>
                  </w:r>
                </w:p>
              </w:tc>
              <w:tc>
                <w:tcPr>
                  <w:tcW w:w="1439" w:type="pct"/>
                  <w:shd w:val="clear" w:color="auto" w:fill="auto"/>
                  <w:vAlign w:val="center"/>
                </w:tcPr>
                <w:p w14:paraId="20837C51">
                  <w:pPr>
                    <w:pStyle w:val="129"/>
                    <w:pageBreakBefore w:val="0"/>
                    <w:kinsoku/>
                    <w:overflowPunct/>
                    <w:topLinePunct w:val="0"/>
                    <w:bidi w:val="0"/>
                    <w:ind w:left="0" w:leftChars="0" w:right="0" w:rightChars="0" w:firstLine="0" w:firstLineChars="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非甲烷总烃</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、颗粒物、</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执行GB31572-2015《合成树脂工业污染物排放标准》（含2024年修改单）表9标准限值，苯乙烯、臭气浓度</w:t>
                  </w:r>
                  <w:r>
                    <w:rPr>
                      <w:rFonts w:hint="default" w:ascii="Times New Roman" w:hAnsi="Times New Roman" w:eastAsia="宋体" w:cs="Times New Roman"/>
                      <w:color w:val="000000" w:themeColor="text1"/>
                      <w:sz w:val="21"/>
                      <w:szCs w:val="21"/>
                      <w:lang w:val="zh-CN" w:eastAsia="zh-CN"/>
                      <w14:textFill>
                        <w14:solidFill>
                          <w14:schemeClr w14:val="tx1"/>
                        </w14:solidFill>
                      </w14:textFill>
                    </w:rPr>
                    <w:t>排放执行《恶臭污染物排放标准》（GB14554-93）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表1中二级</w:t>
                  </w:r>
                  <w:r>
                    <w:rPr>
                      <w:rFonts w:hint="default" w:ascii="Times New Roman" w:hAnsi="Times New Roman" w:eastAsia="宋体" w:cs="Times New Roman"/>
                      <w:color w:val="000000" w:themeColor="text1"/>
                      <w:sz w:val="21"/>
                      <w:szCs w:val="21"/>
                      <w:lang w:val="zh-CN" w:eastAsia="zh-CN"/>
                      <w14:textFill>
                        <w14:solidFill>
                          <w14:schemeClr w14:val="tx1"/>
                        </w14:solidFill>
                      </w14:textFill>
                    </w:rPr>
                    <w:t>标准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限值</w:t>
                  </w:r>
                  <w:r>
                    <w:rPr>
                      <w:rFonts w:hint="default" w:ascii="Times New Roman" w:hAnsi="Times New Roman" w:eastAsia="宋体" w:cs="Times New Roman"/>
                      <w:color w:val="000000" w:themeColor="text1"/>
                      <w:sz w:val="21"/>
                      <w:szCs w:val="21"/>
                      <w:lang w:val="zh-CN" w:eastAsia="zh-CN"/>
                      <w14:textFill>
                        <w14:solidFill>
                          <w14:schemeClr w14:val="tx1"/>
                        </w14:solidFill>
                      </w14:textFill>
                    </w:rPr>
                    <w:t>要求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执行GB37822-2019《挥发性有机物无组织排放控制标准》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14:paraId="182C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0" w:type="pct"/>
                  <w:vMerge w:val="continue"/>
                  <w:vAlign w:val="center"/>
                </w:tcPr>
                <w:p w14:paraId="4550B85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93" w:type="pct"/>
                  <w:gridSpan w:val="2"/>
                  <w:vAlign w:val="center"/>
                </w:tcPr>
                <w:p w14:paraId="310C07E6">
                  <w:pPr>
                    <w:pStyle w:val="129"/>
                    <w:pageBreakBefore w:val="0"/>
                    <w:kinsoku/>
                    <w:overflowPunct/>
                    <w:topLinePunct w:val="0"/>
                    <w:bidi w:val="0"/>
                    <w:ind w:left="0" w:leftChars="0" w:right="0" w:rightChars="0" w:firstLine="0" w:firstLineChars="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食堂油烟</w:t>
                  </w:r>
                </w:p>
              </w:tc>
              <w:tc>
                <w:tcPr>
                  <w:tcW w:w="2307" w:type="pct"/>
                  <w:vAlign w:val="center"/>
                </w:tcPr>
                <w:p w14:paraId="381EEEDA">
                  <w:pPr>
                    <w:pStyle w:val="129"/>
                    <w:pageBreakBefore w:val="0"/>
                    <w:kinsoku/>
                    <w:overflowPunct/>
                    <w:topLinePunct w:val="0"/>
                    <w:bidi w:val="0"/>
                    <w:ind w:left="0" w:leftChars="0" w:right="0" w:rightChars="0" w:firstLine="0" w:firstLineChars="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新增1台油烟净化器，食堂油烟经油烟净化器处理后排放。</w:t>
                  </w:r>
                </w:p>
              </w:tc>
              <w:tc>
                <w:tcPr>
                  <w:tcW w:w="1439" w:type="pct"/>
                  <w:shd w:val="clear" w:color="auto" w:fill="auto"/>
                  <w:vAlign w:val="center"/>
                </w:tcPr>
                <w:p w14:paraId="483D92B6">
                  <w:pPr>
                    <w:pStyle w:val="129"/>
                    <w:pageBreakBefore w:val="0"/>
                    <w:kinsoku/>
                    <w:overflowPunct/>
                    <w:topLinePunct w:val="0"/>
                    <w:bidi w:val="0"/>
                    <w:ind w:left="0" w:leftChars="0" w:right="0" w:rightChars="0" w:firstLine="0" w:firstLineChars="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《饮食业油烟排放标准》（GB18483-2001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小型规模标准</w:t>
                  </w:r>
                </w:p>
              </w:tc>
            </w:tr>
            <w:tr w14:paraId="5798B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0" w:type="pct"/>
                  <w:vMerge w:val="restart"/>
                  <w:vAlign w:val="center"/>
                </w:tcPr>
                <w:p w14:paraId="49D9EDE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废水防治措施</w:t>
                  </w:r>
                </w:p>
              </w:tc>
              <w:tc>
                <w:tcPr>
                  <w:tcW w:w="793" w:type="pct"/>
                  <w:gridSpan w:val="2"/>
                  <w:vAlign w:val="center"/>
                </w:tcPr>
                <w:p w14:paraId="19DC4C48">
                  <w:pPr>
                    <w:pageBreakBefore w:val="0"/>
                    <w:widowControl/>
                    <w:kinsoku/>
                    <w:overflowPunct/>
                    <w:topLinePunct w:val="0"/>
                    <w:bidi w:val="0"/>
                    <w:ind w:left="0" w:leftChars="0" w:right="0" w:rightChars="0"/>
                    <w:jc w:val="center"/>
                    <w:rPr>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雨污分流</w:t>
                  </w:r>
                </w:p>
              </w:tc>
              <w:tc>
                <w:tcPr>
                  <w:tcW w:w="2307" w:type="pct"/>
                  <w:vAlign w:val="center"/>
                </w:tcPr>
                <w:p w14:paraId="73D3BE90">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项目采取雨污分流制，初期</w:t>
                  </w:r>
                  <w:r>
                    <w:rPr>
                      <w:rFonts w:hint="eastAsia" w:cs="Times New Roman"/>
                      <w:color w:val="000000" w:themeColor="text1"/>
                      <w:sz w:val="21"/>
                      <w:szCs w:val="21"/>
                      <w:lang w:val="en-US" w:eastAsia="zh-CN"/>
                      <w14:textFill>
                        <w14:solidFill>
                          <w14:schemeClr w14:val="tx1"/>
                        </w14:solidFill>
                      </w14:textFill>
                    </w:rPr>
                    <w:t>雨水经厂区周边现有雨水沟收集后进入周边道路旁雨水沟。</w:t>
                  </w:r>
                </w:p>
              </w:tc>
              <w:tc>
                <w:tcPr>
                  <w:tcW w:w="1439" w:type="pct"/>
                  <w:vAlign w:val="center"/>
                </w:tcPr>
                <w:p w14:paraId="1C807AA1">
                  <w:pPr>
                    <w:pStyle w:val="129"/>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14:paraId="73E77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0" w:type="pct"/>
                  <w:vMerge w:val="continue"/>
                  <w:vAlign w:val="center"/>
                </w:tcPr>
                <w:p w14:paraId="4635505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93" w:type="pct"/>
                  <w:gridSpan w:val="2"/>
                  <w:vAlign w:val="center"/>
                </w:tcPr>
                <w:p w14:paraId="23DA4262">
                  <w:pPr>
                    <w:pStyle w:val="29"/>
                    <w:pageBreakBefore w:val="0"/>
                    <w:widowControl w:val="0"/>
                    <w:kinsoku/>
                    <w:overflowPunct/>
                    <w:topLinePunct w:val="0"/>
                    <w:bidi w:val="0"/>
                    <w:spacing w:before="0" w:beforeAutospacing="0" w:after="0" w:afterAutospacing="0"/>
                    <w:ind w:left="0" w:leftChars="0" w:right="0" w:rightChars="0"/>
                    <w:jc w:val="center"/>
                    <w:rPr>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生活污水</w:t>
                  </w:r>
                </w:p>
              </w:tc>
              <w:tc>
                <w:tcPr>
                  <w:tcW w:w="2307" w:type="pct"/>
                  <w:vAlign w:val="center"/>
                </w:tcPr>
                <w:p w14:paraId="12B209EB">
                  <w:pPr>
                    <w:pStyle w:val="29"/>
                    <w:pageBreakBefore w:val="0"/>
                    <w:widowControl w:val="0"/>
                    <w:kinsoku/>
                    <w:overflowPunct/>
                    <w:topLinePunct w:val="0"/>
                    <w:bidi w:val="0"/>
                    <w:spacing w:before="0" w:beforeAutospacing="0" w:after="0" w:afterAutospacing="0"/>
                    <w:ind w:left="0" w:leftChars="0" w:right="0"/>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依托现有</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1个1m</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隔油池、1个3m</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化粪池；新增1套处理能力为1m</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/d一体化生活污水处理设施。</w:t>
                  </w:r>
                </w:p>
                <w:p w14:paraId="3CDB513E">
                  <w:pPr>
                    <w:pStyle w:val="29"/>
                    <w:pageBreakBefore w:val="0"/>
                    <w:widowControl w:val="0"/>
                    <w:kinsoku/>
                    <w:overflowPunct/>
                    <w:topLinePunct w:val="0"/>
                    <w:bidi w:val="0"/>
                    <w:spacing w:before="0" w:beforeAutospacing="0" w:after="0" w:afterAutospacing="0"/>
                    <w:ind w:left="0" w:leftChars="0" w:right="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生活污水经隔油池、化粪池预处理后进入自建生活污水处理设施处理达标后用于厂区绿化。</w:t>
                  </w:r>
                </w:p>
                <w:p w14:paraId="5503E68A">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新增1个约3m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中水池</w:t>
                  </w:r>
                  <w:r>
                    <w:rPr>
                      <w:rFonts w:hint="eastAsia" w:ascii="Times New Roman" w:hAnsi="Times New Roman" w:cs="Times New Roman"/>
                      <w:color w:val="000000" w:themeColor="text1"/>
                      <w:sz w:val="21"/>
                      <w:szCs w:val="21"/>
                      <w:lang w:val="en-US" w:eastAsia="zh-CN"/>
                      <w14:textFill>
                        <w14:solidFill>
                          <w14:schemeClr w14:val="tx1"/>
                        </w14:solidFill>
                      </w14:textFill>
                    </w:rPr>
                    <w:t>，配套设置中水回用软管，</w:t>
                  </w:r>
                  <w:r>
                    <w:rPr>
                      <w:rFonts w:hint="default" w:ascii="Times New Roman" w:hAnsi="Times New Roman" w:cs="Times New Roman"/>
                      <w:color w:val="000000" w:themeColor="text1"/>
                      <w:sz w:val="21"/>
                      <w:szCs w:val="21"/>
                      <w:lang w:val="en-US" w:eastAsia="zh-CN"/>
                      <w14:textFill>
                        <w14:solidFill>
                          <w14:schemeClr w14:val="tx1"/>
                        </w14:solidFill>
                      </w14:textFill>
                    </w:rPr>
                    <w:t>收集雨天处理后的中水，留待晴天使用</w:t>
                  </w:r>
                </w:p>
              </w:tc>
              <w:tc>
                <w:tcPr>
                  <w:tcW w:w="1439" w:type="pct"/>
                  <w:vAlign w:val="center"/>
                </w:tcPr>
                <w:p w14:paraId="5C5150D4">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《城市污水再生利用 城市杂用水水质》（GB/T18920-2020）绿化标准</w:t>
                  </w:r>
                </w:p>
              </w:tc>
            </w:tr>
            <w:tr w14:paraId="62BF6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0" w:type="pct"/>
                  <w:vMerge w:val="continue"/>
                  <w:vAlign w:val="center"/>
                </w:tcPr>
                <w:p w14:paraId="74AEF9F5">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93" w:type="pct"/>
                  <w:gridSpan w:val="2"/>
                  <w:vAlign w:val="center"/>
                </w:tcPr>
                <w:p w14:paraId="5D067359">
                  <w:pPr>
                    <w:pageBreakBefore w:val="0"/>
                    <w:widowControl/>
                    <w:kinsoku/>
                    <w:overflowPunct/>
                    <w:topLinePunct w:val="0"/>
                    <w:bidi w:val="0"/>
                    <w:ind w:left="0" w:leftChars="0" w:right="0" w:right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软水制备废水</w:t>
                  </w:r>
                </w:p>
              </w:tc>
              <w:tc>
                <w:tcPr>
                  <w:tcW w:w="2307" w:type="pct"/>
                  <w:vAlign w:val="center"/>
                </w:tcPr>
                <w:p w14:paraId="57C09809">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新增1套软水制备设施。</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软水</w:t>
                  </w:r>
                  <w:r>
                    <w:rPr>
                      <w:rFonts w:hint="default" w:ascii="Times New Roman" w:hAnsi="Times New Roman" w:cs="Times New Roman" w:eastAsiaTheme="minorEastAsia"/>
                      <w:color w:val="000000" w:themeColor="text1"/>
                      <w:sz w:val="21"/>
                      <w:szCs w:val="21"/>
                      <w14:textFill>
                        <w14:solidFill>
                          <w14:schemeClr w14:val="tx1"/>
                        </w14:solidFill>
                      </w14:textFill>
                    </w:rPr>
                    <w:t>制备废水</w:t>
                  </w:r>
                  <w:r>
                    <w:rPr>
                      <w:rFonts w:hint="eastAsia" w:cs="Times New Roman" w:eastAsiaTheme="minorEastAsia"/>
                      <w:color w:val="000000" w:themeColor="text1"/>
                      <w:sz w:val="21"/>
                      <w:szCs w:val="21"/>
                      <w:lang w:eastAsia="zh-CN"/>
                      <w14:textFill>
                        <w14:solidFill>
                          <w14:schemeClr w14:val="tx1"/>
                        </w14:solidFill>
                      </w14:textFill>
                    </w:rPr>
                    <w:t>经收集处理后回用于厂区洒水降尘</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不外排</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439" w:type="pct"/>
                  <w:vMerge w:val="restart"/>
                  <w:vAlign w:val="center"/>
                </w:tcPr>
                <w:p w14:paraId="49787B64">
                  <w:pPr>
                    <w:pageBreakBefore w:val="0"/>
                    <w:widowControl/>
                    <w:kinsoku/>
                    <w:overflowPunct/>
                    <w:topLinePunct w:val="0"/>
                    <w:bidi w:val="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不外排</w:t>
                  </w:r>
                </w:p>
              </w:tc>
            </w:tr>
            <w:tr w14:paraId="7260F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0" w:type="pct"/>
                  <w:vMerge w:val="continue"/>
                  <w:vAlign w:val="center"/>
                </w:tcPr>
                <w:p w14:paraId="7CD6E765">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93" w:type="pct"/>
                  <w:gridSpan w:val="2"/>
                  <w:vAlign w:val="center"/>
                </w:tcPr>
                <w:p w14:paraId="79E286EE">
                  <w:pPr>
                    <w:pStyle w:val="29"/>
                    <w:pageBreakBefore w:val="0"/>
                    <w:widowControl w:val="0"/>
                    <w:kinsoku/>
                    <w:overflowPunct/>
                    <w:topLinePunct w:val="0"/>
                    <w:bidi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锅炉排水</w:t>
                  </w:r>
                </w:p>
              </w:tc>
              <w:tc>
                <w:tcPr>
                  <w:tcW w:w="2307" w:type="pct"/>
                  <w:vAlign w:val="center"/>
                </w:tcPr>
                <w:p w14:paraId="462611E2">
                  <w:pPr>
                    <w:keepNext w:val="0"/>
                    <w:keepLines w:val="0"/>
                    <w:pageBreakBefore w:val="0"/>
                    <w:kinsoku/>
                    <w:wordWrap/>
                    <w:overflowPunct/>
                    <w:topLinePunct w:val="0"/>
                    <w:autoSpaceDE/>
                    <w:autoSpaceDN/>
                    <w:bidi w:val="0"/>
                    <w:adjustRightInd/>
                    <w:snapToGrid/>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锅炉排水</w:t>
                  </w:r>
                  <w:r>
                    <w:rPr>
                      <w:rFonts w:hint="eastAsia" w:cs="Times New Roman" w:eastAsiaTheme="minorEastAsia"/>
                      <w:color w:val="000000" w:themeColor="text1"/>
                      <w:sz w:val="21"/>
                      <w:szCs w:val="21"/>
                      <w:lang w:eastAsia="zh-CN"/>
                      <w14:textFill>
                        <w14:solidFill>
                          <w14:schemeClr w14:val="tx1"/>
                        </w14:solidFill>
                      </w14:textFill>
                    </w:rPr>
                    <w:t>经收集处理后回用于厂区洒水降尘</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不外排</w:t>
                  </w:r>
                  <w:r>
                    <w:rPr>
                      <w:rFonts w:hint="eastAsia" w:cs="Times New Roman" w:eastAsiaTheme="minorEastAsia"/>
                      <w:color w:val="000000" w:themeColor="text1"/>
                      <w:sz w:val="21"/>
                      <w:szCs w:val="21"/>
                      <w:lang w:eastAsia="zh-CN"/>
                      <w14:textFill>
                        <w14:solidFill>
                          <w14:schemeClr w14:val="tx1"/>
                        </w14:solidFill>
                      </w14:textFill>
                    </w:rPr>
                    <w:t>。本环评要求设置</w:t>
                  </w:r>
                  <w:r>
                    <w:rPr>
                      <w:rFonts w:hint="eastAsia" w:cs="Times New Roman" w:eastAsiaTheme="minorEastAsia"/>
                      <w:color w:val="000000" w:themeColor="text1"/>
                      <w:sz w:val="21"/>
                      <w:szCs w:val="21"/>
                      <w:lang w:val="en-US" w:eastAsia="zh-CN"/>
                      <w14:textFill>
                        <w14:solidFill>
                          <w14:schemeClr w14:val="tx1"/>
                        </w14:solidFill>
                      </w14:textFill>
                    </w:rPr>
                    <w:t>1个6m</w:t>
                  </w:r>
                  <w:r>
                    <w:rPr>
                      <w:rFonts w:hint="eastAsia" w:cs="Times New Roman" w:eastAsiaTheme="minorEastAsia"/>
                      <w:color w:val="000000" w:themeColor="text1"/>
                      <w:sz w:val="21"/>
                      <w:szCs w:val="21"/>
                      <w:vertAlign w:val="superscript"/>
                      <w:lang w:val="en-US" w:eastAsia="zh-CN"/>
                      <w14:textFill>
                        <w14:solidFill>
                          <w14:schemeClr w14:val="tx1"/>
                        </w14:solidFill>
                      </w14:textFill>
                    </w:rPr>
                    <w:t>3</w:t>
                  </w:r>
                  <w:r>
                    <w:rPr>
                      <w:rFonts w:hint="eastAsia" w:cs="Times New Roman" w:eastAsiaTheme="minorEastAsia"/>
                      <w:color w:val="000000" w:themeColor="text1"/>
                      <w:sz w:val="21"/>
                      <w:szCs w:val="21"/>
                      <w:lang w:val="en-US" w:eastAsia="zh-CN"/>
                      <w14:textFill>
                        <w14:solidFill>
                          <w14:schemeClr w14:val="tx1"/>
                        </w14:solidFill>
                      </w14:textFill>
                    </w:rPr>
                    <w:t>废水收集池收集软水废水及锅炉排水，废水经收集后用于厂区洒水降尘。</w:t>
                  </w:r>
                </w:p>
              </w:tc>
              <w:tc>
                <w:tcPr>
                  <w:tcW w:w="1439" w:type="pct"/>
                  <w:vMerge w:val="continue"/>
                  <w:vAlign w:val="center"/>
                </w:tcPr>
                <w:p w14:paraId="6DA9C2E8">
                  <w:pPr>
                    <w:pStyle w:val="29"/>
                    <w:pageBreakBefore w:val="0"/>
                    <w:widowControl w:val="0"/>
                    <w:kinsoku/>
                    <w:overflowPunct/>
                    <w:topLinePunct w:val="0"/>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3447A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0" w:type="pct"/>
                  <w:vMerge w:val="continue"/>
                  <w:vAlign w:val="center"/>
                </w:tcPr>
                <w:p w14:paraId="3F4428E5">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93" w:type="pct"/>
                  <w:gridSpan w:val="2"/>
                  <w:vAlign w:val="center"/>
                </w:tcPr>
                <w:p w14:paraId="101AC06C">
                  <w:pPr>
                    <w:pStyle w:val="29"/>
                    <w:pageBreakBefore w:val="0"/>
                    <w:widowControl w:val="0"/>
                    <w:kinsoku/>
                    <w:overflowPunct/>
                    <w:topLinePunct w:val="0"/>
                    <w:bidi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生产冷凝水</w:t>
                  </w:r>
                </w:p>
              </w:tc>
              <w:tc>
                <w:tcPr>
                  <w:tcW w:w="2307" w:type="pct"/>
                  <w:vAlign w:val="center"/>
                </w:tcPr>
                <w:p w14:paraId="2BE470D1">
                  <w:pPr>
                    <w:pStyle w:val="29"/>
                    <w:pageBreakBefore w:val="0"/>
                    <w:widowControl w:val="0"/>
                    <w:kinsoku/>
                    <w:overflowPunct/>
                    <w:topLinePunct w:val="0"/>
                    <w:bidi w:val="0"/>
                    <w:spacing w:before="0" w:beforeAutospacing="0" w:after="0" w:afterAutospacing="0"/>
                    <w:ind w:left="0" w:leftChars="0" w:right="0" w:rightChars="0"/>
                    <w:jc w:val="center"/>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发泡工段蒸汽冷凝水用于</w:t>
                  </w:r>
                  <w:r>
                    <w:rPr>
                      <w:rFonts w:hint="eastAsia" w:cs="Times New Roman" w:eastAsiaTheme="minorEastAsia"/>
                      <w:color w:val="000000" w:themeColor="text1"/>
                      <w:sz w:val="21"/>
                      <w:szCs w:val="21"/>
                      <w:lang w:eastAsia="zh-CN"/>
                      <w14:textFill>
                        <w14:solidFill>
                          <w14:schemeClr w14:val="tx1"/>
                        </w14:solidFill>
                      </w14:textFill>
                    </w:rPr>
                    <w:t>生物质锅炉</w:t>
                  </w:r>
                  <w:r>
                    <w:rPr>
                      <w:rFonts w:hint="default" w:ascii="Times New Roman" w:hAnsi="Times New Roman" w:cs="Times New Roman" w:eastAsiaTheme="minorEastAsia"/>
                      <w:color w:val="000000" w:themeColor="text1"/>
                      <w:sz w:val="21"/>
                      <w:szCs w:val="21"/>
                      <w14:textFill>
                        <w14:solidFill>
                          <w14:schemeClr w14:val="tx1"/>
                        </w14:solidFill>
                      </w14:textFill>
                    </w:rPr>
                    <w:t>损耗补充水</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不外排</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。冷凝水依托现有1个约400m</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循环池，冷凝水经收集后用于锅炉补水。</w:t>
                  </w:r>
                </w:p>
              </w:tc>
              <w:tc>
                <w:tcPr>
                  <w:tcW w:w="1439" w:type="pct"/>
                  <w:vMerge w:val="continue"/>
                  <w:vAlign w:val="center"/>
                </w:tcPr>
                <w:p w14:paraId="23E41448">
                  <w:pPr>
                    <w:pStyle w:val="29"/>
                    <w:pageBreakBefore w:val="0"/>
                    <w:widowControl w:val="0"/>
                    <w:kinsoku/>
                    <w:overflowPunct/>
                    <w:topLinePunct w:val="0"/>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0B8F5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0" w:type="pct"/>
                  <w:vMerge w:val="continue"/>
                  <w:vAlign w:val="center"/>
                </w:tcPr>
                <w:p w14:paraId="0793DD2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93" w:type="pct"/>
                  <w:gridSpan w:val="2"/>
                  <w:vAlign w:val="center"/>
                </w:tcPr>
                <w:p w14:paraId="1B49878E">
                  <w:pPr>
                    <w:pStyle w:val="29"/>
                    <w:pageBreakBefore w:val="0"/>
                    <w:widowControl w:val="0"/>
                    <w:kinsoku/>
                    <w:overflowPunct/>
                    <w:topLinePunct w:val="0"/>
                    <w:bidi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压模废水</w:t>
                  </w:r>
                </w:p>
              </w:tc>
              <w:tc>
                <w:tcPr>
                  <w:tcW w:w="2307" w:type="pct"/>
                  <w:vAlign w:val="center"/>
                </w:tcPr>
                <w:p w14:paraId="1C3D9CA6">
                  <w:pPr>
                    <w:pStyle w:val="29"/>
                    <w:pageBreakBefore w:val="0"/>
                    <w:widowControl w:val="0"/>
                    <w:kinsoku/>
                    <w:overflowPunct/>
                    <w:topLinePunct w:val="0"/>
                    <w:bidi w:val="0"/>
                    <w:spacing w:before="0" w:beforeAutospacing="0" w:after="0" w:afterAutospacing="0"/>
                    <w:ind w:left="0" w:leftChars="0" w:right="0" w:rightChars="0"/>
                    <w:jc w:val="center"/>
                    <w:rPr>
                      <w:rFonts w:hint="eastAsia"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压模环节蒸汽加热成型后多余蒸汽排出，自然蒸发。压模废水依托现有1个约1m</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收集池。</w:t>
                  </w:r>
                </w:p>
              </w:tc>
              <w:tc>
                <w:tcPr>
                  <w:tcW w:w="1439" w:type="pct"/>
                  <w:vMerge w:val="continue"/>
                  <w:vAlign w:val="center"/>
                </w:tcPr>
                <w:p w14:paraId="43CA87F0">
                  <w:pPr>
                    <w:pStyle w:val="29"/>
                    <w:pageBreakBefore w:val="0"/>
                    <w:widowControl w:val="0"/>
                    <w:kinsoku/>
                    <w:overflowPunct/>
                    <w:topLinePunct w:val="0"/>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69536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0" w:type="pct"/>
                  <w:vAlign w:val="center"/>
                </w:tcPr>
                <w:p w14:paraId="4084682C">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噪声防治措施</w:t>
                  </w:r>
                </w:p>
              </w:tc>
              <w:tc>
                <w:tcPr>
                  <w:tcW w:w="793" w:type="pct"/>
                  <w:gridSpan w:val="2"/>
                  <w:vAlign w:val="center"/>
                </w:tcPr>
                <w:p w14:paraId="156CDB6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噪声</w:t>
                  </w:r>
                </w:p>
              </w:tc>
              <w:tc>
                <w:tcPr>
                  <w:tcW w:w="2307" w:type="pct"/>
                  <w:vAlign w:val="center"/>
                </w:tcPr>
                <w:p w14:paraId="1AF6251D">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项目所有生产设备均置于厂房内，</w:t>
                  </w:r>
                  <w:r>
                    <w:rPr>
                      <w:rFonts w:hint="default" w:ascii="Times New Roman" w:hAnsi="Times New Roman" w:cs="Times New Roman"/>
                      <w:color w:val="000000" w:themeColor="text1"/>
                      <w:sz w:val="21"/>
                      <w:szCs w:val="21"/>
                      <w14:textFill>
                        <w14:solidFill>
                          <w14:schemeClr w14:val="tx1"/>
                        </w14:solidFill>
                      </w14:textFill>
                    </w:rPr>
                    <w:t>选用低噪设备、安装减震垫、厂房隔音</w:t>
                  </w:r>
                  <w:r>
                    <w:rPr>
                      <w:rFonts w:hint="eastAsia" w:cs="Times New Roman"/>
                      <w:color w:val="000000" w:themeColor="text1"/>
                      <w:sz w:val="21"/>
                      <w:szCs w:val="21"/>
                      <w:lang w:eastAsia="zh-CN"/>
                      <w14:textFill>
                        <w14:solidFill>
                          <w14:schemeClr w14:val="tx1"/>
                        </w14:solidFill>
                      </w14:textFill>
                    </w:rPr>
                    <w:t>。</w:t>
                  </w:r>
                </w:p>
              </w:tc>
              <w:tc>
                <w:tcPr>
                  <w:tcW w:w="1439" w:type="pct"/>
                  <w:vAlign w:val="center"/>
                </w:tcPr>
                <w:p w14:paraId="3182730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olor w:val="000000" w:themeColor="text1"/>
                      <w:kern w:val="0"/>
                      <w:sz w:val="21"/>
                      <w:szCs w:val="21"/>
                      <w:lang w:val="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《工业企业厂界环境噪声排放标准》</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GB12348-2008</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3类标准、4类标准</w:t>
                  </w:r>
                </w:p>
              </w:tc>
            </w:tr>
            <w:tr w14:paraId="23734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0" w:type="pct"/>
                  <w:vMerge w:val="restart"/>
                  <w:vAlign w:val="center"/>
                </w:tcPr>
                <w:p w14:paraId="79AF7F39">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固废防治措施</w:t>
                  </w:r>
                </w:p>
              </w:tc>
              <w:tc>
                <w:tcPr>
                  <w:tcW w:w="793" w:type="pct"/>
                  <w:gridSpan w:val="2"/>
                  <w:vAlign w:val="center"/>
                </w:tcPr>
                <w:p w14:paraId="3A494514">
                  <w:pPr>
                    <w:pStyle w:val="17"/>
                    <w:keepNext w:val="0"/>
                    <w:keepLines w:val="0"/>
                    <w:pageBreakBefore w:val="0"/>
                    <w:widowControl w:val="0"/>
                    <w:kinsoku/>
                    <w:wordWrap w:val="0"/>
                    <w:overflowPunct/>
                    <w:topLinePunct/>
                    <w:autoSpaceDE/>
                    <w:autoSpaceDN/>
                    <w:bidi w:val="0"/>
                    <w:adjustRightInd/>
                    <w:ind w:left="0" w:leftChars="0"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生活垃圾</w:t>
                  </w:r>
                </w:p>
              </w:tc>
              <w:tc>
                <w:tcPr>
                  <w:tcW w:w="2307" w:type="pct"/>
                  <w:vAlign w:val="center"/>
                </w:tcPr>
                <w:p w14:paraId="7AB4A30E">
                  <w:pPr>
                    <w:pStyle w:val="17"/>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项目生活垃圾</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经</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垃圾收集桶收集后运至周边生活垃圾收集点，</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由环卫部门清运处置</w:t>
                  </w:r>
                </w:p>
              </w:tc>
              <w:tc>
                <w:tcPr>
                  <w:tcW w:w="1439" w:type="pct"/>
                  <w:vMerge w:val="restart"/>
                  <w:vAlign w:val="center"/>
                </w:tcPr>
                <w:p w14:paraId="48A725E9">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处置率100%</w:t>
                  </w:r>
                </w:p>
              </w:tc>
            </w:tr>
            <w:tr w14:paraId="786D5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0" w:type="pct"/>
                  <w:vMerge w:val="continue"/>
                  <w:vAlign w:val="center"/>
                </w:tcPr>
                <w:p w14:paraId="519A8C3C">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93" w:type="pct"/>
                  <w:gridSpan w:val="2"/>
                  <w:vAlign w:val="center"/>
                </w:tcPr>
                <w:p w14:paraId="58E7166A">
                  <w:pPr>
                    <w:pStyle w:val="17"/>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生活污水处理设施污泥</w:t>
                  </w:r>
                </w:p>
              </w:tc>
              <w:tc>
                <w:tcPr>
                  <w:tcW w:w="2307" w:type="pct"/>
                  <w:vAlign w:val="center"/>
                </w:tcPr>
                <w:p w14:paraId="78A8CEFD">
                  <w:pPr>
                    <w:pStyle w:val="17"/>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污泥委托环卫部门清运处置。</w:t>
                  </w:r>
                </w:p>
              </w:tc>
              <w:tc>
                <w:tcPr>
                  <w:tcW w:w="1439" w:type="pct"/>
                  <w:vMerge w:val="continue"/>
                  <w:vAlign w:val="center"/>
                </w:tcPr>
                <w:p w14:paraId="2E0B7388">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14:paraId="15406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0" w:type="pct"/>
                  <w:vMerge w:val="continue"/>
                  <w:vAlign w:val="center"/>
                </w:tcPr>
                <w:p w14:paraId="2F6C8E2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93" w:type="pct"/>
                  <w:gridSpan w:val="2"/>
                  <w:vAlign w:val="center"/>
                </w:tcPr>
                <w:p w14:paraId="12A7162D">
                  <w:pPr>
                    <w:pStyle w:val="17"/>
                    <w:keepNext w:val="0"/>
                    <w:keepLines w:val="0"/>
                    <w:pageBreakBefore w:val="0"/>
                    <w:widowControl w:val="0"/>
                    <w:kinsoku/>
                    <w:wordWrap w:val="0"/>
                    <w:overflowPunct/>
                    <w:topLinePunct/>
                    <w:autoSpaceDE/>
                    <w:autoSpaceDN/>
                    <w:bidi w:val="0"/>
                    <w:adjustRightInd/>
                    <w:ind w:left="0" w:leftChars="0"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废包装材料</w:t>
                  </w:r>
                </w:p>
              </w:tc>
              <w:tc>
                <w:tcPr>
                  <w:tcW w:w="2307" w:type="pct"/>
                  <w:vMerge w:val="restart"/>
                  <w:vAlign w:val="center"/>
                </w:tcPr>
                <w:p w14:paraId="28910597">
                  <w:pPr>
                    <w:pStyle w:val="17"/>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设置1个约5m</w:t>
                  </w:r>
                  <w:r>
                    <w:rPr>
                      <w:rFonts w:hint="eastAsia" w:ascii="Times New Roman" w:hAnsi="Times New Roman" w:cs="Times New Roman"/>
                      <w:color w:val="000000" w:themeColor="text1"/>
                      <w:vertAlign w:val="superscript"/>
                      <w:lang w:val="en-US" w:eastAsia="zh-CN"/>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一般固废暂存区，一般固废暂存于一般固废暂存区，</w:t>
                  </w:r>
                  <w:r>
                    <w:rPr>
                      <w:rFonts w:hint="eastAsia" w:ascii="Times New Roman" w:hAnsi="Times New Roman" w:eastAsia="宋体" w:cs="Times New Roman"/>
                      <w:color w:val="000000" w:themeColor="text1"/>
                      <w:lang w:val="en-US" w:eastAsia="zh-CN"/>
                      <w14:textFill>
                        <w14:solidFill>
                          <w14:schemeClr w14:val="tx1"/>
                        </w14:solidFill>
                      </w14:textFill>
                    </w:rPr>
                    <w:t>定期外售至周边废品回收站进行资源化利用</w:t>
                  </w:r>
                </w:p>
              </w:tc>
              <w:tc>
                <w:tcPr>
                  <w:tcW w:w="1439" w:type="pct"/>
                  <w:vMerge w:val="continue"/>
                  <w:vAlign w:val="center"/>
                </w:tcPr>
                <w:p w14:paraId="2E02E48D">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14:paraId="2B79E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0" w:type="pct"/>
                  <w:vMerge w:val="continue"/>
                  <w:vAlign w:val="center"/>
                </w:tcPr>
                <w:p w14:paraId="1EA771EC">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93" w:type="pct"/>
                  <w:gridSpan w:val="2"/>
                  <w:vAlign w:val="center"/>
                </w:tcPr>
                <w:p w14:paraId="375707F0">
                  <w:pPr>
                    <w:pStyle w:val="17"/>
                    <w:keepNext w:val="0"/>
                    <w:keepLines w:val="0"/>
                    <w:pageBreakBefore w:val="0"/>
                    <w:widowControl w:val="0"/>
                    <w:kinsoku/>
                    <w:wordWrap w:val="0"/>
                    <w:overflowPunct/>
                    <w:topLinePunct/>
                    <w:autoSpaceDE/>
                    <w:autoSpaceDN/>
                    <w:bidi w:val="0"/>
                    <w:adjustRightInd/>
                    <w:ind w:left="0" w:leftChars="0"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不合格品</w:t>
                  </w:r>
                </w:p>
              </w:tc>
              <w:tc>
                <w:tcPr>
                  <w:tcW w:w="2307" w:type="pct"/>
                  <w:vMerge w:val="continue"/>
                  <w:vAlign w:val="center"/>
                </w:tcPr>
                <w:p w14:paraId="09023C9A">
                  <w:pPr>
                    <w:pStyle w:val="17"/>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39" w:type="pct"/>
                  <w:vMerge w:val="continue"/>
                  <w:vAlign w:val="center"/>
                </w:tcPr>
                <w:p w14:paraId="53221A1D">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14:paraId="36DDE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0" w:type="pct"/>
                  <w:vMerge w:val="continue"/>
                  <w:vAlign w:val="center"/>
                </w:tcPr>
                <w:p w14:paraId="5B50A84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93" w:type="pct"/>
                  <w:gridSpan w:val="2"/>
                  <w:vAlign w:val="center"/>
                </w:tcPr>
                <w:p w14:paraId="5AECB4CD">
                  <w:pPr>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锅炉</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炉渣</w:t>
                  </w:r>
                </w:p>
              </w:tc>
              <w:tc>
                <w:tcPr>
                  <w:tcW w:w="2307" w:type="pct"/>
                  <w:vMerge w:val="restart"/>
                  <w:vAlign w:val="center"/>
                </w:tcPr>
                <w:p w14:paraId="7729A2B5">
                  <w:pPr>
                    <w:pStyle w:val="17"/>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生物质锅炉</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炉渣</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、布袋除尘灰</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定期清理袋装后暂存于</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1间10m</w:t>
                  </w:r>
                  <w:r>
                    <w:rPr>
                      <w:rFonts w:hint="eastAsia"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堆渣棚</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内，</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作为原料外售其他企业进行综合利用</w:t>
                  </w:r>
                </w:p>
              </w:tc>
              <w:tc>
                <w:tcPr>
                  <w:tcW w:w="1439" w:type="pct"/>
                  <w:vMerge w:val="continue"/>
                  <w:vAlign w:val="center"/>
                </w:tcPr>
                <w:p w14:paraId="5F6AD81C">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14:paraId="6615B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0" w:type="pct"/>
                  <w:vMerge w:val="continue"/>
                  <w:vAlign w:val="center"/>
                </w:tcPr>
                <w:p w14:paraId="682120E2">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93" w:type="pct"/>
                  <w:gridSpan w:val="2"/>
                  <w:vAlign w:val="center"/>
                </w:tcPr>
                <w:p w14:paraId="4A26DABA">
                  <w:pPr>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除尘灰</w:t>
                  </w:r>
                </w:p>
              </w:tc>
              <w:tc>
                <w:tcPr>
                  <w:tcW w:w="2307" w:type="pct"/>
                  <w:vMerge w:val="continue"/>
                  <w:vAlign w:val="center"/>
                </w:tcPr>
                <w:p w14:paraId="35B4C853">
                  <w:pPr>
                    <w:pStyle w:val="17"/>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39" w:type="pct"/>
                  <w:vMerge w:val="continue"/>
                  <w:vAlign w:val="center"/>
                </w:tcPr>
                <w:p w14:paraId="1FD8E0F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14:paraId="28D01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0" w:type="pct"/>
                  <w:vMerge w:val="continue"/>
                  <w:vAlign w:val="center"/>
                </w:tcPr>
                <w:p w14:paraId="16E64B2C">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93" w:type="pct"/>
                  <w:gridSpan w:val="2"/>
                  <w:vAlign w:val="center"/>
                </w:tcPr>
                <w:p w14:paraId="7DB47768">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废布袋</w:t>
                  </w:r>
                </w:p>
              </w:tc>
              <w:tc>
                <w:tcPr>
                  <w:tcW w:w="2307" w:type="pct"/>
                  <w:vAlign w:val="center"/>
                </w:tcPr>
                <w:p w14:paraId="3396D7E5">
                  <w:pPr>
                    <w:pStyle w:val="17"/>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一般固废暂存于一般固废暂存区，</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统一收集后外售</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废品回收站</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处置</w:t>
                  </w:r>
                </w:p>
              </w:tc>
              <w:tc>
                <w:tcPr>
                  <w:tcW w:w="1439" w:type="pct"/>
                  <w:vMerge w:val="continue"/>
                  <w:vAlign w:val="center"/>
                </w:tcPr>
                <w:p w14:paraId="28AF5D4E">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14:paraId="3243C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0" w:type="pct"/>
                  <w:vMerge w:val="continue"/>
                  <w:vAlign w:val="center"/>
                </w:tcPr>
                <w:p w14:paraId="636C201F">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93" w:type="pct"/>
                  <w:gridSpan w:val="2"/>
                  <w:vAlign w:val="center"/>
                </w:tcPr>
                <w:p w14:paraId="12208D5A">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废离子交换树脂</w:t>
                  </w:r>
                </w:p>
              </w:tc>
              <w:tc>
                <w:tcPr>
                  <w:tcW w:w="2307" w:type="pct"/>
                  <w:vAlign w:val="center"/>
                </w:tcPr>
                <w:p w14:paraId="78AF28D6">
                  <w:pPr>
                    <w:pStyle w:val="17"/>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由厂家直接回收，不在厂内暂存</w:t>
                  </w:r>
                </w:p>
              </w:tc>
              <w:tc>
                <w:tcPr>
                  <w:tcW w:w="1439" w:type="pct"/>
                  <w:vMerge w:val="continue"/>
                  <w:vAlign w:val="center"/>
                </w:tcPr>
                <w:p w14:paraId="4C41723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14:paraId="59534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0" w:type="pct"/>
                  <w:vMerge w:val="continue"/>
                  <w:vAlign w:val="center"/>
                </w:tcPr>
                <w:p w14:paraId="7F68158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93" w:type="pct"/>
                  <w:gridSpan w:val="2"/>
                  <w:vAlign w:val="center"/>
                </w:tcPr>
                <w:p w14:paraId="46649E9E">
                  <w:pPr>
                    <w:pStyle w:val="17"/>
                    <w:keepNext w:val="0"/>
                    <w:keepLines w:val="0"/>
                    <w:pageBreakBefore w:val="0"/>
                    <w:widowControl w:val="0"/>
                    <w:kinsoku/>
                    <w:wordWrap w:val="0"/>
                    <w:overflowPunct/>
                    <w:topLinePunct/>
                    <w:autoSpaceDE/>
                    <w:autoSpaceDN/>
                    <w:bidi w:val="0"/>
                    <w:adjustRightInd/>
                    <w:ind w:left="0" w:leftChars="0"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废机油</w:t>
                  </w:r>
                </w:p>
              </w:tc>
              <w:tc>
                <w:tcPr>
                  <w:tcW w:w="2307" w:type="pct"/>
                  <w:vMerge w:val="restart"/>
                  <w:vAlign w:val="center"/>
                </w:tcPr>
                <w:p w14:paraId="4A5F40CE">
                  <w:pPr>
                    <w:pStyle w:val="17"/>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设置有1间5m</w:t>
                  </w:r>
                  <w:r>
                    <w:rPr>
                      <w:rFonts w:hint="eastAsia" w:ascii="Times New Roman" w:hAnsi="Times New Roman" w:cs="Times New Roman"/>
                      <w:b w:val="0"/>
                      <w:bCs w:val="0"/>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危废贮存库，危险废物</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分类</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收集后</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分类</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暂存于</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危废贮存库</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，定期委托</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有资质单位</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清运处置</w:t>
                  </w:r>
                </w:p>
              </w:tc>
              <w:tc>
                <w:tcPr>
                  <w:tcW w:w="1439" w:type="pct"/>
                  <w:vMerge w:val="continue"/>
                  <w:vAlign w:val="center"/>
                </w:tcPr>
                <w:p w14:paraId="4ADDC3D8">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14:paraId="268BC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0" w:type="pct"/>
                  <w:vMerge w:val="continue"/>
                  <w:vAlign w:val="center"/>
                </w:tcPr>
                <w:p w14:paraId="70AD2DCF">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93" w:type="pct"/>
                  <w:gridSpan w:val="2"/>
                  <w:vAlign w:val="center"/>
                </w:tcPr>
                <w:p w14:paraId="4DF41043">
                  <w:pPr>
                    <w:pStyle w:val="17"/>
                    <w:keepNext w:val="0"/>
                    <w:keepLines w:val="0"/>
                    <w:pageBreakBefore w:val="0"/>
                    <w:widowControl w:val="0"/>
                    <w:kinsoku/>
                    <w:wordWrap w:val="0"/>
                    <w:overflowPunct/>
                    <w:topLinePunct/>
                    <w:autoSpaceDE/>
                    <w:autoSpaceDN/>
                    <w:bidi w:val="0"/>
                    <w:adjustRightInd/>
                    <w:ind w:left="0" w:leftChars="0"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废活性炭</w:t>
                  </w:r>
                </w:p>
              </w:tc>
              <w:tc>
                <w:tcPr>
                  <w:tcW w:w="2307" w:type="pct"/>
                  <w:vMerge w:val="continue"/>
                  <w:vAlign w:val="center"/>
                </w:tcPr>
                <w:p w14:paraId="75DB51A4">
                  <w:pPr>
                    <w:pStyle w:val="17"/>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39" w:type="pct"/>
                  <w:vMerge w:val="continue"/>
                  <w:vAlign w:val="center"/>
                </w:tcPr>
                <w:p w14:paraId="1D70AEE9">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14:paraId="26500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0" w:type="pct"/>
                  <w:vAlign w:val="center"/>
                </w:tcPr>
                <w:p w14:paraId="6756412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土壤及地下水污染防治措施</w:t>
                  </w:r>
                </w:p>
              </w:tc>
              <w:tc>
                <w:tcPr>
                  <w:tcW w:w="4539" w:type="pct"/>
                  <w:gridSpan w:val="4"/>
                  <w:vAlign w:val="center"/>
                </w:tcPr>
                <w:p w14:paraId="42837FF1">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重点防渗</w:t>
                  </w:r>
                  <w:r>
                    <w:rPr>
                      <w:rFonts w:hint="eastAsia" w:cs="Times New Roman"/>
                      <w:b/>
                      <w:bCs/>
                      <w:color w:val="000000" w:themeColor="text1"/>
                      <w:sz w:val="21"/>
                      <w:szCs w:val="21"/>
                      <w:lang w:eastAsia="zh-CN"/>
                      <w14:textFill>
                        <w14:solidFill>
                          <w14:schemeClr w14:val="tx1"/>
                        </w14:solidFill>
                      </w14:textFill>
                    </w:rPr>
                    <w:t>区：</w:t>
                  </w:r>
                  <w:r>
                    <w:rPr>
                      <w:rFonts w:hint="eastAsia"/>
                      <w:color w:val="000000" w:themeColor="text1"/>
                      <w:lang w:eastAsia="zh-CN"/>
                      <w14:textFill>
                        <w14:solidFill>
                          <w14:schemeClr w14:val="tx1"/>
                        </w14:solidFill>
                      </w14:textFill>
                    </w:rPr>
                    <w:t>危废贮存库</w:t>
                  </w:r>
                  <w:r>
                    <w:rPr>
                      <w:rFonts w:hint="default" w:ascii="Times New Roman" w:hAnsi="Times New Roman" w:eastAsia="宋体" w:cs="Times New Roman"/>
                      <w:color w:val="000000" w:themeColor="text1"/>
                      <w:sz w:val="21"/>
                      <w:szCs w:val="21"/>
                      <w14:textFill>
                        <w14:solidFill>
                          <w14:schemeClr w14:val="tx1"/>
                        </w14:solidFill>
                      </w14:textFill>
                    </w:rPr>
                    <w:t>重点防渗</w:t>
                  </w:r>
                  <w:r>
                    <w:rPr>
                      <w:rFonts w:hint="default" w:ascii="Times New Roman" w:hAnsi="Times New Roman" w:cs="Times New Roman"/>
                      <w:color w:val="000000" w:themeColor="text1"/>
                      <w:sz w:val="21"/>
                      <w:szCs w:val="21"/>
                      <w:lang w:eastAsia="zh-CN"/>
                      <w14:textFill>
                        <w14:solidFill>
                          <w14:schemeClr w14:val="tx1"/>
                        </w14:solidFill>
                      </w14:textFill>
                    </w:rPr>
                    <w:t>区。</w:t>
                  </w:r>
                </w:p>
                <w:p w14:paraId="393B3DF7">
                  <w:pPr>
                    <w:kinsoku/>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eastAsia="zh-CN"/>
                      <w14:textFill>
                        <w14:solidFill>
                          <w14:schemeClr w14:val="tx1"/>
                        </w14:solidFill>
                      </w14:textFill>
                    </w:rPr>
                    <w:t>危废贮存库</w:t>
                  </w:r>
                  <w:r>
                    <w:rPr>
                      <w:rFonts w:hint="default" w:ascii="Times New Roman" w:hAnsi="Times New Roman" w:cs="Times New Roman"/>
                      <w:color w:val="000000" w:themeColor="text1"/>
                      <w:sz w:val="21"/>
                      <w:szCs w:val="21"/>
                      <w:lang w:eastAsia="zh-CN"/>
                      <w14:textFill>
                        <w14:solidFill>
                          <w14:schemeClr w14:val="tx1"/>
                        </w14:solidFill>
                      </w14:textFill>
                    </w:rPr>
                    <w:t>区域</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参照执行《危险废物贮存污染控制标准》（GB18597-20</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23</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）相关要求，防渗层为至少1 m厚黏土层（渗透系数不大于10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cm/s），或至少2 mm厚高密度聚乙烯膜等人工防渗材料（渗透系数不大于10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cm/s）。</w:t>
                  </w:r>
                </w:p>
                <w:p w14:paraId="45A3C6B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color w:val="000000" w:themeColor="text1"/>
                      <w14:textFill>
                        <w14:solidFill>
                          <w14:schemeClr w14:val="tx1"/>
                        </w14:solidFill>
                      </w14:textFill>
                    </w:rPr>
                  </w:pPr>
                  <w:r>
                    <w:rPr>
                      <w:rFonts w:hint="eastAsia"/>
                      <w:b/>
                      <w:bCs/>
                      <w:color w:val="000000" w:themeColor="text1"/>
                      <w:lang w:eastAsia="zh-CN"/>
                      <w14:textFill>
                        <w14:solidFill>
                          <w14:schemeClr w14:val="tx1"/>
                        </w14:solidFill>
                      </w14:textFill>
                    </w:rPr>
                    <w:t>一般防渗区</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生产</w:t>
                  </w:r>
                  <w:r>
                    <w:rPr>
                      <w:rFonts w:hint="eastAsia"/>
                      <w:color w:val="000000" w:themeColor="text1"/>
                      <w:lang w:eastAsia="zh-CN"/>
                      <w14:textFill>
                        <w14:solidFill>
                          <w14:schemeClr w14:val="tx1"/>
                        </w14:solidFill>
                      </w14:textFill>
                    </w:rPr>
                    <w:t>车间、锅炉房、循环池</w:t>
                  </w:r>
                  <w:r>
                    <w:rPr>
                      <w:rFonts w:hint="default" w:ascii="Times New Roman" w:hAnsi="Times New Roman" w:cs="Times New Roman"/>
                      <w:color w:val="000000" w:themeColor="text1"/>
                      <w:sz w:val="21"/>
                      <w:szCs w:val="21"/>
                      <w:lang w:eastAsia="zh-CN"/>
                      <w14:textFill>
                        <w14:solidFill>
                          <w14:schemeClr w14:val="tx1"/>
                        </w14:solidFill>
                      </w14:textFill>
                    </w:rPr>
                    <w:t>等区域地面为一般防渗区，</w:t>
                  </w:r>
                  <w:r>
                    <w:rPr>
                      <w:rFonts w:hint="default" w:ascii="Times New Roman" w:hAnsi="Times New Roman" w:cs="Times New Roman"/>
                      <w:color w:val="000000" w:themeColor="text1"/>
                      <w:sz w:val="21"/>
                      <w:szCs w:val="18"/>
                      <w:highlight w:val="none"/>
                      <w14:textFill>
                        <w14:solidFill>
                          <w14:schemeClr w14:val="tx1"/>
                        </w14:solidFill>
                      </w14:textFill>
                    </w:rPr>
                    <w:t>按照《环境影响评价技术导则 地下水环境》（HJ610-2016）中一般防渗区的防渗要求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进行防渗</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等效黏土防渗层 Mb≥</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color w:val="000000" w:themeColor="text1"/>
                      <w:sz w:val="21"/>
                      <w:szCs w:val="21"/>
                      <w14:textFill>
                        <w14:solidFill>
                          <w14:schemeClr w14:val="tx1"/>
                        </w14:solidFill>
                      </w14:textFill>
                    </w:rPr>
                    <w:t>&lt;1.0×10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cm/s</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 xml:space="preserve">或参照 GB </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16889</w:t>
                  </w:r>
                  <w:r>
                    <w:rPr>
                      <w:rFonts w:hint="default" w:ascii="Times New Roman" w:hAnsi="Times New Roman" w:eastAsia="宋体" w:cs="Times New Roman"/>
                      <w:color w:val="000000" w:themeColor="text1"/>
                      <w:sz w:val="21"/>
                      <w:szCs w:val="21"/>
                      <w14:textFill>
                        <w14:solidFill>
                          <w14:schemeClr w14:val="tx1"/>
                        </w14:solidFill>
                      </w14:textFill>
                    </w:rPr>
                    <w:t>执行</w:t>
                  </w:r>
                  <w:r>
                    <w:rPr>
                      <w:rFonts w:hint="default" w:ascii="Times New Roman" w:hAnsi="Times New Roman" w:cs="Times New Roman"/>
                      <w:color w:val="000000" w:themeColor="text1"/>
                      <w:sz w:val="21"/>
                      <w:szCs w:val="21"/>
                      <w14:textFill>
                        <w14:solidFill>
                          <w14:schemeClr w14:val="tx1"/>
                        </w14:solidFill>
                      </w14:textFill>
                    </w:rPr>
                    <w:t>。</w:t>
                  </w:r>
                </w:p>
                <w:p w14:paraId="2F7152FC">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简单防渗区：</w:t>
                  </w:r>
                  <w:r>
                    <w:rPr>
                      <w:rFonts w:hint="eastAsia" w:cs="Times New Roman"/>
                      <w:color w:val="000000" w:themeColor="text1"/>
                      <w:lang w:eastAsia="zh-CN"/>
                      <w14:textFill>
                        <w14:solidFill>
                          <w14:schemeClr w14:val="tx1"/>
                        </w14:solidFill>
                      </w14:textFill>
                    </w:rPr>
                    <w:t>办公区、车辆运输道路</w:t>
                  </w:r>
                  <w:r>
                    <w:rPr>
                      <w:rFonts w:hint="default" w:ascii="Times New Roman" w:hAnsi="Times New Roman" w:cs="Times New Roman"/>
                      <w:color w:val="000000" w:themeColor="text1"/>
                      <w:lang w:eastAsia="zh-CN"/>
                      <w14:textFill>
                        <w14:solidFill>
                          <w14:schemeClr w14:val="tx1"/>
                        </w14:solidFill>
                      </w14:textFill>
                    </w:rPr>
                    <w:t>等区域地面</w:t>
                  </w:r>
                  <w:r>
                    <w:rPr>
                      <w:rFonts w:hint="default" w:ascii="Times New Roman" w:hAnsi="Times New Roman" w:cs="Times New Roman"/>
                      <w:color w:val="000000" w:themeColor="text1"/>
                      <w:sz w:val="21"/>
                      <w:szCs w:val="21"/>
                      <w14:textFill>
                        <w14:solidFill>
                          <w14:schemeClr w14:val="tx1"/>
                        </w14:solidFill>
                      </w14:textFill>
                    </w:rPr>
                    <w:t>为简单防渗区</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kern w:val="0"/>
                      <w:szCs w:val="21"/>
                      <w:lang w:val="zh-CN"/>
                      <w14:textFill>
                        <w14:solidFill>
                          <w14:schemeClr w14:val="tx1"/>
                        </w14:solidFill>
                      </w14:textFill>
                    </w:rPr>
                    <w:t>一般</w:t>
                  </w:r>
                  <w:r>
                    <w:rPr>
                      <w:rFonts w:hint="default" w:ascii="Times New Roman" w:hAnsi="Times New Roman" w:cs="Times New Roman"/>
                      <w:color w:val="000000" w:themeColor="text1"/>
                      <w:sz w:val="21"/>
                      <w:szCs w:val="21"/>
                      <w14:textFill>
                        <w14:solidFill>
                          <w14:schemeClr w14:val="tx1"/>
                        </w14:solidFill>
                      </w14:textFill>
                    </w:rPr>
                    <w:t>地面硬化</w:t>
                  </w:r>
                  <w:r>
                    <w:rPr>
                      <w:rFonts w:hint="default" w:ascii="Times New Roman" w:hAnsi="Times New Roman" w:cs="Times New Roman"/>
                      <w:color w:val="000000" w:themeColor="text1"/>
                      <w:sz w:val="21"/>
                      <w:szCs w:val="21"/>
                      <w:lang w:eastAsia="zh-CN"/>
                      <w14:textFill>
                        <w14:solidFill>
                          <w14:schemeClr w14:val="tx1"/>
                        </w14:solidFill>
                      </w14:textFill>
                    </w:rPr>
                    <w:t>处理</w:t>
                  </w:r>
                  <w:r>
                    <w:rPr>
                      <w:rFonts w:hint="eastAsia"/>
                      <w:color w:val="000000" w:themeColor="text1"/>
                      <w:sz w:val="21"/>
                      <w:szCs w:val="21"/>
                      <w:lang w:eastAsia="zh-CN"/>
                      <w14:textFill>
                        <w14:solidFill>
                          <w14:schemeClr w14:val="tx1"/>
                        </w14:solidFill>
                      </w14:textFill>
                    </w:rPr>
                    <w:t>。</w:t>
                  </w:r>
                </w:p>
              </w:tc>
            </w:tr>
          </w:tbl>
          <w:p w14:paraId="3DB7CCA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04D786D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表4-</w:t>
            </w:r>
            <w:r>
              <w:rPr>
                <w:rFonts w:hint="eastAsia" w:cs="Times New Roman"/>
                <w:b/>
                <w:color w:val="000000" w:themeColor="text1"/>
                <w:sz w:val="21"/>
                <w:szCs w:val="21"/>
                <w:lang w:val="en-US" w:eastAsia="zh-CN"/>
                <w14:textFill>
                  <w14:solidFill>
                    <w14:schemeClr w14:val="tx1"/>
                  </w14:solidFill>
                </w14:textFill>
              </w:rPr>
              <w:t>32</w:t>
            </w:r>
            <w:r>
              <w:rPr>
                <w:rFonts w:hint="default" w:ascii="Times New Roman" w:hAnsi="Times New Roman" w:eastAsia="宋体" w:cs="Times New Roman"/>
                <w:b/>
                <w:color w:val="000000" w:themeColor="text1"/>
                <w:sz w:val="21"/>
                <w:szCs w:val="21"/>
                <w14:textFill>
                  <w14:solidFill>
                    <w14:schemeClr w14:val="tx1"/>
                  </w14:solidFill>
                </w14:textFill>
              </w:rPr>
              <w:t xml:space="preserve">  </w:t>
            </w:r>
            <w:r>
              <w:rPr>
                <w:rFonts w:hint="default" w:ascii="Times New Roman" w:hAnsi="Times New Roman" w:cs="Times New Roman"/>
                <w:b/>
                <w:color w:val="000000" w:themeColor="text1"/>
                <w:sz w:val="21"/>
                <w:szCs w:val="21"/>
                <w:lang w:eastAsia="zh-CN"/>
                <w14:textFill>
                  <w14:solidFill>
                    <w14:schemeClr w14:val="tx1"/>
                  </w14:solidFill>
                </w14:textFill>
              </w:rPr>
              <w:t>竣工验收</w:t>
            </w:r>
            <w:r>
              <w:rPr>
                <w:rFonts w:hint="default" w:ascii="Times New Roman" w:hAnsi="Times New Roman" w:eastAsia="宋体" w:cs="Times New Roman"/>
                <w:b/>
                <w:color w:val="000000" w:themeColor="text1"/>
                <w:sz w:val="21"/>
                <w:szCs w:val="21"/>
                <w14:textFill>
                  <w14:solidFill>
                    <w14:schemeClr w14:val="tx1"/>
                  </w14:solidFill>
                </w14:textFill>
              </w:rPr>
              <w:t>监测一览表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701"/>
              <w:gridCol w:w="2079"/>
              <w:gridCol w:w="1183"/>
              <w:gridCol w:w="2563"/>
            </w:tblGrid>
            <w:tr w14:paraId="0FB98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2" w:type="pct"/>
                  <w:vAlign w:val="center"/>
                </w:tcPr>
                <w:p w14:paraId="5D6E7D6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cs="Times New Roman"/>
                      <w:b/>
                      <w:color w:val="000000" w:themeColor="text1"/>
                      <w:sz w:val="21"/>
                      <w:szCs w:val="21"/>
                      <w:lang w:eastAsia="zh-CN"/>
                      <w14:textFill>
                        <w14:solidFill>
                          <w14:schemeClr w14:val="tx1"/>
                        </w14:solidFill>
                      </w14:textFill>
                    </w:rPr>
                    <w:t>监测项目</w:t>
                  </w:r>
                </w:p>
              </w:tc>
              <w:tc>
                <w:tcPr>
                  <w:tcW w:w="1036" w:type="pct"/>
                  <w:vAlign w:val="center"/>
                </w:tcPr>
                <w:p w14:paraId="444953B8">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监测点位</w:t>
                  </w:r>
                </w:p>
              </w:tc>
              <w:tc>
                <w:tcPr>
                  <w:tcW w:w="1267" w:type="pct"/>
                  <w:vAlign w:val="center"/>
                </w:tcPr>
                <w:p w14:paraId="5DBC0DB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监测指标</w:t>
                  </w:r>
                </w:p>
              </w:tc>
              <w:tc>
                <w:tcPr>
                  <w:tcW w:w="721" w:type="pct"/>
                  <w:vAlign w:val="center"/>
                </w:tcPr>
                <w:p w14:paraId="3A2A03A2">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监测频率</w:t>
                  </w:r>
                </w:p>
              </w:tc>
              <w:tc>
                <w:tcPr>
                  <w:tcW w:w="1562" w:type="pct"/>
                  <w:vAlign w:val="center"/>
                </w:tcPr>
                <w:p w14:paraId="4BA5D162">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执行标准</w:t>
                  </w:r>
                </w:p>
              </w:tc>
            </w:tr>
            <w:tr w14:paraId="43905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2" w:type="pct"/>
                  <w:vMerge w:val="restart"/>
                  <w:vAlign w:val="center"/>
                </w:tcPr>
                <w:p w14:paraId="73414A1C">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szCs w:val="21"/>
                      <w:lang w:eastAsia="zh-CN"/>
                      <w14:textFill>
                        <w14:solidFill>
                          <w14:schemeClr w14:val="tx1"/>
                        </w14:solidFill>
                      </w14:textFill>
                    </w:rPr>
                    <w:t>废气</w:t>
                  </w:r>
                </w:p>
              </w:tc>
              <w:tc>
                <w:tcPr>
                  <w:tcW w:w="1036" w:type="pct"/>
                  <w:vAlign w:val="center"/>
                </w:tcPr>
                <w:p w14:paraId="62E90DEA">
                  <w:pPr>
                    <w:pStyle w:val="129"/>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color w:val="000000" w:themeColor="text1"/>
                      <w14:textFill>
                        <w14:solidFill>
                          <w14:schemeClr w14:val="tx1"/>
                        </w14:solidFill>
                      </w14:textFill>
                    </w:rPr>
                    <w:t>DA00</w:t>
                  </w:r>
                  <w:r>
                    <w:rPr>
                      <w:rFonts w:hint="eastAsia"/>
                      <w:color w:val="000000" w:themeColor="text1"/>
                      <w14:textFill>
                        <w14:solidFill>
                          <w14:schemeClr w14:val="tx1"/>
                        </w14:solidFill>
                      </w14:textFill>
                    </w:rPr>
                    <w:t>1</w:t>
                  </w:r>
                  <w:r>
                    <w:rPr>
                      <w:rFonts w:hint="eastAsia"/>
                      <w:color w:val="000000" w:themeColor="text1"/>
                      <w:lang w:eastAsia="zh-CN"/>
                      <w14:textFill>
                        <w14:solidFill>
                          <w14:schemeClr w14:val="tx1"/>
                        </w14:solidFill>
                      </w14:textFill>
                    </w:rPr>
                    <w:t>锅炉废气排放口</w:t>
                  </w:r>
                </w:p>
              </w:tc>
              <w:tc>
                <w:tcPr>
                  <w:tcW w:w="1267" w:type="pct"/>
                  <w:vAlign w:val="center"/>
                </w:tcPr>
                <w:p w14:paraId="24FD7582">
                  <w:pPr>
                    <w:pStyle w:val="129"/>
                    <w:keepNext w:val="0"/>
                    <w:keepLines w:val="0"/>
                    <w:pageBreakBefore w:val="0"/>
                    <w:widowControl w:val="0"/>
                    <w:kinsoku/>
                    <w:wordWrap w:val="0"/>
                    <w:overflowPunct/>
                    <w:topLinePunct/>
                    <w:autoSpaceDE/>
                    <w:autoSpaceDN/>
                    <w:bidi w:val="0"/>
                    <w:ind w:firstLine="0" w:firstLineChars="0"/>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olor w:val="000000" w:themeColor="text1"/>
                      <w14:textFill>
                        <w14:solidFill>
                          <w14:schemeClr w14:val="tx1"/>
                        </w14:solidFill>
                      </w14:textFill>
                    </w:rPr>
                    <w:t>颗粒物</w:t>
                  </w:r>
                  <w:r>
                    <w:rPr>
                      <w:rFonts w:hint="eastAsia"/>
                      <w:color w:val="000000" w:themeColor="text1"/>
                      <w:lang w:eastAsia="zh-CN"/>
                      <w14:textFill>
                        <w14:solidFill>
                          <w14:schemeClr w14:val="tx1"/>
                        </w14:solidFill>
                      </w14:textFill>
                    </w:rPr>
                    <w:t>、二氧化硫、氮氧化物、烟气黑度</w:t>
                  </w:r>
                </w:p>
              </w:tc>
              <w:tc>
                <w:tcPr>
                  <w:tcW w:w="721" w:type="pct"/>
                  <w:vMerge w:val="restart"/>
                  <w:vAlign w:val="center"/>
                </w:tcPr>
                <w:p w14:paraId="050B448E">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竣工验收时，连续监测2天，每天采样3次</w:t>
                  </w:r>
                </w:p>
              </w:tc>
              <w:tc>
                <w:tcPr>
                  <w:tcW w:w="1562" w:type="pct"/>
                  <w:vAlign w:val="center"/>
                </w:tcPr>
                <w:p w14:paraId="578872B0">
                  <w:pPr>
                    <w:pStyle w:val="129"/>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《锅炉大气污染物排放标准》（GB13271-2014）表2</w:t>
                  </w:r>
                  <w:r>
                    <w:rPr>
                      <w:rFonts w:hint="eastAsia" w:cs="Times New Roman"/>
                      <w:color w:val="000000" w:themeColor="text1"/>
                      <w:sz w:val="21"/>
                      <w:szCs w:val="21"/>
                      <w:lang w:eastAsia="zh-CN"/>
                      <w14:textFill>
                        <w14:solidFill>
                          <w14:schemeClr w14:val="tx1"/>
                        </w14:solidFill>
                      </w14:textFill>
                    </w:rPr>
                    <w:t>燃气</w:t>
                  </w:r>
                  <w:r>
                    <w:rPr>
                      <w:rFonts w:hint="default" w:ascii="Times New Roman" w:hAnsi="Times New Roman" w:cs="Times New Roman"/>
                      <w:color w:val="000000" w:themeColor="text1"/>
                      <w:sz w:val="21"/>
                      <w:szCs w:val="21"/>
                      <w14:textFill>
                        <w14:solidFill>
                          <w14:schemeClr w14:val="tx1"/>
                        </w14:solidFill>
                      </w14:textFill>
                    </w:rPr>
                    <w:t>锅炉大气污染物排放浓度限值</w:t>
                  </w:r>
                </w:p>
              </w:tc>
            </w:tr>
            <w:tr w14:paraId="7A2A2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2" w:type="pct"/>
                  <w:vMerge w:val="continue"/>
                  <w:vAlign w:val="center"/>
                </w:tcPr>
                <w:p w14:paraId="18DFE4D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000000" w:themeColor="text1"/>
                      <w:sz w:val="21"/>
                      <w:szCs w:val="21"/>
                      <w:lang w:eastAsia="zh-CN"/>
                      <w14:textFill>
                        <w14:solidFill>
                          <w14:schemeClr w14:val="tx1"/>
                        </w14:solidFill>
                      </w14:textFill>
                    </w:rPr>
                  </w:pPr>
                </w:p>
              </w:tc>
              <w:tc>
                <w:tcPr>
                  <w:tcW w:w="1036" w:type="pct"/>
                  <w:vAlign w:val="center"/>
                </w:tcPr>
                <w:p w14:paraId="65EBCAC0">
                  <w:pPr>
                    <w:pStyle w:val="129"/>
                    <w:keepNext w:val="0"/>
                    <w:keepLines w:val="0"/>
                    <w:pageBreakBefore w:val="0"/>
                    <w:widowControl w:val="0"/>
                    <w:kinsoku/>
                    <w:wordWrap w:val="0"/>
                    <w:overflowPunct/>
                    <w:topLinePunct/>
                    <w:autoSpaceDE/>
                    <w:autoSpaceDN/>
                    <w:bidi w:val="0"/>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DA002有机废气排放口</w:t>
                  </w:r>
                </w:p>
              </w:tc>
              <w:tc>
                <w:tcPr>
                  <w:tcW w:w="1267" w:type="pct"/>
                  <w:vAlign w:val="center"/>
                </w:tcPr>
                <w:p w14:paraId="77947ED6">
                  <w:pPr>
                    <w:pStyle w:val="129"/>
                    <w:keepNext w:val="0"/>
                    <w:keepLines w:val="0"/>
                    <w:pageBreakBefore w:val="0"/>
                    <w:widowControl w:val="0"/>
                    <w:kinsoku/>
                    <w:wordWrap w:val="0"/>
                    <w:overflowPunct/>
                    <w:topLinePunct/>
                    <w:autoSpaceDE/>
                    <w:autoSpaceDN/>
                    <w:bidi w:val="0"/>
                    <w:ind w:firstLine="0" w:firstLineChars="0"/>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非甲烷总烃、甲苯、乙苯、苯乙烯、臭气浓度</w:t>
                  </w:r>
                </w:p>
              </w:tc>
              <w:tc>
                <w:tcPr>
                  <w:tcW w:w="721" w:type="pct"/>
                  <w:vMerge w:val="continue"/>
                  <w:vAlign w:val="center"/>
                </w:tcPr>
                <w:p w14:paraId="7588F04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p>
              </w:tc>
              <w:tc>
                <w:tcPr>
                  <w:tcW w:w="1562" w:type="pct"/>
                  <w:vAlign w:val="center"/>
                </w:tcPr>
                <w:p w14:paraId="3FFBF99A">
                  <w:pPr>
                    <w:pStyle w:val="129"/>
                    <w:keepNext w:val="0"/>
                    <w:keepLines w:val="0"/>
                    <w:pageBreakBefore w:val="0"/>
                    <w:widowControl w:val="0"/>
                    <w:kinsoku/>
                    <w:wordWrap w:val="0"/>
                    <w:overflowPunct/>
                    <w:topLinePunct/>
                    <w:autoSpaceDE/>
                    <w:autoSpaceDN/>
                    <w:bidi w:val="0"/>
                    <w:ind w:firstLine="0" w:firstLineChars="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非甲烷总烃、甲苯、乙苯</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苯乙烯计，执行《合成树脂工业污染物排放标准》</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GB31572-2015</w:t>
                  </w:r>
                  <w:r>
                    <w:rPr>
                      <w:rFonts w:hint="eastAsia" w:ascii="Times New Roman" w:hAnsi="Times New Roman" w:eastAsia="宋体" w:cs="Times New Roman"/>
                      <w:color w:val="000000" w:themeColor="text1"/>
                      <w:lang w:val="en-US" w:eastAsia="zh-CN"/>
                      <w14:textFill>
                        <w14:solidFill>
                          <w14:schemeClr w14:val="tx1"/>
                        </w14:solidFill>
                      </w14:textFill>
                    </w:rPr>
                    <w:t>及2024年修改单）</w:t>
                  </w:r>
                  <w:r>
                    <w:rPr>
                      <w:rFonts w:hint="default" w:ascii="Times New Roman" w:hAnsi="Times New Roman" w:eastAsia="宋体" w:cs="Times New Roman"/>
                      <w:color w:val="000000" w:themeColor="text1"/>
                      <w:lang w:val="en-US" w:eastAsia="zh-CN"/>
                      <w14:textFill>
                        <w14:solidFill>
                          <w14:schemeClr w14:val="tx1"/>
                        </w14:solidFill>
                      </w14:textFill>
                    </w:rPr>
                    <w:t>表4标准，臭气浓度执行</w:t>
                  </w:r>
                  <w:r>
                    <w:rPr>
                      <w:rFonts w:hint="default" w:ascii="Times New Roman" w:hAnsi="Times New Roman" w:eastAsia="宋体" w:cs="Times New Roman"/>
                      <w:color w:val="000000" w:themeColor="text1"/>
                      <w:lang w:val="zh-CN" w:eastAsia="zh-CN"/>
                      <w14:textFill>
                        <w14:solidFill>
                          <w14:schemeClr w14:val="tx1"/>
                        </w14:solidFill>
                      </w14:textFill>
                    </w:rPr>
                    <w:t>《恶臭污染物排放标准》（GB14554-93）</w:t>
                  </w:r>
                  <w:r>
                    <w:rPr>
                      <w:rFonts w:hint="default" w:ascii="Times New Roman" w:hAnsi="Times New Roman" w:eastAsia="宋体" w:cs="Times New Roman"/>
                      <w:color w:val="000000" w:themeColor="text1"/>
                      <w:lang w:val="en-US" w:eastAsia="zh-CN"/>
                      <w14:textFill>
                        <w14:solidFill>
                          <w14:schemeClr w14:val="tx1"/>
                        </w14:solidFill>
                      </w14:textFill>
                    </w:rPr>
                    <w:t>表2限值</w:t>
                  </w:r>
                </w:p>
              </w:tc>
            </w:tr>
            <w:tr w14:paraId="36C78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2" w:type="pct"/>
                  <w:vMerge w:val="continue"/>
                  <w:vAlign w:val="center"/>
                </w:tcPr>
                <w:p w14:paraId="38CC48A2">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036" w:type="pct"/>
                  <w:vAlign w:val="center"/>
                </w:tcPr>
                <w:p w14:paraId="4E1C73A5">
                  <w:pPr>
                    <w:pStyle w:val="129"/>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cs="Times New Roman"/>
                      <w:b w:val="0"/>
                      <w:bCs/>
                      <w:color w:val="000000" w:themeColor="text1"/>
                      <w:sz w:val="21"/>
                      <w:szCs w:val="21"/>
                      <w:lang w:eastAsia="zh-CN"/>
                      <w14:textFill>
                        <w14:solidFill>
                          <w14:schemeClr w14:val="tx1"/>
                        </w14:solidFill>
                      </w14:textFill>
                    </w:rPr>
                    <w:t>厂界</w:t>
                  </w:r>
                  <w:r>
                    <w:rPr>
                      <w:color w:val="000000" w:themeColor="text1"/>
                      <w14:textFill>
                        <w14:solidFill>
                          <w14:schemeClr w14:val="tx1"/>
                        </w14:solidFill>
                      </w14:textFill>
                    </w:rPr>
                    <w:t>上风向设1个对照点、厂址下风向设</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个监控点</w:t>
                  </w:r>
                </w:p>
              </w:tc>
              <w:tc>
                <w:tcPr>
                  <w:tcW w:w="1267" w:type="pct"/>
                  <w:vAlign w:val="center"/>
                </w:tcPr>
                <w:p w14:paraId="201267CF">
                  <w:pPr>
                    <w:pStyle w:val="9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非甲烷总烃</w:t>
                  </w: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、颗粒物、甲苯、</w:t>
                  </w: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苯乙烯</w:t>
                  </w: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臭气浓度</w:t>
                  </w:r>
                </w:p>
              </w:tc>
              <w:tc>
                <w:tcPr>
                  <w:tcW w:w="721" w:type="pct"/>
                  <w:vMerge w:val="continue"/>
                  <w:vAlign w:val="center"/>
                </w:tcPr>
                <w:p w14:paraId="421A52DE">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p>
              </w:tc>
              <w:tc>
                <w:tcPr>
                  <w:tcW w:w="1562" w:type="pct"/>
                  <w:vAlign w:val="center"/>
                </w:tcPr>
                <w:p w14:paraId="21906062">
                  <w:pPr>
                    <w:pStyle w:val="9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颗粒物、甲苯、</w:t>
                  </w: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非甲烷总烃执行《合成树脂工业污染物排放标准》（GB31572-2015含2024年修改单）表9标准限值，苯乙烯、臭气浓度</w:t>
                  </w:r>
                  <w:r>
                    <w:rPr>
                      <w:rFonts w:hint="default" w:ascii="Times New Roman" w:hAnsi="Times New Roman" w:cs="Times New Roman" w:eastAsiaTheme="minorEastAsia"/>
                      <w:b w:val="0"/>
                      <w:bCs w:val="0"/>
                      <w:color w:val="000000" w:themeColor="text1"/>
                      <w:sz w:val="21"/>
                      <w:szCs w:val="21"/>
                      <w:lang w:val="zh-CN" w:eastAsia="zh-CN"/>
                      <w14:textFill>
                        <w14:solidFill>
                          <w14:schemeClr w14:val="tx1"/>
                        </w14:solidFill>
                      </w14:textFill>
                    </w:rPr>
                    <w:t>排放执行《恶臭污染物排放标准》（GB14554-93）</w:t>
                  </w: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表1中二级</w:t>
                  </w:r>
                  <w:r>
                    <w:rPr>
                      <w:rFonts w:hint="default" w:ascii="Times New Roman" w:hAnsi="Times New Roman" w:cs="Times New Roman" w:eastAsiaTheme="minorEastAsia"/>
                      <w:b w:val="0"/>
                      <w:bCs w:val="0"/>
                      <w:color w:val="000000" w:themeColor="text1"/>
                      <w:sz w:val="21"/>
                      <w:szCs w:val="21"/>
                      <w:lang w:val="zh-CN" w:eastAsia="zh-CN"/>
                      <w14:textFill>
                        <w14:solidFill>
                          <w14:schemeClr w14:val="tx1"/>
                        </w14:solidFill>
                      </w14:textFill>
                    </w:rPr>
                    <w:t>标准</w:t>
                  </w: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限值</w:t>
                  </w:r>
                  <w:r>
                    <w:rPr>
                      <w:rFonts w:hint="default" w:ascii="Times New Roman" w:hAnsi="Times New Roman" w:cs="Times New Roman" w:eastAsiaTheme="minorEastAsia"/>
                      <w:b w:val="0"/>
                      <w:bCs w:val="0"/>
                      <w:color w:val="000000" w:themeColor="text1"/>
                      <w:sz w:val="21"/>
                      <w:szCs w:val="21"/>
                      <w:lang w:val="zh-CN" w:eastAsia="zh-CN"/>
                      <w14:textFill>
                        <w14:solidFill>
                          <w14:schemeClr w14:val="tx1"/>
                        </w14:solidFill>
                      </w14:textFill>
                    </w:rPr>
                    <w:t>要求</w:t>
                  </w:r>
                </w:p>
              </w:tc>
            </w:tr>
            <w:tr w14:paraId="5418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2" w:type="pct"/>
                  <w:vMerge w:val="continue"/>
                  <w:vAlign w:val="center"/>
                </w:tcPr>
                <w:p w14:paraId="5055D9D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036" w:type="pct"/>
                  <w:vAlign w:val="center"/>
                </w:tcPr>
                <w:p w14:paraId="359517E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厂房门口</w:t>
                  </w:r>
                </w:p>
              </w:tc>
              <w:tc>
                <w:tcPr>
                  <w:tcW w:w="1267" w:type="pct"/>
                  <w:vAlign w:val="center"/>
                </w:tcPr>
                <w:p w14:paraId="0FBA03C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非甲烷总烃</w:t>
                  </w:r>
                </w:p>
              </w:tc>
              <w:tc>
                <w:tcPr>
                  <w:tcW w:w="721" w:type="pct"/>
                  <w:vMerge w:val="continue"/>
                  <w:vAlign w:val="center"/>
                </w:tcPr>
                <w:p w14:paraId="766AD18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p>
              </w:tc>
              <w:tc>
                <w:tcPr>
                  <w:tcW w:w="1562" w:type="pct"/>
                  <w:vAlign w:val="center"/>
                </w:tcPr>
                <w:p w14:paraId="34F97260">
                  <w:pPr>
                    <w:pStyle w:val="129"/>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执行GB37822-2019《挥发性有机物无组织排放控制标准》</w:t>
                  </w:r>
                </w:p>
              </w:tc>
            </w:tr>
            <w:tr w14:paraId="47539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2" w:type="pct"/>
                  <w:vAlign w:val="center"/>
                </w:tcPr>
                <w:p w14:paraId="547664D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cs="Times New Roman"/>
                      <w:b w:val="0"/>
                      <w:bCs/>
                      <w:color w:val="000000" w:themeColor="text1"/>
                      <w:sz w:val="21"/>
                      <w:szCs w:val="21"/>
                      <w:lang w:eastAsia="zh-CN"/>
                      <w14:textFill>
                        <w14:solidFill>
                          <w14:schemeClr w14:val="tx1"/>
                        </w14:solidFill>
                      </w14:textFill>
                    </w:rPr>
                    <w:t>废水</w:t>
                  </w:r>
                </w:p>
              </w:tc>
              <w:tc>
                <w:tcPr>
                  <w:tcW w:w="1036" w:type="pct"/>
                  <w:vAlign w:val="center"/>
                </w:tcPr>
                <w:p w14:paraId="17099BB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自建污水处理设施出水口</w:t>
                  </w:r>
                </w:p>
              </w:tc>
              <w:tc>
                <w:tcPr>
                  <w:tcW w:w="1267" w:type="pct"/>
                  <w:vAlign w:val="center"/>
                </w:tcPr>
                <w:p w14:paraId="5970CAB7">
                  <w:pPr>
                    <w:pStyle w:val="129"/>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pH</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色度</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嗅</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浊度</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五日生化需氧量</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氨氮</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阴离子表面活性剂</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溶解性总固体</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溶解氧</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总氯</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大肠埃希氏菌</w:t>
                  </w:r>
                </w:p>
              </w:tc>
              <w:tc>
                <w:tcPr>
                  <w:tcW w:w="721" w:type="pct"/>
                  <w:vAlign w:val="center"/>
                </w:tcPr>
                <w:p w14:paraId="55A571CE">
                  <w:pPr>
                    <w:pStyle w:val="129"/>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竣工验收时，连续监测2天，每天采样</w:t>
                  </w:r>
                  <w:r>
                    <w:rPr>
                      <w:rFonts w:hint="eastAsia" w:ascii="Times New Roman" w:hAnsi="Times New Roman" w:eastAsia="宋体"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lang w:val="en-US" w:eastAsia="zh-CN"/>
                      <w14:textFill>
                        <w14:solidFill>
                          <w14:schemeClr w14:val="tx1"/>
                        </w14:solidFill>
                      </w14:textFill>
                    </w:rPr>
                    <w:t>次</w:t>
                  </w:r>
                </w:p>
              </w:tc>
              <w:tc>
                <w:tcPr>
                  <w:tcW w:w="1562" w:type="pct"/>
                  <w:vAlign w:val="center"/>
                </w:tcPr>
                <w:p w14:paraId="4D6E4DC1">
                  <w:pPr>
                    <w:pStyle w:val="129"/>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《城市污水再生利用 城市杂用水水质》（GB/T18920-2020）绿化标准</w:t>
                  </w:r>
                </w:p>
              </w:tc>
            </w:tr>
            <w:tr w14:paraId="17809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2" w:type="pct"/>
                  <w:vAlign w:val="center"/>
                </w:tcPr>
                <w:p w14:paraId="29C6586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噪声</w:t>
                  </w:r>
                </w:p>
              </w:tc>
              <w:tc>
                <w:tcPr>
                  <w:tcW w:w="1036" w:type="pct"/>
                  <w:vAlign w:val="center"/>
                </w:tcPr>
                <w:p w14:paraId="4E51E8B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项目厂界项目东、南、西、北外1m处</w:t>
                  </w:r>
                </w:p>
              </w:tc>
              <w:tc>
                <w:tcPr>
                  <w:tcW w:w="1267" w:type="pct"/>
                  <w:vAlign w:val="center"/>
                </w:tcPr>
                <w:p w14:paraId="3C189C1F">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等效连续A声级</w:t>
                  </w:r>
                </w:p>
              </w:tc>
              <w:tc>
                <w:tcPr>
                  <w:tcW w:w="721" w:type="pct"/>
                  <w:vAlign w:val="center"/>
                </w:tcPr>
                <w:p w14:paraId="5BED04BC">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竣工验收时，监测2天，昼间、夜间各1次</w:t>
                  </w:r>
                </w:p>
              </w:tc>
              <w:tc>
                <w:tcPr>
                  <w:tcW w:w="1562" w:type="pct"/>
                  <w:vAlign w:val="center"/>
                </w:tcPr>
                <w:p w14:paraId="714FA01E">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《工业企业厂界环境噪声排放标准》（GB 12348—2008）</w:t>
                  </w:r>
                  <w:r>
                    <w:rPr>
                      <w:rFonts w:hint="eastAsia" w:cs="Times New Roman"/>
                      <w:b w:val="0"/>
                      <w:bCs/>
                      <w:color w:val="000000" w:themeColor="text1"/>
                      <w:sz w:val="21"/>
                      <w:szCs w:val="21"/>
                      <w:lang w:eastAsia="zh-CN"/>
                      <w14:textFill>
                        <w14:solidFill>
                          <w14:schemeClr w14:val="tx1"/>
                        </w14:solidFill>
                      </w14:textFill>
                    </w:rPr>
                    <w:t>3类标准、</w:t>
                  </w:r>
                  <w:r>
                    <w:rPr>
                      <w:rFonts w:hint="eastAsia" w:cs="Times New Roman"/>
                      <w:b w:val="0"/>
                      <w:bCs/>
                      <w:color w:val="000000" w:themeColor="text1"/>
                      <w:sz w:val="21"/>
                      <w:szCs w:val="21"/>
                      <w:lang w:val="en-US" w:eastAsia="zh-CN"/>
                      <w14:textFill>
                        <w14:solidFill>
                          <w14:schemeClr w14:val="tx1"/>
                        </w14:solidFill>
                      </w14:textFill>
                    </w:rPr>
                    <w:t>4类标准</w:t>
                  </w:r>
                </w:p>
              </w:tc>
            </w:tr>
          </w:tbl>
          <w:p w14:paraId="5047B617">
            <w:pPr>
              <w:pStyle w:val="47"/>
              <w:ind w:left="0" w:leftChars="0" w:firstLine="480" w:firstLineChars="200"/>
              <w:jc w:val="both"/>
              <w:rPr>
                <w:rFonts w:hint="default" w:ascii="Times New Roman" w:hAnsi="Times New Roman" w:cs="Times New Roman" w:eastAsiaTheme="minorEastAsia"/>
                <w:color w:val="000000" w:themeColor="text1"/>
                <w:sz w:val="24"/>
                <w:lang w:val="en-US" w:eastAsia="zh-CN" w:bidi="ar"/>
                <w14:textFill>
                  <w14:solidFill>
                    <w14:schemeClr w14:val="tx1"/>
                  </w14:solidFill>
                </w14:textFill>
              </w:rPr>
            </w:pPr>
            <w:r>
              <w:rPr>
                <w:rFonts w:hint="eastAsia" w:cs="Times New Roman" w:eastAsiaTheme="minorEastAsia"/>
                <w:color w:val="000000" w:themeColor="text1"/>
                <w:sz w:val="24"/>
                <w:lang w:val="en-US" w:eastAsia="zh-CN" w:bidi="ar"/>
                <w14:textFill>
                  <w14:solidFill>
                    <w14:schemeClr w14:val="tx1"/>
                  </w14:solidFill>
                </w14:textFill>
              </w:rPr>
              <w:t xml:space="preserve"> </w:t>
            </w:r>
          </w:p>
        </w:tc>
      </w:tr>
    </w:tbl>
    <w:p w14:paraId="14066A81">
      <w:pPr>
        <w:pageBreakBefore w:val="0"/>
        <w:kinsoku/>
        <w:overflowPunct/>
        <w:topLinePunct w:val="0"/>
        <w:bidi w:val="0"/>
        <w:ind w:left="0" w:leftChars="0" w:right="0"/>
        <w:rPr>
          <w:rFonts w:hint="eastAsia"/>
          <w:color w:val="000000" w:themeColor="text1"/>
          <w:lang w:eastAsia="zh-CN"/>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420F765C">
      <w:pPr>
        <w:pStyle w:val="29"/>
        <w:adjustRightInd w:val="0"/>
        <w:snapToGrid w:val="0"/>
        <w:spacing w:before="0" w:beforeAutospacing="0" w:after="0" w:afterAutospacing="0"/>
        <w:jc w:val="center"/>
        <w:outlineLvl w:val="0"/>
        <w:rPr>
          <w:rFonts w:ascii="Times New Roman" w:hAnsi="Times New Roman"/>
          <w:snapToGrid w:val="0"/>
          <w:color w:val="000000" w:themeColor="text1"/>
          <w:sz w:val="30"/>
          <w:szCs w:val="30"/>
          <w14:textFill>
            <w14:solidFill>
              <w14:schemeClr w14:val="tx1"/>
            </w14:solidFill>
          </w14:textFill>
        </w:rPr>
      </w:pPr>
      <w:bookmarkStart w:id="13" w:name="_Toc6939"/>
      <w:r>
        <w:rPr>
          <w:rFonts w:ascii="Times New Roman" w:hAnsi="Times New Roman"/>
          <w:b/>
          <w:bCs/>
          <w:snapToGrid w:val="0"/>
          <w:color w:val="000000" w:themeColor="text1"/>
          <w:sz w:val="30"/>
          <w:szCs w:val="30"/>
          <w14:textFill>
            <w14:solidFill>
              <w14:schemeClr w14:val="tx1"/>
            </w14:solidFill>
          </w14:textFill>
        </w:rPr>
        <w:t>五、</w:t>
      </w:r>
      <w:bookmarkStart w:id="14" w:name="_Hlk54167917"/>
      <w:r>
        <w:rPr>
          <w:rFonts w:ascii="Times New Roman" w:hAnsi="Times New Roman"/>
          <w:b/>
          <w:bCs/>
          <w:snapToGrid w:val="0"/>
          <w:color w:val="000000" w:themeColor="text1"/>
          <w:sz w:val="30"/>
          <w:szCs w:val="30"/>
          <w14:textFill>
            <w14:solidFill>
              <w14:schemeClr w14:val="tx1"/>
            </w14:solidFill>
          </w14:textFill>
        </w:rPr>
        <w:t>环境保护措施监督检查清单</w:t>
      </w:r>
      <w:bookmarkEnd w:id="13"/>
      <w:bookmarkEnd w:id="14"/>
    </w:p>
    <w:tbl>
      <w:tblPr>
        <w:tblStyle w:val="33"/>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7"/>
        <w:gridCol w:w="863"/>
        <w:gridCol w:w="863"/>
        <w:gridCol w:w="1312"/>
        <w:gridCol w:w="2899"/>
        <w:gridCol w:w="2146"/>
      </w:tblGrid>
      <w:tr w14:paraId="05012A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tcBorders>
              <w:tl2br w:val="single" w:color="auto" w:sz="4" w:space="0"/>
            </w:tcBorders>
          </w:tcPr>
          <w:p w14:paraId="01821C05">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内容</w:t>
            </w:r>
          </w:p>
          <w:p w14:paraId="28DD2A24">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要素</w:t>
            </w:r>
          </w:p>
        </w:tc>
        <w:tc>
          <w:tcPr>
            <w:tcW w:w="1726" w:type="dxa"/>
            <w:gridSpan w:val="2"/>
            <w:vAlign w:val="center"/>
          </w:tcPr>
          <w:p w14:paraId="086D66EF">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排放口（编号、名称）/污染源</w:t>
            </w:r>
          </w:p>
        </w:tc>
        <w:tc>
          <w:tcPr>
            <w:tcW w:w="1312" w:type="dxa"/>
            <w:vAlign w:val="center"/>
          </w:tcPr>
          <w:p w14:paraId="17717E61">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污染物项目</w:t>
            </w:r>
          </w:p>
        </w:tc>
        <w:tc>
          <w:tcPr>
            <w:tcW w:w="2899" w:type="dxa"/>
            <w:vAlign w:val="center"/>
          </w:tcPr>
          <w:p w14:paraId="4B2FA10D">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环境保护措施</w:t>
            </w:r>
          </w:p>
        </w:tc>
        <w:tc>
          <w:tcPr>
            <w:tcW w:w="2146" w:type="dxa"/>
            <w:vAlign w:val="center"/>
          </w:tcPr>
          <w:p w14:paraId="763BED1D">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执行标准</w:t>
            </w:r>
          </w:p>
        </w:tc>
      </w:tr>
      <w:tr w14:paraId="68C058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Merge w:val="restart"/>
            <w:vAlign w:val="center"/>
          </w:tcPr>
          <w:p w14:paraId="44D1040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大气环境</w:t>
            </w:r>
          </w:p>
        </w:tc>
        <w:tc>
          <w:tcPr>
            <w:tcW w:w="863" w:type="dxa"/>
            <w:vMerge w:val="restart"/>
            <w:vAlign w:val="center"/>
          </w:tcPr>
          <w:p w14:paraId="43C1304F">
            <w:pPr>
              <w:pStyle w:val="129"/>
              <w:pageBreakBefore w:val="0"/>
              <w:kinsoku/>
              <w:overflowPunct/>
              <w:topLinePunct w:val="0"/>
              <w:bidi w:val="0"/>
              <w:ind w:left="0" w:leftChars="0" w:right="0" w:rightChars="0" w:firstLine="0" w:firstLineChars="0"/>
              <w:rPr>
                <w:color w:val="000000" w:themeColor="text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有组织废气</w:t>
            </w:r>
          </w:p>
        </w:tc>
        <w:tc>
          <w:tcPr>
            <w:tcW w:w="863" w:type="dxa"/>
            <w:vAlign w:val="center"/>
          </w:tcPr>
          <w:p w14:paraId="2A28AC8D">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DA001锅炉废气排放口</w:t>
            </w:r>
          </w:p>
        </w:tc>
        <w:tc>
          <w:tcPr>
            <w:tcW w:w="1312" w:type="dxa"/>
            <w:vAlign w:val="center"/>
          </w:tcPr>
          <w:p w14:paraId="39AC1C39">
            <w:pPr>
              <w:pStyle w:val="129"/>
              <w:keepNext w:val="0"/>
              <w:keepLines w:val="0"/>
              <w:pageBreakBefore w:val="0"/>
              <w:widowControl w:val="0"/>
              <w:kinsoku/>
              <w:wordWrap w:val="0"/>
              <w:overflowPunct/>
              <w:topLinePunct/>
              <w:autoSpaceDE/>
              <w:autoSpaceDN/>
              <w:bidi w:val="0"/>
              <w:ind w:firstLine="0" w:firstLineChars="0"/>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颗粒物</w:t>
            </w:r>
            <w:r>
              <w:rPr>
                <w:rFonts w:hint="eastAsia"/>
                <w:color w:val="000000" w:themeColor="text1"/>
                <w:lang w:eastAsia="zh-CN"/>
                <w14:textFill>
                  <w14:solidFill>
                    <w14:schemeClr w14:val="tx1"/>
                  </w14:solidFill>
                </w14:textFill>
              </w:rPr>
              <w:t>、二氧化硫、氮氧化物、烟气黑度</w:t>
            </w:r>
          </w:p>
        </w:tc>
        <w:tc>
          <w:tcPr>
            <w:tcW w:w="2899" w:type="dxa"/>
            <w:vAlign w:val="center"/>
          </w:tcPr>
          <w:p w14:paraId="051F1CC1">
            <w:pPr>
              <w:pStyle w:val="129"/>
              <w:pageBreakBefore w:val="0"/>
              <w:kinsoku/>
              <w:overflowPunct/>
              <w:topLinePunct w:val="0"/>
              <w:bidi w:val="0"/>
              <w:ind w:left="0" w:leftChars="0" w:right="0" w:rightChars="0" w:firstLine="0" w:firstLineChars="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新增1套“低氮燃烧+旋风除尘+布袋除尘”废气治理设施。依托现有30m高排气筒。</w:t>
            </w:r>
          </w:p>
          <w:p w14:paraId="3C792FE2">
            <w:pPr>
              <w:pStyle w:val="129"/>
              <w:pageBreakBefore w:val="0"/>
              <w:kinsoku/>
              <w:overflowPunct/>
              <w:topLinePunct w:val="0"/>
              <w:bidi w:val="0"/>
              <w:ind w:left="0" w:leftChars="0" w:right="0" w:rightChars="0" w:firstLine="0" w:firstLineChars="0"/>
              <w:rPr>
                <w:color w:val="000000" w:themeColor="text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锅炉废气经收集后进入“低氮燃烧+旋风除尘+布袋除尘”处理达标后依托现有30m高排气筒DA001排放。</w:t>
            </w:r>
          </w:p>
        </w:tc>
        <w:tc>
          <w:tcPr>
            <w:tcW w:w="2146" w:type="dxa"/>
            <w:vAlign w:val="center"/>
          </w:tcPr>
          <w:p w14:paraId="78550CD0">
            <w:pPr>
              <w:pStyle w:val="129"/>
              <w:keepNext w:val="0"/>
              <w:keepLines w:val="0"/>
              <w:pageBreakBefore w:val="0"/>
              <w:widowControl w:val="0"/>
              <w:kinsoku/>
              <w:wordWrap w:val="0"/>
              <w:overflowPunct/>
              <w:topLinePunct/>
              <w:autoSpaceDE/>
              <w:autoSpaceDN/>
              <w:bidi w:val="0"/>
              <w:ind w:firstLine="0" w:firstLineChars="0"/>
              <w:rPr>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《锅炉大气污染物排放标准》（GB13271-2014）表2</w:t>
            </w:r>
            <w:r>
              <w:rPr>
                <w:rFonts w:hint="eastAsia" w:cs="Times New Roman"/>
                <w:color w:val="000000" w:themeColor="text1"/>
                <w:sz w:val="21"/>
                <w:szCs w:val="21"/>
                <w:lang w:eastAsia="zh-CN"/>
                <w14:textFill>
                  <w14:solidFill>
                    <w14:schemeClr w14:val="tx1"/>
                  </w14:solidFill>
                </w14:textFill>
              </w:rPr>
              <w:t>燃气</w:t>
            </w:r>
            <w:r>
              <w:rPr>
                <w:rFonts w:hint="default" w:ascii="Times New Roman" w:hAnsi="Times New Roman" w:cs="Times New Roman"/>
                <w:color w:val="000000" w:themeColor="text1"/>
                <w:sz w:val="21"/>
                <w:szCs w:val="21"/>
                <w14:textFill>
                  <w14:solidFill>
                    <w14:schemeClr w14:val="tx1"/>
                  </w14:solidFill>
                </w14:textFill>
              </w:rPr>
              <w:t>锅炉大气污染物排放浓度限值</w:t>
            </w:r>
          </w:p>
        </w:tc>
      </w:tr>
      <w:tr w14:paraId="15DE1A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Merge w:val="continue"/>
            <w:vAlign w:val="center"/>
          </w:tcPr>
          <w:p w14:paraId="47030907">
            <w:pPr>
              <w:adjustRightInd w:val="0"/>
              <w:snapToGrid w:val="0"/>
              <w:jc w:val="center"/>
              <w:rPr>
                <w:color w:val="000000" w:themeColor="text1"/>
                <w:szCs w:val="21"/>
                <w14:textFill>
                  <w14:solidFill>
                    <w14:schemeClr w14:val="tx1"/>
                  </w14:solidFill>
                </w14:textFill>
              </w:rPr>
            </w:pPr>
          </w:p>
        </w:tc>
        <w:tc>
          <w:tcPr>
            <w:tcW w:w="863" w:type="dxa"/>
            <w:vMerge w:val="continue"/>
            <w:vAlign w:val="center"/>
          </w:tcPr>
          <w:p w14:paraId="41A6CB55">
            <w:pPr>
              <w:pStyle w:val="129"/>
              <w:pageBreakBefore w:val="0"/>
              <w:kinsoku/>
              <w:overflowPunct/>
              <w:topLinePunct w:val="0"/>
              <w:bidi w:val="0"/>
              <w:ind w:left="0" w:leftChars="0" w:right="0" w:rightChars="0" w:firstLine="0" w:firstLineChars="0"/>
              <w:rPr>
                <w:rFonts w:hint="eastAsia" w:cs="Times New Roman"/>
                <w:color w:val="000000" w:themeColor="text1"/>
                <w:sz w:val="21"/>
                <w:szCs w:val="21"/>
                <w:lang w:val="en-US" w:eastAsia="zh-CN"/>
                <w14:textFill>
                  <w14:solidFill>
                    <w14:schemeClr w14:val="tx1"/>
                  </w14:solidFill>
                </w14:textFill>
              </w:rPr>
            </w:pPr>
          </w:p>
        </w:tc>
        <w:tc>
          <w:tcPr>
            <w:tcW w:w="863" w:type="dxa"/>
            <w:vAlign w:val="center"/>
          </w:tcPr>
          <w:p w14:paraId="15716B7D">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DA002有机废气排放口</w:t>
            </w:r>
          </w:p>
        </w:tc>
        <w:tc>
          <w:tcPr>
            <w:tcW w:w="1312" w:type="dxa"/>
            <w:vAlign w:val="center"/>
          </w:tcPr>
          <w:p w14:paraId="797773E9">
            <w:pPr>
              <w:pStyle w:val="129"/>
              <w:keepNext w:val="0"/>
              <w:keepLines w:val="0"/>
              <w:pageBreakBefore w:val="0"/>
              <w:widowControl w:val="0"/>
              <w:kinsoku/>
              <w:wordWrap w:val="0"/>
              <w:overflowPunct/>
              <w:topLinePunct/>
              <w:autoSpaceDE/>
              <w:autoSpaceDN/>
              <w:bidi w:val="0"/>
              <w:ind w:firstLine="0" w:firstLineChars="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非甲烷总烃、甲苯、乙苯、苯乙烯、臭气浓度</w:t>
            </w:r>
          </w:p>
        </w:tc>
        <w:tc>
          <w:tcPr>
            <w:tcW w:w="2899" w:type="dxa"/>
            <w:vAlign w:val="center"/>
          </w:tcPr>
          <w:p w14:paraId="458ED42E">
            <w:pPr>
              <w:pStyle w:val="129"/>
              <w:pageBreakBefore w:val="0"/>
              <w:kinsoku/>
              <w:overflowPunct/>
              <w:topLinePunct w:val="0"/>
              <w:bidi w:val="0"/>
              <w:ind w:left="0" w:leftChars="0" w:right="0" w:rightChars="0" w:firstLine="0" w:firstLineChars="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本项目发泡工序新增2个集气罩、成型工序新增1个集气罩，新增1套“两级活性炭吸附装置”。</w:t>
            </w:r>
          </w:p>
          <w:p w14:paraId="24D18D59">
            <w:pPr>
              <w:pStyle w:val="129"/>
              <w:pageBreakBefore w:val="0"/>
              <w:kinsoku/>
              <w:overflowPunct/>
              <w:topLinePunct w:val="0"/>
              <w:bidi w:val="0"/>
              <w:ind w:left="0" w:leftChars="0" w:right="0" w:rightChars="0" w:firstLine="0" w:firstLineChars="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有机废气经收集后进入1套“两级活性炭吸附装置”处理，处理后通过15m高排气筒DA002排放。</w:t>
            </w:r>
          </w:p>
        </w:tc>
        <w:tc>
          <w:tcPr>
            <w:tcW w:w="2146" w:type="dxa"/>
            <w:vAlign w:val="center"/>
          </w:tcPr>
          <w:p w14:paraId="0C6B5926">
            <w:pPr>
              <w:pStyle w:val="129"/>
              <w:keepNext w:val="0"/>
              <w:keepLines w:val="0"/>
              <w:pageBreakBefore w:val="0"/>
              <w:widowControl w:val="0"/>
              <w:kinsoku/>
              <w:wordWrap w:val="0"/>
              <w:overflowPunct/>
              <w:topLinePunct/>
              <w:autoSpaceDE/>
              <w:autoSpaceDN/>
              <w:bidi w:val="0"/>
              <w:ind w:firstLine="0" w:firstLineChars="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非甲烷总烃、甲苯、乙苯</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苯乙烯计，执行《合成树脂工业污染物排放标准》</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GB31572-2015</w:t>
            </w:r>
            <w:r>
              <w:rPr>
                <w:rFonts w:hint="eastAsia" w:ascii="Times New Roman" w:hAnsi="Times New Roman" w:eastAsia="宋体" w:cs="Times New Roman"/>
                <w:color w:val="000000" w:themeColor="text1"/>
                <w:lang w:val="en-US" w:eastAsia="zh-CN"/>
                <w14:textFill>
                  <w14:solidFill>
                    <w14:schemeClr w14:val="tx1"/>
                  </w14:solidFill>
                </w14:textFill>
              </w:rPr>
              <w:t>及2024年修改单）</w:t>
            </w:r>
            <w:r>
              <w:rPr>
                <w:rFonts w:hint="default" w:ascii="Times New Roman" w:hAnsi="Times New Roman" w:eastAsia="宋体" w:cs="Times New Roman"/>
                <w:color w:val="000000" w:themeColor="text1"/>
                <w:lang w:val="en-US" w:eastAsia="zh-CN"/>
                <w14:textFill>
                  <w14:solidFill>
                    <w14:schemeClr w14:val="tx1"/>
                  </w14:solidFill>
                </w14:textFill>
              </w:rPr>
              <w:t>表4标准，臭气浓度执行</w:t>
            </w:r>
            <w:r>
              <w:rPr>
                <w:rFonts w:hint="default" w:ascii="Times New Roman" w:hAnsi="Times New Roman" w:eastAsia="宋体" w:cs="Times New Roman"/>
                <w:color w:val="000000" w:themeColor="text1"/>
                <w:lang w:val="zh-CN" w:eastAsia="zh-CN"/>
                <w14:textFill>
                  <w14:solidFill>
                    <w14:schemeClr w14:val="tx1"/>
                  </w14:solidFill>
                </w14:textFill>
              </w:rPr>
              <w:t>《恶臭污染物排放标准》（GB14554-93）</w:t>
            </w:r>
            <w:r>
              <w:rPr>
                <w:rFonts w:hint="default" w:ascii="Times New Roman" w:hAnsi="Times New Roman" w:eastAsia="宋体" w:cs="Times New Roman"/>
                <w:color w:val="000000" w:themeColor="text1"/>
                <w:lang w:val="en-US" w:eastAsia="zh-CN"/>
                <w14:textFill>
                  <w14:solidFill>
                    <w14:schemeClr w14:val="tx1"/>
                  </w14:solidFill>
                </w14:textFill>
              </w:rPr>
              <w:t>表2限值</w:t>
            </w:r>
          </w:p>
        </w:tc>
      </w:tr>
      <w:tr w14:paraId="4AEA10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Merge w:val="continue"/>
            <w:vAlign w:val="center"/>
          </w:tcPr>
          <w:p w14:paraId="23724BB3">
            <w:pPr>
              <w:adjustRightInd w:val="0"/>
              <w:snapToGrid w:val="0"/>
              <w:jc w:val="center"/>
              <w:rPr>
                <w:color w:val="000000" w:themeColor="text1"/>
                <w:szCs w:val="21"/>
                <w14:textFill>
                  <w14:solidFill>
                    <w14:schemeClr w14:val="tx1"/>
                  </w14:solidFill>
                </w14:textFill>
              </w:rPr>
            </w:pPr>
          </w:p>
        </w:tc>
        <w:tc>
          <w:tcPr>
            <w:tcW w:w="1726" w:type="dxa"/>
            <w:gridSpan w:val="2"/>
            <w:vAlign w:val="center"/>
          </w:tcPr>
          <w:p w14:paraId="4818F8B2">
            <w:pPr>
              <w:pStyle w:val="129"/>
              <w:keepNext w:val="0"/>
              <w:keepLines w:val="0"/>
              <w:pageBreakBefore w:val="0"/>
              <w:widowControl w:val="0"/>
              <w:kinsoku/>
              <w:wordWrap w:val="0"/>
              <w:overflowPunct/>
              <w:topLinePunct/>
              <w:autoSpaceDE/>
              <w:autoSpaceDN/>
              <w:bidi w:val="0"/>
              <w:ind w:firstLine="0" w:firstLineChars="0"/>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无组织废气</w:t>
            </w:r>
          </w:p>
        </w:tc>
        <w:tc>
          <w:tcPr>
            <w:tcW w:w="1312" w:type="dxa"/>
            <w:vAlign w:val="center"/>
          </w:tcPr>
          <w:p w14:paraId="7C5A09CF">
            <w:pPr>
              <w:pStyle w:val="98"/>
              <w:keepNext w:val="0"/>
              <w:keepLines w:val="0"/>
              <w:pageBreakBefore w:val="0"/>
              <w:widowControl w:val="0"/>
              <w:kinsoku/>
              <w:wordWrap/>
              <w:overflowPunct/>
              <w:topLinePunct w:val="0"/>
              <w:autoSpaceDE/>
              <w:autoSpaceDN/>
              <w:bidi w:val="0"/>
              <w:adjustRightInd/>
              <w:snapToGrid/>
              <w:spacing w:line="240" w:lineRule="auto"/>
              <w:textAlignment w:val="auto"/>
              <w:rPr>
                <w:color w:val="000000" w:themeColor="text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非甲烷总烃</w:t>
            </w: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、颗粒物、甲苯、</w:t>
            </w: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苯乙烯</w:t>
            </w: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臭气浓度</w:t>
            </w:r>
          </w:p>
        </w:tc>
        <w:tc>
          <w:tcPr>
            <w:tcW w:w="2899" w:type="dxa"/>
            <w:vAlign w:val="center"/>
          </w:tcPr>
          <w:p w14:paraId="5C543DC8">
            <w:pPr>
              <w:pStyle w:val="129"/>
              <w:pageBreakBefore w:val="0"/>
              <w:kinsoku/>
              <w:overflowPunct/>
              <w:topLinePunct w:val="0"/>
              <w:bidi w:val="0"/>
              <w:ind w:left="0" w:leftChars="0" w:right="0" w:rightChars="0" w:firstLine="0" w:firstLineChars="0"/>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本项目切割废气、未捕集无组织废气、异味经</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车间加强通风、自然稀释扩散</w:t>
            </w:r>
            <w:r>
              <w:rPr>
                <w:rFonts w:hint="eastAsia" w:cs="Times New Roman"/>
                <w:b w:val="0"/>
                <w:bCs w:val="0"/>
                <w:color w:val="000000" w:themeColor="text1"/>
                <w:sz w:val="21"/>
                <w:szCs w:val="21"/>
                <w:vertAlign w:val="baseline"/>
                <w:lang w:val="en-US" w:eastAsia="zh-CN"/>
                <w14:textFill>
                  <w14:solidFill>
                    <w14:schemeClr w14:val="tx1"/>
                  </w14:solidFill>
                </w14:textFill>
              </w:rPr>
              <w:t>后无组织排放。</w:t>
            </w:r>
          </w:p>
          <w:p w14:paraId="37FF243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生物质燃料以袋装的方式堆放在锅炉房内</w:t>
            </w:r>
            <w:r>
              <w:rPr>
                <w:rFonts w:hint="eastAsia" w:cs="Times New Roman"/>
                <w:b w:val="0"/>
                <w:bCs w:val="0"/>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生物质燃料堆放粉尘</w:t>
            </w:r>
            <w:r>
              <w:rPr>
                <w:rFonts w:hint="eastAsia" w:cs="Times New Roman"/>
                <w:color w:val="000000" w:themeColor="text1"/>
                <w:sz w:val="21"/>
                <w:szCs w:val="21"/>
                <w:lang w:eastAsia="zh-CN"/>
                <w14:textFill>
                  <w14:solidFill>
                    <w14:schemeClr w14:val="tx1"/>
                  </w14:solidFill>
                </w14:textFill>
              </w:rPr>
              <w:t>经</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加强通风、自然稀释扩散</w:t>
            </w:r>
            <w:r>
              <w:rPr>
                <w:rFonts w:hint="eastAsia" w:cs="Times New Roman"/>
                <w:b w:val="0"/>
                <w:bCs w:val="0"/>
                <w:color w:val="000000" w:themeColor="text1"/>
                <w:sz w:val="21"/>
                <w:szCs w:val="21"/>
                <w:vertAlign w:val="baseline"/>
                <w:lang w:val="en-US" w:eastAsia="zh-CN"/>
                <w14:textFill>
                  <w14:solidFill>
                    <w14:schemeClr w14:val="tx1"/>
                  </w14:solidFill>
                </w14:textFill>
              </w:rPr>
              <w:t>后无组织排放。</w:t>
            </w:r>
          </w:p>
        </w:tc>
        <w:tc>
          <w:tcPr>
            <w:tcW w:w="2146" w:type="dxa"/>
            <w:vAlign w:val="center"/>
          </w:tcPr>
          <w:p w14:paraId="43F3BED1">
            <w:pPr>
              <w:pStyle w:val="98"/>
              <w:keepNext w:val="0"/>
              <w:keepLines w:val="0"/>
              <w:pageBreakBefore w:val="0"/>
              <w:widowControl w:val="0"/>
              <w:kinsoku/>
              <w:wordWrap/>
              <w:overflowPunct/>
              <w:topLinePunct w:val="0"/>
              <w:autoSpaceDE/>
              <w:autoSpaceDN/>
              <w:bidi w:val="0"/>
              <w:adjustRightInd/>
              <w:snapToGrid/>
              <w:spacing w:line="240" w:lineRule="auto"/>
              <w:textAlignment w:val="auto"/>
              <w:rPr>
                <w:color w:val="000000" w:themeColor="text1"/>
                <w:szCs w:val="21"/>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颗粒物、甲苯、</w:t>
            </w: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非甲烷总烃执行《合成树脂工业污染物排放标准》（GB31572-2015含2024年修改单）表9标准限值，苯乙烯、臭气浓度</w:t>
            </w:r>
            <w:r>
              <w:rPr>
                <w:rFonts w:hint="default" w:ascii="Times New Roman" w:hAnsi="Times New Roman" w:cs="Times New Roman" w:eastAsiaTheme="minorEastAsia"/>
                <w:b w:val="0"/>
                <w:bCs w:val="0"/>
                <w:color w:val="000000" w:themeColor="text1"/>
                <w:sz w:val="21"/>
                <w:szCs w:val="21"/>
                <w:lang w:val="zh-CN" w:eastAsia="zh-CN"/>
                <w14:textFill>
                  <w14:solidFill>
                    <w14:schemeClr w14:val="tx1"/>
                  </w14:solidFill>
                </w14:textFill>
              </w:rPr>
              <w:t>排放执行《恶臭污染物排放标准》（GB14554-93）</w:t>
            </w: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表1中二级</w:t>
            </w:r>
            <w:r>
              <w:rPr>
                <w:rFonts w:hint="default" w:ascii="Times New Roman" w:hAnsi="Times New Roman" w:cs="Times New Roman" w:eastAsiaTheme="minorEastAsia"/>
                <w:b w:val="0"/>
                <w:bCs w:val="0"/>
                <w:color w:val="000000" w:themeColor="text1"/>
                <w:sz w:val="21"/>
                <w:szCs w:val="21"/>
                <w:lang w:val="zh-CN" w:eastAsia="zh-CN"/>
                <w14:textFill>
                  <w14:solidFill>
                    <w14:schemeClr w14:val="tx1"/>
                  </w14:solidFill>
                </w14:textFill>
              </w:rPr>
              <w:t>标准</w:t>
            </w: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限值</w:t>
            </w:r>
            <w:r>
              <w:rPr>
                <w:rFonts w:hint="default" w:ascii="Times New Roman" w:hAnsi="Times New Roman" w:cs="Times New Roman" w:eastAsiaTheme="minorEastAsia"/>
                <w:b w:val="0"/>
                <w:bCs w:val="0"/>
                <w:color w:val="000000" w:themeColor="text1"/>
                <w:sz w:val="21"/>
                <w:szCs w:val="21"/>
                <w:lang w:val="zh-CN" w:eastAsia="zh-CN"/>
                <w14:textFill>
                  <w14:solidFill>
                    <w14:schemeClr w14:val="tx1"/>
                  </w14:solidFill>
                </w14:textFill>
              </w:rPr>
              <w:t>要求</w:t>
            </w:r>
          </w:p>
        </w:tc>
      </w:tr>
      <w:tr w14:paraId="3C7709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Merge w:val="continue"/>
            <w:vAlign w:val="center"/>
          </w:tcPr>
          <w:p w14:paraId="00562F95">
            <w:pPr>
              <w:adjustRightInd w:val="0"/>
              <w:snapToGrid w:val="0"/>
              <w:jc w:val="center"/>
              <w:rPr>
                <w:color w:val="000000" w:themeColor="text1"/>
                <w:szCs w:val="21"/>
                <w14:textFill>
                  <w14:solidFill>
                    <w14:schemeClr w14:val="tx1"/>
                  </w14:solidFill>
                </w14:textFill>
              </w:rPr>
            </w:pPr>
          </w:p>
        </w:tc>
        <w:tc>
          <w:tcPr>
            <w:tcW w:w="1726" w:type="dxa"/>
            <w:gridSpan w:val="2"/>
            <w:vAlign w:val="center"/>
          </w:tcPr>
          <w:p w14:paraId="17C36E78">
            <w:pPr>
              <w:pStyle w:val="129"/>
              <w:keepNext w:val="0"/>
              <w:keepLines w:val="0"/>
              <w:pageBreakBefore w:val="0"/>
              <w:widowControl w:val="0"/>
              <w:kinsoku/>
              <w:wordWrap w:val="0"/>
              <w:overflowPunct/>
              <w:topLinePunct/>
              <w:autoSpaceDE/>
              <w:autoSpaceDN/>
              <w:bidi w:val="0"/>
              <w:ind w:firstLine="0" w:firstLineChars="0"/>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食堂油烟</w:t>
            </w:r>
          </w:p>
        </w:tc>
        <w:tc>
          <w:tcPr>
            <w:tcW w:w="1312" w:type="dxa"/>
            <w:vAlign w:val="center"/>
          </w:tcPr>
          <w:p w14:paraId="0105F5EE">
            <w:pPr>
              <w:pStyle w:val="9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油烟</w:t>
            </w:r>
          </w:p>
        </w:tc>
        <w:tc>
          <w:tcPr>
            <w:tcW w:w="2899" w:type="dxa"/>
            <w:vAlign w:val="center"/>
          </w:tcPr>
          <w:p w14:paraId="55BEA608">
            <w:pPr>
              <w:pStyle w:val="129"/>
              <w:pageBreakBefore w:val="0"/>
              <w:kinsoku/>
              <w:overflowPunct/>
              <w:topLinePunct w:val="0"/>
              <w:bidi w:val="0"/>
              <w:ind w:left="0" w:leftChars="0" w:right="0" w:rightChars="0" w:firstLine="0" w:firstLineChars="0"/>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新增1台油烟净化器，食堂油烟经油烟净化器处理后排放。</w:t>
            </w:r>
          </w:p>
        </w:tc>
        <w:tc>
          <w:tcPr>
            <w:tcW w:w="2146" w:type="dxa"/>
            <w:vAlign w:val="center"/>
          </w:tcPr>
          <w:p w14:paraId="5B865274">
            <w:pPr>
              <w:pStyle w:val="129"/>
              <w:pageBreakBefore w:val="0"/>
              <w:kinsoku/>
              <w:overflowPunct/>
              <w:topLinePunct w:val="0"/>
              <w:bidi w:val="0"/>
              <w:ind w:left="0" w:leftChars="0" w:right="0" w:rightChars="0" w:firstLine="0" w:firstLineChars="0"/>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《饮食业油烟排放标准》（GB18483-2001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小型规模标准</w:t>
            </w:r>
          </w:p>
        </w:tc>
      </w:tr>
      <w:tr w14:paraId="773527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Merge w:val="restart"/>
            <w:vAlign w:val="center"/>
          </w:tcPr>
          <w:p w14:paraId="7D98635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地表水环境</w:t>
            </w:r>
          </w:p>
        </w:tc>
        <w:tc>
          <w:tcPr>
            <w:tcW w:w="863" w:type="dxa"/>
            <w:vMerge w:val="restart"/>
            <w:vAlign w:val="center"/>
          </w:tcPr>
          <w:p w14:paraId="1C63257C">
            <w:pPr>
              <w:keepNext w:val="0"/>
              <w:keepLines/>
              <w:pageBreakBefore w:val="0"/>
              <w:kinsoku/>
              <w:wordWrap/>
              <w:overflowPunct/>
              <w:topLinePunct w:val="0"/>
              <w:bidi w:val="0"/>
              <w:adjustRightInd/>
              <w:snapToGrid/>
              <w:spacing w:line="240" w:lineRule="auto"/>
              <w:ind w:firstLine="0" w:firstLineChars="0"/>
              <w:jc w:val="center"/>
              <w:textAlignment w:val="auto"/>
              <w:rPr>
                <w:rFonts w:hint="eastAsia"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厂区</w:t>
            </w:r>
          </w:p>
        </w:tc>
        <w:tc>
          <w:tcPr>
            <w:tcW w:w="863" w:type="dxa"/>
            <w:vAlign w:val="center"/>
          </w:tcPr>
          <w:p w14:paraId="3B608365">
            <w:pPr>
              <w:keepNext w:val="0"/>
              <w:keepLines/>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初期雨水</w:t>
            </w:r>
          </w:p>
        </w:tc>
        <w:tc>
          <w:tcPr>
            <w:tcW w:w="1312" w:type="dxa"/>
            <w:vAlign w:val="center"/>
          </w:tcPr>
          <w:p w14:paraId="163E5F7F">
            <w:pPr>
              <w:pStyle w:val="31"/>
              <w:spacing w:after="0"/>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SS</w:t>
            </w:r>
          </w:p>
        </w:tc>
        <w:tc>
          <w:tcPr>
            <w:tcW w:w="2899" w:type="dxa"/>
            <w:vAlign w:val="center"/>
          </w:tcPr>
          <w:p w14:paraId="2DBE39C4">
            <w:pPr>
              <w:jc w:val="center"/>
              <w:rPr>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项目采取雨污分流制，初期</w:t>
            </w:r>
            <w:r>
              <w:rPr>
                <w:rFonts w:hint="eastAsia" w:cs="Times New Roman"/>
                <w:color w:val="000000" w:themeColor="text1"/>
                <w:sz w:val="21"/>
                <w:szCs w:val="21"/>
                <w:lang w:val="en-US" w:eastAsia="zh-CN"/>
                <w14:textFill>
                  <w14:solidFill>
                    <w14:schemeClr w14:val="tx1"/>
                  </w14:solidFill>
                </w14:textFill>
              </w:rPr>
              <w:t>雨水经厂区周边现有雨水沟收集后进入周边道路旁雨水沟。</w:t>
            </w:r>
          </w:p>
        </w:tc>
        <w:tc>
          <w:tcPr>
            <w:tcW w:w="2146" w:type="dxa"/>
            <w:vAlign w:val="center"/>
          </w:tcPr>
          <w:p w14:paraId="23C536B5">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611CA5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Merge w:val="continue"/>
            <w:vAlign w:val="center"/>
          </w:tcPr>
          <w:p w14:paraId="6CC8EDFF">
            <w:pPr>
              <w:adjustRightInd w:val="0"/>
              <w:snapToGrid w:val="0"/>
              <w:jc w:val="center"/>
              <w:rPr>
                <w:color w:val="000000" w:themeColor="text1"/>
                <w:szCs w:val="21"/>
                <w14:textFill>
                  <w14:solidFill>
                    <w14:schemeClr w14:val="tx1"/>
                  </w14:solidFill>
                </w14:textFill>
              </w:rPr>
            </w:pPr>
          </w:p>
        </w:tc>
        <w:tc>
          <w:tcPr>
            <w:tcW w:w="863" w:type="dxa"/>
            <w:vMerge w:val="continue"/>
            <w:vAlign w:val="center"/>
          </w:tcPr>
          <w:p w14:paraId="648A188C">
            <w:pPr>
              <w:keepNext w:val="0"/>
              <w:keepLines/>
              <w:pageBreakBefore w:val="0"/>
              <w:kinsoku/>
              <w:wordWrap/>
              <w:overflowPunct/>
              <w:topLinePunct w:val="0"/>
              <w:bidi w:val="0"/>
              <w:adjustRightInd/>
              <w:snapToGrid/>
              <w:spacing w:line="240" w:lineRule="auto"/>
              <w:ind w:firstLine="0" w:firstLineChars="0"/>
              <w:jc w:val="center"/>
              <w:textAlignment w:val="auto"/>
              <w:rPr>
                <w:rFonts w:hint="eastAsia" w:eastAsia="宋体"/>
                <w:color w:val="000000" w:themeColor="text1"/>
                <w:sz w:val="21"/>
                <w:szCs w:val="21"/>
                <w:lang w:val="en-US" w:eastAsia="zh-CN"/>
                <w14:textFill>
                  <w14:solidFill>
                    <w14:schemeClr w14:val="tx1"/>
                  </w14:solidFill>
                </w14:textFill>
              </w:rPr>
            </w:pPr>
          </w:p>
        </w:tc>
        <w:tc>
          <w:tcPr>
            <w:tcW w:w="863" w:type="dxa"/>
            <w:vAlign w:val="center"/>
          </w:tcPr>
          <w:p w14:paraId="3C13F47C">
            <w:pPr>
              <w:keepNext w:val="0"/>
              <w:keepLines/>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生活污水</w:t>
            </w:r>
          </w:p>
        </w:tc>
        <w:tc>
          <w:tcPr>
            <w:tcW w:w="1312" w:type="dxa"/>
            <w:vAlign w:val="center"/>
          </w:tcPr>
          <w:p w14:paraId="1125477B">
            <w:pPr>
              <w:pStyle w:val="129"/>
              <w:keepNext w:val="0"/>
              <w:keepLines w:val="0"/>
              <w:pageBreakBefore w:val="0"/>
              <w:widowControl w:val="0"/>
              <w:kinsoku/>
              <w:wordWrap w:val="0"/>
              <w:overflowPunct/>
              <w:topLinePunct/>
              <w:autoSpaceDE/>
              <w:autoSpaceDN/>
              <w:bidi w:val="0"/>
              <w:ind w:firstLine="0" w:firstLineChars="0"/>
              <w:rPr>
                <w:rFonts w:hint="default" w:eastAsia="宋体"/>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6"/>
                <w:lang w:val="en-US" w:eastAsia="zh-CN"/>
                <w14:textFill>
                  <w14:solidFill>
                    <w14:schemeClr w14:val="tx1"/>
                  </w14:solidFill>
                </w14:textFill>
              </w:rPr>
              <w:t>pH</w:t>
            </w:r>
            <w:r>
              <w:rPr>
                <w:rFonts w:hint="eastAsia" w:ascii="Times New Roman" w:hAnsi="Times New Roman" w:eastAsia="宋体" w:cs="Times New Roman"/>
                <w:color w:val="000000" w:themeColor="text1"/>
                <w:sz w:val="18"/>
                <w:szCs w:val="16"/>
                <w:lang w:val="en-US" w:eastAsia="zh-CN"/>
                <w14:textFill>
                  <w14:solidFill>
                    <w14:schemeClr w14:val="tx1"/>
                  </w14:solidFill>
                </w14:textFill>
              </w:rPr>
              <w:t>、</w:t>
            </w:r>
            <w:r>
              <w:rPr>
                <w:rFonts w:hint="default" w:ascii="Times New Roman" w:hAnsi="Times New Roman" w:eastAsia="宋体" w:cs="Times New Roman"/>
                <w:color w:val="000000" w:themeColor="text1"/>
                <w:sz w:val="18"/>
                <w:szCs w:val="16"/>
                <w:lang w:val="en-US" w:eastAsia="zh-CN"/>
                <w14:textFill>
                  <w14:solidFill>
                    <w14:schemeClr w14:val="tx1"/>
                  </w14:solidFill>
                </w14:textFill>
              </w:rPr>
              <w:t>色度</w:t>
            </w:r>
            <w:r>
              <w:rPr>
                <w:rFonts w:hint="eastAsia" w:ascii="Times New Roman" w:hAnsi="Times New Roman" w:eastAsia="宋体" w:cs="Times New Roman"/>
                <w:color w:val="000000" w:themeColor="text1"/>
                <w:sz w:val="18"/>
                <w:szCs w:val="16"/>
                <w:lang w:val="en-US" w:eastAsia="zh-CN"/>
                <w14:textFill>
                  <w14:solidFill>
                    <w14:schemeClr w14:val="tx1"/>
                  </w14:solidFill>
                </w14:textFill>
              </w:rPr>
              <w:t>、</w:t>
            </w:r>
            <w:r>
              <w:rPr>
                <w:rFonts w:hint="default" w:ascii="Times New Roman" w:hAnsi="Times New Roman" w:eastAsia="宋体" w:cs="Times New Roman"/>
                <w:color w:val="000000" w:themeColor="text1"/>
                <w:sz w:val="18"/>
                <w:szCs w:val="16"/>
                <w:lang w:val="en-US" w:eastAsia="zh-CN"/>
                <w14:textFill>
                  <w14:solidFill>
                    <w14:schemeClr w14:val="tx1"/>
                  </w14:solidFill>
                </w14:textFill>
              </w:rPr>
              <w:t>嗅</w:t>
            </w:r>
            <w:r>
              <w:rPr>
                <w:rFonts w:hint="eastAsia" w:ascii="Times New Roman" w:hAnsi="Times New Roman" w:eastAsia="宋体" w:cs="Times New Roman"/>
                <w:color w:val="000000" w:themeColor="text1"/>
                <w:sz w:val="18"/>
                <w:szCs w:val="16"/>
                <w:lang w:val="en-US" w:eastAsia="zh-CN"/>
                <w14:textFill>
                  <w14:solidFill>
                    <w14:schemeClr w14:val="tx1"/>
                  </w14:solidFill>
                </w14:textFill>
              </w:rPr>
              <w:t>、</w:t>
            </w:r>
            <w:r>
              <w:rPr>
                <w:rFonts w:hint="default" w:ascii="Times New Roman" w:hAnsi="Times New Roman" w:eastAsia="宋体" w:cs="Times New Roman"/>
                <w:color w:val="000000" w:themeColor="text1"/>
                <w:sz w:val="18"/>
                <w:szCs w:val="16"/>
                <w:lang w:val="en-US" w:eastAsia="zh-CN"/>
                <w14:textFill>
                  <w14:solidFill>
                    <w14:schemeClr w14:val="tx1"/>
                  </w14:solidFill>
                </w14:textFill>
              </w:rPr>
              <w:t>浊度</w:t>
            </w:r>
            <w:r>
              <w:rPr>
                <w:rFonts w:hint="eastAsia" w:ascii="Times New Roman" w:hAnsi="Times New Roman" w:eastAsia="宋体" w:cs="Times New Roman"/>
                <w:color w:val="000000" w:themeColor="text1"/>
                <w:sz w:val="18"/>
                <w:szCs w:val="16"/>
                <w:lang w:val="en-US" w:eastAsia="zh-CN"/>
                <w14:textFill>
                  <w14:solidFill>
                    <w14:schemeClr w14:val="tx1"/>
                  </w14:solidFill>
                </w14:textFill>
              </w:rPr>
              <w:t>、</w:t>
            </w:r>
            <w:r>
              <w:rPr>
                <w:rFonts w:hint="default" w:ascii="Times New Roman" w:hAnsi="Times New Roman" w:eastAsia="宋体" w:cs="Times New Roman"/>
                <w:color w:val="000000" w:themeColor="text1"/>
                <w:sz w:val="18"/>
                <w:szCs w:val="16"/>
                <w:lang w:val="en-US" w:eastAsia="zh-CN"/>
                <w14:textFill>
                  <w14:solidFill>
                    <w14:schemeClr w14:val="tx1"/>
                  </w14:solidFill>
                </w14:textFill>
              </w:rPr>
              <w:t>五日生化需氧量</w:t>
            </w:r>
            <w:r>
              <w:rPr>
                <w:rFonts w:hint="eastAsia" w:ascii="Times New Roman" w:hAnsi="Times New Roman" w:eastAsia="宋体" w:cs="Times New Roman"/>
                <w:color w:val="000000" w:themeColor="text1"/>
                <w:sz w:val="18"/>
                <w:szCs w:val="16"/>
                <w:lang w:val="en-US" w:eastAsia="zh-CN"/>
                <w14:textFill>
                  <w14:solidFill>
                    <w14:schemeClr w14:val="tx1"/>
                  </w14:solidFill>
                </w14:textFill>
              </w:rPr>
              <w:t>、</w:t>
            </w:r>
            <w:r>
              <w:rPr>
                <w:rFonts w:hint="default" w:ascii="Times New Roman" w:hAnsi="Times New Roman" w:eastAsia="宋体" w:cs="Times New Roman"/>
                <w:color w:val="000000" w:themeColor="text1"/>
                <w:sz w:val="18"/>
                <w:szCs w:val="16"/>
                <w:lang w:val="en-US" w:eastAsia="zh-CN"/>
                <w14:textFill>
                  <w14:solidFill>
                    <w14:schemeClr w14:val="tx1"/>
                  </w14:solidFill>
                </w14:textFill>
              </w:rPr>
              <w:t>氨氮</w:t>
            </w:r>
            <w:r>
              <w:rPr>
                <w:rFonts w:hint="eastAsia" w:ascii="Times New Roman" w:hAnsi="Times New Roman" w:eastAsia="宋体" w:cs="Times New Roman"/>
                <w:color w:val="000000" w:themeColor="text1"/>
                <w:sz w:val="18"/>
                <w:szCs w:val="16"/>
                <w:lang w:val="en-US" w:eastAsia="zh-CN"/>
                <w14:textFill>
                  <w14:solidFill>
                    <w14:schemeClr w14:val="tx1"/>
                  </w14:solidFill>
                </w14:textFill>
              </w:rPr>
              <w:t>、</w:t>
            </w:r>
            <w:r>
              <w:rPr>
                <w:rFonts w:hint="default" w:ascii="Times New Roman" w:hAnsi="Times New Roman" w:eastAsia="宋体" w:cs="Times New Roman"/>
                <w:color w:val="000000" w:themeColor="text1"/>
                <w:sz w:val="18"/>
                <w:szCs w:val="16"/>
                <w:lang w:val="en-US" w:eastAsia="zh-CN"/>
                <w14:textFill>
                  <w14:solidFill>
                    <w14:schemeClr w14:val="tx1"/>
                  </w14:solidFill>
                </w14:textFill>
              </w:rPr>
              <w:t>阴离子表面活性剂</w:t>
            </w:r>
            <w:r>
              <w:rPr>
                <w:rFonts w:hint="eastAsia" w:ascii="Times New Roman" w:hAnsi="Times New Roman" w:eastAsia="宋体" w:cs="Times New Roman"/>
                <w:color w:val="000000" w:themeColor="text1"/>
                <w:sz w:val="18"/>
                <w:szCs w:val="16"/>
                <w:lang w:val="en-US" w:eastAsia="zh-CN"/>
                <w14:textFill>
                  <w14:solidFill>
                    <w14:schemeClr w14:val="tx1"/>
                  </w14:solidFill>
                </w14:textFill>
              </w:rPr>
              <w:t>、</w:t>
            </w:r>
            <w:r>
              <w:rPr>
                <w:rFonts w:hint="default" w:ascii="Times New Roman" w:hAnsi="Times New Roman" w:eastAsia="宋体" w:cs="Times New Roman"/>
                <w:color w:val="000000" w:themeColor="text1"/>
                <w:sz w:val="18"/>
                <w:szCs w:val="16"/>
                <w:lang w:val="en-US" w:eastAsia="zh-CN"/>
                <w14:textFill>
                  <w14:solidFill>
                    <w14:schemeClr w14:val="tx1"/>
                  </w14:solidFill>
                </w14:textFill>
              </w:rPr>
              <w:t>溶解性总固体</w:t>
            </w:r>
            <w:r>
              <w:rPr>
                <w:rFonts w:hint="eastAsia" w:ascii="Times New Roman" w:hAnsi="Times New Roman" w:eastAsia="宋体" w:cs="Times New Roman"/>
                <w:color w:val="000000" w:themeColor="text1"/>
                <w:sz w:val="18"/>
                <w:szCs w:val="16"/>
                <w:lang w:val="en-US" w:eastAsia="zh-CN"/>
                <w14:textFill>
                  <w14:solidFill>
                    <w14:schemeClr w14:val="tx1"/>
                  </w14:solidFill>
                </w14:textFill>
              </w:rPr>
              <w:t>、</w:t>
            </w:r>
            <w:r>
              <w:rPr>
                <w:rFonts w:hint="default" w:ascii="Times New Roman" w:hAnsi="Times New Roman" w:eastAsia="宋体" w:cs="Times New Roman"/>
                <w:color w:val="000000" w:themeColor="text1"/>
                <w:sz w:val="18"/>
                <w:szCs w:val="16"/>
                <w:lang w:val="en-US" w:eastAsia="zh-CN"/>
                <w14:textFill>
                  <w14:solidFill>
                    <w14:schemeClr w14:val="tx1"/>
                  </w14:solidFill>
                </w14:textFill>
              </w:rPr>
              <w:t>溶解氧</w:t>
            </w:r>
            <w:r>
              <w:rPr>
                <w:rFonts w:hint="eastAsia" w:ascii="Times New Roman" w:hAnsi="Times New Roman" w:eastAsia="宋体" w:cs="Times New Roman"/>
                <w:color w:val="000000" w:themeColor="text1"/>
                <w:sz w:val="18"/>
                <w:szCs w:val="16"/>
                <w:lang w:val="en-US" w:eastAsia="zh-CN"/>
                <w14:textFill>
                  <w14:solidFill>
                    <w14:schemeClr w14:val="tx1"/>
                  </w14:solidFill>
                </w14:textFill>
              </w:rPr>
              <w:t>、</w:t>
            </w:r>
            <w:r>
              <w:rPr>
                <w:rFonts w:hint="default" w:ascii="Times New Roman" w:hAnsi="Times New Roman" w:eastAsia="宋体" w:cs="Times New Roman"/>
                <w:color w:val="000000" w:themeColor="text1"/>
                <w:sz w:val="18"/>
                <w:szCs w:val="16"/>
                <w:lang w:val="en-US" w:eastAsia="zh-CN"/>
                <w14:textFill>
                  <w14:solidFill>
                    <w14:schemeClr w14:val="tx1"/>
                  </w14:solidFill>
                </w14:textFill>
              </w:rPr>
              <w:t>总氯</w:t>
            </w:r>
            <w:r>
              <w:rPr>
                <w:rFonts w:hint="eastAsia" w:ascii="Times New Roman" w:hAnsi="Times New Roman" w:eastAsia="宋体" w:cs="Times New Roman"/>
                <w:color w:val="000000" w:themeColor="text1"/>
                <w:sz w:val="18"/>
                <w:szCs w:val="16"/>
                <w:lang w:val="en-US" w:eastAsia="zh-CN"/>
                <w14:textFill>
                  <w14:solidFill>
                    <w14:schemeClr w14:val="tx1"/>
                  </w14:solidFill>
                </w14:textFill>
              </w:rPr>
              <w:t>、</w:t>
            </w:r>
            <w:r>
              <w:rPr>
                <w:rFonts w:hint="default" w:ascii="Times New Roman" w:hAnsi="Times New Roman" w:eastAsia="宋体" w:cs="Times New Roman"/>
                <w:color w:val="000000" w:themeColor="text1"/>
                <w:sz w:val="18"/>
                <w:szCs w:val="16"/>
                <w:lang w:val="en-US" w:eastAsia="zh-CN"/>
                <w14:textFill>
                  <w14:solidFill>
                    <w14:schemeClr w14:val="tx1"/>
                  </w14:solidFill>
                </w14:textFill>
              </w:rPr>
              <w:t>大肠埃希氏菌</w:t>
            </w:r>
          </w:p>
        </w:tc>
        <w:tc>
          <w:tcPr>
            <w:tcW w:w="2899" w:type="dxa"/>
            <w:vAlign w:val="center"/>
          </w:tcPr>
          <w:p w14:paraId="2476D099">
            <w:pPr>
              <w:pStyle w:val="29"/>
              <w:pageBreakBefore w:val="0"/>
              <w:widowControl w:val="0"/>
              <w:kinsoku/>
              <w:overflowPunct/>
              <w:topLinePunct w:val="0"/>
              <w:bidi w:val="0"/>
              <w:spacing w:before="0" w:beforeAutospacing="0" w:after="0" w:afterAutospacing="0"/>
              <w:ind w:left="0" w:leftChars="0" w:right="0"/>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依托现有</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1个1m</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隔油池、1个3m</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化粪池；新增1套处理能力为1m</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/d一体化生活污水处理设施。</w:t>
            </w:r>
          </w:p>
          <w:p w14:paraId="6D1747F9">
            <w:pPr>
              <w:pStyle w:val="29"/>
              <w:pageBreakBefore w:val="0"/>
              <w:widowControl w:val="0"/>
              <w:kinsoku/>
              <w:overflowPunct/>
              <w:topLinePunct w:val="0"/>
              <w:bidi w:val="0"/>
              <w:spacing w:before="0" w:beforeAutospacing="0" w:after="0" w:afterAutospacing="0"/>
              <w:ind w:left="0" w:leftChars="0" w:right="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生活污水经隔油池、化粪池预处理后进入自建生活污水处理设施处理达标后用于厂区绿化。</w:t>
            </w:r>
          </w:p>
          <w:p w14:paraId="75F3E92F">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color w:val="000000" w:themeColor="text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新增1个约3m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中水池</w:t>
            </w:r>
            <w:r>
              <w:rPr>
                <w:rFonts w:hint="eastAsia" w:ascii="Times New Roman" w:hAnsi="Times New Roman" w:cs="Times New Roman"/>
                <w:color w:val="000000" w:themeColor="text1"/>
                <w:sz w:val="21"/>
                <w:szCs w:val="21"/>
                <w:lang w:val="en-US" w:eastAsia="zh-CN"/>
                <w14:textFill>
                  <w14:solidFill>
                    <w14:schemeClr w14:val="tx1"/>
                  </w14:solidFill>
                </w14:textFill>
              </w:rPr>
              <w:t>，配套设置中水回用软管，</w:t>
            </w:r>
            <w:r>
              <w:rPr>
                <w:rFonts w:hint="default" w:ascii="Times New Roman" w:hAnsi="Times New Roman" w:cs="Times New Roman"/>
                <w:color w:val="000000" w:themeColor="text1"/>
                <w:sz w:val="21"/>
                <w:szCs w:val="21"/>
                <w:lang w:val="en-US" w:eastAsia="zh-CN"/>
                <w14:textFill>
                  <w14:solidFill>
                    <w14:schemeClr w14:val="tx1"/>
                  </w14:solidFill>
                </w14:textFill>
              </w:rPr>
              <w:t>收集雨天处理后的中水，留待晴天使用。</w:t>
            </w:r>
          </w:p>
        </w:tc>
        <w:tc>
          <w:tcPr>
            <w:tcW w:w="2146" w:type="dxa"/>
            <w:vAlign w:val="center"/>
          </w:tcPr>
          <w:p w14:paraId="789E1269">
            <w:pPr>
              <w:pStyle w:val="129"/>
              <w:keepNext w:val="0"/>
              <w:keepLines w:val="0"/>
              <w:pageBreakBefore w:val="0"/>
              <w:widowControl w:val="0"/>
              <w:kinsoku/>
              <w:wordWrap w:val="0"/>
              <w:overflowPunct/>
              <w:topLinePunct/>
              <w:autoSpaceDE/>
              <w:autoSpaceDN/>
              <w:bidi w:val="0"/>
              <w:ind w:firstLine="0" w:firstLineChars="0"/>
              <w:rPr>
                <w:rFonts w:hint="eastAsia"/>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《城市污水再生利用 城市杂用水水质》（GB/T18920-2020）绿化标准</w:t>
            </w:r>
          </w:p>
        </w:tc>
      </w:tr>
      <w:tr w14:paraId="0FC1FC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Merge w:val="continue"/>
            <w:vAlign w:val="center"/>
          </w:tcPr>
          <w:p w14:paraId="1EC50B09">
            <w:pPr>
              <w:adjustRightInd w:val="0"/>
              <w:snapToGrid w:val="0"/>
              <w:jc w:val="center"/>
              <w:rPr>
                <w:color w:val="000000" w:themeColor="text1"/>
                <w:szCs w:val="21"/>
                <w14:textFill>
                  <w14:solidFill>
                    <w14:schemeClr w14:val="tx1"/>
                  </w14:solidFill>
                </w14:textFill>
              </w:rPr>
            </w:pPr>
          </w:p>
        </w:tc>
        <w:tc>
          <w:tcPr>
            <w:tcW w:w="863" w:type="dxa"/>
            <w:vMerge w:val="continue"/>
            <w:vAlign w:val="center"/>
          </w:tcPr>
          <w:p w14:paraId="5E916736">
            <w:pPr>
              <w:keepNext w:val="0"/>
              <w:keepLines/>
              <w:pageBreakBefore w:val="0"/>
              <w:kinsoku/>
              <w:wordWrap/>
              <w:overflowPunct/>
              <w:topLinePunct w:val="0"/>
              <w:bidi w:val="0"/>
              <w:adjustRightInd/>
              <w:snapToGrid/>
              <w:spacing w:line="240" w:lineRule="auto"/>
              <w:ind w:firstLine="0" w:firstLineChars="0"/>
              <w:jc w:val="center"/>
              <w:textAlignment w:val="auto"/>
              <w:rPr>
                <w:rFonts w:hint="eastAsia" w:eastAsia="宋体"/>
                <w:color w:val="000000" w:themeColor="text1"/>
                <w:sz w:val="21"/>
                <w:szCs w:val="21"/>
                <w:lang w:val="en-US" w:eastAsia="zh-CN"/>
                <w14:textFill>
                  <w14:solidFill>
                    <w14:schemeClr w14:val="tx1"/>
                  </w14:solidFill>
                </w14:textFill>
              </w:rPr>
            </w:pPr>
          </w:p>
        </w:tc>
        <w:tc>
          <w:tcPr>
            <w:tcW w:w="863" w:type="dxa"/>
            <w:vAlign w:val="center"/>
          </w:tcPr>
          <w:p w14:paraId="33501542">
            <w:pPr>
              <w:pageBreakBefore w:val="0"/>
              <w:widowControl/>
              <w:kinsoku/>
              <w:overflowPunct/>
              <w:topLinePunct w:val="0"/>
              <w:bidi w:val="0"/>
              <w:ind w:left="0" w:leftChars="0" w:right="0" w:right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软水制备废水</w:t>
            </w:r>
          </w:p>
        </w:tc>
        <w:tc>
          <w:tcPr>
            <w:tcW w:w="1312" w:type="dxa"/>
            <w:vAlign w:val="center"/>
          </w:tcPr>
          <w:p w14:paraId="0B9FE44A">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olor w:val="000000" w:themeColor="text1"/>
                <w:kern w:val="0"/>
                <w:sz w:val="18"/>
                <w:szCs w:val="18"/>
                <w:lang w:val="en-US" w:eastAsia="zh-CN"/>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SS</w:t>
            </w:r>
          </w:p>
        </w:tc>
        <w:tc>
          <w:tcPr>
            <w:tcW w:w="2899" w:type="dxa"/>
            <w:vAlign w:val="center"/>
          </w:tcPr>
          <w:p w14:paraId="296BC63A">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新增1套软水制备设施。</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软水</w:t>
            </w:r>
            <w:r>
              <w:rPr>
                <w:rFonts w:hint="default" w:ascii="Times New Roman" w:hAnsi="Times New Roman" w:cs="Times New Roman" w:eastAsiaTheme="minorEastAsia"/>
                <w:color w:val="000000" w:themeColor="text1"/>
                <w:sz w:val="21"/>
                <w:szCs w:val="21"/>
                <w14:textFill>
                  <w14:solidFill>
                    <w14:schemeClr w14:val="tx1"/>
                  </w14:solidFill>
                </w14:textFill>
              </w:rPr>
              <w:t>制备废水</w:t>
            </w:r>
            <w:r>
              <w:rPr>
                <w:rFonts w:hint="eastAsia" w:cs="Times New Roman" w:eastAsiaTheme="minorEastAsia"/>
                <w:color w:val="000000" w:themeColor="text1"/>
                <w:sz w:val="21"/>
                <w:szCs w:val="21"/>
                <w:lang w:eastAsia="zh-CN"/>
                <w14:textFill>
                  <w14:solidFill>
                    <w14:schemeClr w14:val="tx1"/>
                  </w14:solidFill>
                </w14:textFill>
              </w:rPr>
              <w:t>经收集处理后回用于厂区洒水降尘</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不外排</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2146" w:type="dxa"/>
            <w:vMerge w:val="restart"/>
            <w:vAlign w:val="center"/>
          </w:tcPr>
          <w:p w14:paraId="48817507">
            <w:pPr>
              <w:pStyle w:val="129"/>
              <w:keepNext w:val="0"/>
              <w:keepLines w:val="0"/>
              <w:pageBreakBefore w:val="0"/>
              <w:widowControl w:val="0"/>
              <w:kinsoku/>
              <w:wordWrap w:val="0"/>
              <w:overflowPunct/>
              <w:topLinePunct/>
              <w:autoSpaceDE/>
              <w:autoSpaceDN/>
              <w:bidi w:val="0"/>
              <w:ind w:firstLine="0" w:firstLineChars="0"/>
              <w:rPr>
                <w:rFonts w:hint="eastAsia" w:cs="Times New Roman"/>
                <w:color w:val="000000" w:themeColor="text1"/>
                <w:sz w:val="21"/>
                <w:szCs w:val="21"/>
                <w:lang w:val="en-US" w:eastAsia="zh-CN"/>
                <w14:textFill>
                  <w14:solidFill>
                    <w14:schemeClr w14:val="tx1"/>
                  </w14:solidFill>
                </w14:textFill>
              </w:rPr>
            </w:pPr>
          </w:p>
          <w:p w14:paraId="43C473B1">
            <w:pPr>
              <w:pStyle w:val="129"/>
              <w:keepNext w:val="0"/>
              <w:keepLines w:val="0"/>
              <w:pageBreakBefore w:val="0"/>
              <w:widowControl w:val="0"/>
              <w:kinsoku/>
              <w:wordWrap w:val="0"/>
              <w:overflowPunct/>
              <w:topLinePunct/>
              <w:autoSpaceDE/>
              <w:autoSpaceDN/>
              <w:bidi w:val="0"/>
              <w:ind w:firstLine="0" w:firstLineChars="0"/>
              <w:rPr>
                <w:rFonts w:hint="eastAsia" w:cs="Times New Roman"/>
                <w:color w:val="000000" w:themeColor="text1"/>
                <w:sz w:val="21"/>
                <w:szCs w:val="21"/>
                <w:lang w:val="en-US" w:eastAsia="zh-CN"/>
                <w14:textFill>
                  <w14:solidFill>
                    <w14:schemeClr w14:val="tx1"/>
                  </w14:solidFill>
                </w14:textFill>
              </w:rPr>
            </w:pPr>
          </w:p>
          <w:p w14:paraId="5A2DEBE6">
            <w:pPr>
              <w:pStyle w:val="129"/>
              <w:keepNext w:val="0"/>
              <w:keepLines w:val="0"/>
              <w:pageBreakBefore w:val="0"/>
              <w:widowControl w:val="0"/>
              <w:kinsoku/>
              <w:wordWrap w:val="0"/>
              <w:overflowPunct/>
              <w:topLinePunct/>
              <w:autoSpaceDE/>
              <w:autoSpaceDN/>
              <w:bidi w:val="0"/>
              <w:ind w:firstLine="0" w:firstLineChars="0"/>
              <w:rPr>
                <w:rFonts w:hint="eastAsia" w:cs="Times New Roman"/>
                <w:color w:val="000000" w:themeColor="text1"/>
                <w:sz w:val="21"/>
                <w:szCs w:val="21"/>
                <w:lang w:val="en-US" w:eastAsia="zh-CN"/>
                <w14:textFill>
                  <w14:solidFill>
                    <w14:schemeClr w14:val="tx1"/>
                  </w14:solidFill>
                </w14:textFill>
              </w:rPr>
            </w:pPr>
          </w:p>
          <w:p w14:paraId="5C992E84">
            <w:pPr>
              <w:pStyle w:val="129"/>
              <w:keepNext w:val="0"/>
              <w:keepLines w:val="0"/>
              <w:pageBreakBefore w:val="0"/>
              <w:widowControl w:val="0"/>
              <w:kinsoku/>
              <w:wordWrap w:val="0"/>
              <w:overflowPunct/>
              <w:topLinePunct/>
              <w:autoSpaceDE/>
              <w:autoSpaceDN/>
              <w:bidi w:val="0"/>
              <w:ind w:firstLine="0" w:firstLineChars="0"/>
              <w:rPr>
                <w:rFonts w:hint="eastAsia" w:cs="Times New Roman"/>
                <w:color w:val="000000" w:themeColor="text1"/>
                <w:sz w:val="21"/>
                <w:szCs w:val="21"/>
                <w:lang w:val="en-US" w:eastAsia="zh-CN"/>
                <w14:textFill>
                  <w14:solidFill>
                    <w14:schemeClr w14:val="tx1"/>
                  </w14:solidFill>
                </w14:textFill>
              </w:rPr>
            </w:pPr>
          </w:p>
          <w:p w14:paraId="3E72BDF2">
            <w:pPr>
              <w:pStyle w:val="129"/>
              <w:keepNext w:val="0"/>
              <w:keepLines w:val="0"/>
              <w:pageBreakBefore w:val="0"/>
              <w:widowControl w:val="0"/>
              <w:kinsoku/>
              <w:wordWrap w:val="0"/>
              <w:overflowPunct/>
              <w:topLinePunct/>
              <w:autoSpaceDE/>
              <w:autoSpaceDN/>
              <w:bidi w:val="0"/>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不外排</w:t>
            </w:r>
          </w:p>
        </w:tc>
      </w:tr>
      <w:tr w14:paraId="0420C8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Merge w:val="continue"/>
            <w:vAlign w:val="center"/>
          </w:tcPr>
          <w:p w14:paraId="43E13DFC">
            <w:pPr>
              <w:adjustRightInd w:val="0"/>
              <w:snapToGrid w:val="0"/>
              <w:jc w:val="center"/>
              <w:rPr>
                <w:color w:val="000000" w:themeColor="text1"/>
                <w:szCs w:val="21"/>
                <w14:textFill>
                  <w14:solidFill>
                    <w14:schemeClr w14:val="tx1"/>
                  </w14:solidFill>
                </w14:textFill>
              </w:rPr>
            </w:pPr>
          </w:p>
        </w:tc>
        <w:tc>
          <w:tcPr>
            <w:tcW w:w="863" w:type="dxa"/>
            <w:vMerge w:val="continue"/>
            <w:vAlign w:val="center"/>
          </w:tcPr>
          <w:p w14:paraId="6926DDDF">
            <w:pPr>
              <w:keepNext w:val="0"/>
              <w:keepLines/>
              <w:pageBreakBefore w:val="0"/>
              <w:kinsoku/>
              <w:wordWrap/>
              <w:overflowPunct/>
              <w:topLinePunct w:val="0"/>
              <w:bidi w:val="0"/>
              <w:adjustRightInd/>
              <w:snapToGrid/>
              <w:spacing w:line="240" w:lineRule="auto"/>
              <w:ind w:firstLine="0" w:firstLineChars="0"/>
              <w:jc w:val="center"/>
              <w:textAlignment w:val="auto"/>
              <w:rPr>
                <w:rFonts w:hint="eastAsia" w:eastAsia="宋体"/>
                <w:color w:val="000000" w:themeColor="text1"/>
                <w:sz w:val="21"/>
                <w:szCs w:val="21"/>
                <w:lang w:val="en-US" w:eastAsia="zh-CN"/>
                <w14:textFill>
                  <w14:solidFill>
                    <w14:schemeClr w14:val="tx1"/>
                  </w14:solidFill>
                </w14:textFill>
              </w:rPr>
            </w:pPr>
          </w:p>
        </w:tc>
        <w:tc>
          <w:tcPr>
            <w:tcW w:w="863" w:type="dxa"/>
            <w:vAlign w:val="center"/>
          </w:tcPr>
          <w:p w14:paraId="6DF136C3">
            <w:pPr>
              <w:pStyle w:val="29"/>
              <w:pageBreakBefore w:val="0"/>
              <w:widowControl w:val="0"/>
              <w:kinsoku/>
              <w:overflowPunct/>
              <w:topLinePunct w:val="0"/>
              <w:bidi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锅炉排水</w:t>
            </w:r>
          </w:p>
        </w:tc>
        <w:tc>
          <w:tcPr>
            <w:tcW w:w="1312" w:type="dxa"/>
            <w:vAlign w:val="center"/>
          </w:tcPr>
          <w:p w14:paraId="630F7B0C">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000000" w:themeColor="text1"/>
                <w:kern w:val="0"/>
                <w:sz w:val="18"/>
                <w:szCs w:val="18"/>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SS</w:t>
            </w:r>
          </w:p>
        </w:tc>
        <w:tc>
          <w:tcPr>
            <w:tcW w:w="2899" w:type="dxa"/>
            <w:vAlign w:val="center"/>
          </w:tcPr>
          <w:p w14:paraId="71CC2A9D">
            <w:pPr>
              <w:keepNext w:val="0"/>
              <w:keepLines w:val="0"/>
              <w:pageBreakBefore w:val="0"/>
              <w:kinsoku/>
              <w:wordWrap/>
              <w:overflowPunct/>
              <w:topLinePunct w:val="0"/>
              <w:autoSpaceDE/>
              <w:autoSpaceDN/>
              <w:bidi w:val="0"/>
              <w:adjustRightInd/>
              <w:snapToGrid/>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锅炉排水</w:t>
            </w:r>
            <w:r>
              <w:rPr>
                <w:rFonts w:hint="eastAsia" w:cs="Times New Roman" w:eastAsiaTheme="minorEastAsia"/>
                <w:color w:val="000000" w:themeColor="text1"/>
                <w:sz w:val="21"/>
                <w:szCs w:val="21"/>
                <w:lang w:eastAsia="zh-CN"/>
                <w14:textFill>
                  <w14:solidFill>
                    <w14:schemeClr w14:val="tx1"/>
                  </w14:solidFill>
                </w14:textFill>
              </w:rPr>
              <w:t>经收集处理后回用于厂区洒水降尘</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不外排</w:t>
            </w:r>
            <w:r>
              <w:rPr>
                <w:rFonts w:hint="eastAsia" w:cs="Times New Roman" w:eastAsiaTheme="minorEastAsia"/>
                <w:color w:val="000000" w:themeColor="text1"/>
                <w:sz w:val="21"/>
                <w:szCs w:val="21"/>
                <w:lang w:eastAsia="zh-CN"/>
                <w14:textFill>
                  <w14:solidFill>
                    <w14:schemeClr w14:val="tx1"/>
                  </w14:solidFill>
                </w14:textFill>
              </w:rPr>
              <w:t>。本环评要求设置</w:t>
            </w:r>
            <w:r>
              <w:rPr>
                <w:rFonts w:hint="eastAsia" w:cs="Times New Roman" w:eastAsiaTheme="minorEastAsia"/>
                <w:color w:val="000000" w:themeColor="text1"/>
                <w:sz w:val="21"/>
                <w:szCs w:val="21"/>
                <w:lang w:val="en-US" w:eastAsia="zh-CN"/>
                <w14:textFill>
                  <w14:solidFill>
                    <w14:schemeClr w14:val="tx1"/>
                  </w14:solidFill>
                </w14:textFill>
              </w:rPr>
              <w:t>1个6m</w:t>
            </w:r>
            <w:r>
              <w:rPr>
                <w:rFonts w:hint="eastAsia" w:cs="Times New Roman" w:eastAsiaTheme="minorEastAsia"/>
                <w:color w:val="000000" w:themeColor="text1"/>
                <w:sz w:val="21"/>
                <w:szCs w:val="21"/>
                <w:vertAlign w:val="superscript"/>
                <w:lang w:val="en-US" w:eastAsia="zh-CN"/>
                <w14:textFill>
                  <w14:solidFill>
                    <w14:schemeClr w14:val="tx1"/>
                  </w14:solidFill>
                </w14:textFill>
              </w:rPr>
              <w:t>3</w:t>
            </w:r>
            <w:r>
              <w:rPr>
                <w:rFonts w:hint="eastAsia" w:cs="Times New Roman" w:eastAsiaTheme="minorEastAsia"/>
                <w:color w:val="000000" w:themeColor="text1"/>
                <w:sz w:val="21"/>
                <w:szCs w:val="21"/>
                <w:lang w:val="en-US" w:eastAsia="zh-CN"/>
                <w14:textFill>
                  <w14:solidFill>
                    <w14:schemeClr w14:val="tx1"/>
                  </w14:solidFill>
                </w14:textFill>
              </w:rPr>
              <w:t>废水收集池收集软水废水及锅炉排水，废水经收集后用于厂区洒水降尘。</w:t>
            </w:r>
          </w:p>
        </w:tc>
        <w:tc>
          <w:tcPr>
            <w:tcW w:w="2146" w:type="dxa"/>
            <w:vMerge w:val="continue"/>
            <w:vAlign w:val="center"/>
          </w:tcPr>
          <w:p w14:paraId="138CE125">
            <w:pPr>
              <w:pStyle w:val="129"/>
              <w:keepNext w:val="0"/>
              <w:keepLines w:val="0"/>
              <w:pageBreakBefore w:val="0"/>
              <w:widowControl w:val="0"/>
              <w:kinsoku/>
              <w:wordWrap w:val="0"/>
              <w:overflowPunct/>
              <w:topLinePunct/>
              <w:autoSpaceDE/>
              <w:autoSpaceDN/>
              <w:bidi w:val="0"/>
              <w:ind w:firstLine="0" w:firstLineChars="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14:paraId="415E1C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Merge w:val="continue"/>
            <w:vAlign w:val="center"/>
          </w:tcPr>
          <w:p w14:paraId="65DB534D">
            <w:pPr>
              <w:adjustRightInd w:val="0"/>
              <w:snapToGrid w:val="0"/>
              <w:jc w:val="center"/>
              <w:rPr>
                <w:color w:val="000000" w:themeColor="text1"/>
                <w:szCs w:val="21"/>
                <w14:textFill>
                  <w14:solidFill>
                    <w14:schemeClr w14:val="tx1"/>
                  </w14:solidFill>
                </w14:textFill>
              </w:rPr>
            </w:pPr>
          </w:p>
        </w:tc>
        <w:tc>
          <w:tcPr>
            <w:tcW w:w="863" w:type="dxa"/>
            <w:vMerge w:val="continue"/>
            <w:vAlign w:val="center"/>
          </w:tcPr>
          <w:p w14:paraId="2544D97F">
            <w:pPr>
              <w:keepNext w:val="0"/>
              <w:keepLines/>
              <w:pageBreakBefore w:val="0"/>
              <w:kinsoku/>
              <w:wordWrap/>
              <w:overflowPunct/>
              <w:topLinePunct w:val="0"/>
              <w:bidi w:val="0"/>
              <w:adjustRightInd/>
              <w:snapToGrid/>
              <w:spacing w:line="240" w:lineRule="auto"/>
              <w:ind w:firstLine="0" w:firstLineChars="0"/>
              <w:jc w:val="center"/>
              <w:textAlignment w:val="auto"/>
              <w:rPr>
                <w:rFonts w:hint="eastAsia" w:eastAsia="宋体"/>
                <w:color w:val="000000" w:themeColor="text1"/>
                <w:sz w:val="21"/>
                <w:szCs w:val="21"/>
                <w:lang w:val="en-US" w:eastAsia="zh-CN"/>
                <w14:textFill>
                  <w14:solidFill>
                    <w14:schemeClr w14:val="tx1"/>
                  </w14:solidFill>
                </w14:textFill>
              </w:rPr>
            </w:pPr>
          </w:p>
        </w:tc>
        <w:tc>
          <w:tcPr>
            <w:tcW w:w="863" w:type="dxa"/>
            <w:vAlign w:val="center"/>
          </w:tcPr>
          <w:p w14:paraId="06B54BFD">
            <w:pPr>
              <w:pStyle w:val="29"/>
              <w:pageBreakBefore w:val="0"/>
              <w:widowControl w:val="0"/>
              <w:kinsoku/>
              <w:overflowPunct/>
              <w:topLinePunct w:val="0"/>
              <w:bidi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生产冷凝水</w:t>
            </w:r>
          </w:p>
        </w:tc>
        <w:tc>
          <w:tcPr>
            <w:tcW w:w="1312" w:type="dxa"/>
            <w:vAlign w:val="center"/>
          </w:tcPr>
          <w:p w14:paraId="6C20BDDD">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000000" w:themeColor="text1"/>
                <w:kern w:val="0"/>
                <w:sz w:val="18"/>
                <w:szCs w:val="18"/>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SS</w:t>
            </w:r>
          </w:p>
        </w:tc>
        <w:tc>
          <w:tcPr>
            <w:tcW w:w="2899" w:type="dxa"/>
            <w:vAlign w:val="center"/>
          </w:tcPr>
          <w:p w14:paraId="7E1F771D">
            <w:pPr>
              <w:pStyle w:val="29"/>
              <w:pageBreakBefore w:val="0"/>
              <w:widowControl w:val="0"/>
              <w:kinsoku/>
              <w:overflowPunct/>
              <w:topLinePunct w:val="0"/>
              <w:bidi w:val="0"/>
              <w:spacing w:before="0" w:beforeAutospacing="0" w:after="0" w:afterAutospacing="0"/>
              <w:ind w:left="0" w:leftChars="0" w:right="0" w:rightChars="0"/>
              <w:jc w:val="center"/>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发泡工段蒸汽冷凝水用于</w:t>
            </w:r>
            <w:r>
              <w:rPr>
                <w:rFonts w:hint="eastAsia" w:cs="Times New Roman" w:eastAsiaTheme="minorEastAsia"/>
                <w:color w:val="000000" w:themeColor="text1"/>
                <w:sz w:val="21"/>
                <w:szCs w:val="21"/>
                <w:lang w:eastAsia="zh-CN"/>
                <w14:textFill>
                  <w14:solidFill>
                    <w14:schemeClr w14:val="tx1"/>
                  </w14:solidFill>
                </w14:textFill>
              </w:rPr>
              <w:t>生物质锅炉</w:t>
            </w:r>
            <w:r>
              <w:rPr>
                <w:rFonts w:hint="default" w:ascii="Times New Roman" w:hAnsi="Times New Roman" w:cs="Times New Roman" w:eastAsiaTheme="minorEastAsia"/>
                <w:color w:val="000000" w:themeColor="text1"/>
                <w:sz w:val="21"/>
                <w:szCs w:val="21"/>
                <w14:textFill>
                  <w14:solidFill>
                    <w14:schemeClr w14:val="tx1"/>
                  </w14:solidFill>
                </w14:textFill>
              </w:rPr>
              <w:t>损耗补充水</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不外排</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。冷凝水依托现有1个约400m</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循环池，冷凝水经收集后用于锅炉补水。</w:t>
            </w:r>
          </w:p>
        </w:tc>
        <w:tc>
          <w:tcPr>
            <w:tcW w:w="2146" w:type="dxa"/>
            <w:vMerge w:val="continue"/>
            <w:vAlign w:val="center"/>
          </w:tcPr>
          <w:p w14:paraId="3E6638D0">
            <w:pPr>
              <w:pStyle w:val="129"/>
              <w:keepNext w:val="0"/>
              <w:keepLines w:val="0"/>
              <w:pageBreakBefore w:val="0"/>
              <w:widowControl w:val="0"/>
              <w:kinsoku/>
              <w:wordWrap w:val="0"/>
              <w:overflowPunct/>
              <w:topLinePunct/>
              <w:autoSpaceDE/>
              <w:autoSpaceDN/>
              <w:bidi w:val="0"/>
              <w:ind w:firstLine="0" w:firstLineChars="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14:paraId="6706E5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Merge w:val="continue"/>
            <w:vAlign w:val="center"/>
          </w:tcPr>
          <w:p w14:paraId="5FF6B60C">
            <w:pPr>
              <w:adjustRightInd w:val="0"/>
              <w:snapToGrid w:val="0"/>
              <w:jc w:val="center"/>
              <w:rPr>
                <w:color w:val="000000" w:themeColor="text1"/>
                <w:szCs w:val="21"/>
                <w14:textFill>
                  <w14:solidFill>
                    <w14:schemeClr w14:val="tx1"/>
                  </w14:solidFill>
                </w14:textFill>
              </w:rPr>
            </w:pPr>
          </w:p>
        </w:tc>
        <w:tc>
          <w:tcPr>
            <w:tcW w:w="863" w:type="dxa"/>
            <w:vMerge w:val="continue"/>
            <w:vAlign w:val="center"/>
          </w:tcPr>
          <w:p w14:paraId="2B21F3CA">
            <w:pPr>
              <w:keepNext w:val="0"/>
              <w:keepLines/>
              <w:pageBreakBefore w:val="0"/>
              <w:kinsoku/>
              <w:wordWrap/>
              <w:overflowPunct/>
              <w:topLinePunct w:val="0"/>
              <w:bidi w:val="0"/>
              <w:adjustRightInd/>
              <w:snapToGrid/>
              <w:spacing w:line="240" w:lineRule="auto"/>
              <w:ind w:firstLine="0" w:firstLineChars="0"/>
              <w:jc w:val="center"/>
              <w:textAlignment w:val="auto"/>
              <w:rPr>
                <w:rFonts w:hint="eastAsia" w:eastAsia="宋体"/>
                <w:color w:val="000000" w:themeColor="text1"/>
                <w:sz w:val="21"/>
                <w:szCs w:val="21"/>
                <w:lang w:val="en-US" w:eastAsia="zh-CN"/>
                <w14:textFill>
                  <w14:solidFill>
                    <w14:schemeClr w14:val="tx1"/>
                  </w14:solidFill>
                </w14:textFill>
              </w:rPr>
            </w:pPr>
          </w:p>
        </w:tc>
        <w:tc>
          <w:tcPr>
            <w:tcW w:w="863" w:type="dxa"/>
            <w:vAlign w:val="center"/>
          </w:tcPr>
          <w:p w14:paraId="53A42A3E">
            <w:pPr>
              <w:pStyle w:val="29"/>
              <w:pageBreakBefore w:val="0"/>
              <w:widowControl w:val="0"/>
              <w:kinsoku/>
              <w:overflowPunct/>
              <w:topLinePunct w:val="0"/>
              <w:bidi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压模废水</w:t>
            </w:r>
          </w:p>
        </w:tc>
        <w:tc>
          <w:tcPr>
            <w:tcW w:w="1312" w:type="dxa"/>
            <w:vAlign w:val="center"/>
          </w:tcPr>
          <w:p w14:paraId="23B24CBD">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000000" w:themeColor="text1"/>
                <w:kern w:val="0"/>
                <w:sz w:val="18"/>
                <w:szCs w:val="18"/>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SS</w:t>
            </w:r>
          </w:p>
        </w:tc>
        <w:tc>
          <w:tcPr>
            <w:tcW w:w="2899" w:type="dxa"/>
            <w:vAlign w:val="center"/>
          </w:tcPr>
          <w:p w14:paraId="15A7D87B">
            <w:pPr>
              <w:pStyle w:val="29"/>
              <w:pageBreakBefore w:val="0"/>
              <w:widowControl w:val="0"/>
              <w:kinsoku/>
              <w:overflowPunct/>
              <w:topLinePunct w:val="0"/>
              <w:bidi w:val="0"/>
              <w:spacing w:before="0" w:beforeAutospacing="0" w:after="0" w:afterAutospacing="0"/>
              <w:ind w:left="0" w:leftChars="0" w:right="0" w:rightChars="0"/>
              <w:jc w:val="center"/>
              <w:rPr>
                <w:rFonts w:hint="eastAsia"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压模环节蒸汽加热成型后多余蒸汽排出，自然蒸发。压模废水依托现有1个约1m</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收集池。</w:t>
            </w:r>
          </w:p>
        </w:tc>
        <w:tc>
          <w:tcPr>
            <w:tcW w:w="2146" w:type="dxa"/>
            <w:vMerge w:val="continue"/>
            <w:vAlign w:val="center"/>
          </w:tcPr>
          <w:p w14:paraId="3CB71203">
            <w:pPr>
              <w:pStyle w:val="129"/>
              <w:keepNext w:val="0"/>
              <w:keepLines w:val="0"/>
              <w:pageBreakBefore w:val="0"/>
              <w:widowControl w:val="0"/>
              <w:kinsoku/>
              <w:wordWrap w:val="0"/>
              <w:overflowPunct/>
              <w:topLinePunct/>
              <w:autoSpaceDE/>
              <w:autoSpaceDN/>
              <w:bidi w:val="0"/>
              <w:ind w:firstLine="0" w:firstLineChars="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14:paraId="615311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14:paraId="5601E68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1726" w:type="dxa"/>
            <w:gridSpan w:val="2"/>
            <w:vAlign w:val="center"/>
          </w:tcPr>
          <w:p w14:paraId="1F91007D">
            <w:pPr>
              <w:adjustRightInd w:val="0"/>
              <w:snapToGrid w:val="0"/>
              <w:jc w:val="center"/>
              <w:rPr>
                <w:color w:val="000000" w:themeColor="text1"/>
                <w:szCs w:val="21"/>
                <w14:textFill>
                  <w14:solidFill>
                    <w14:schemeClr w14:val="tx1"/>
                  </w14:solidFill>
                </w14:textFill>
              </w:rPr>
            </w:pPr>
            <w:r>
              <w:rPr>
                <w:rStyle w:val="115"/>
                <w:color w:val="000000" w:themeColor="text1"/>
                <w:szCs w:val="21"/>
                <w14:textFill>
                  <w14:solidFill>
                    <w14:schemeClr w14:val="tx1"/>
                  </w14:solidFill>
                </w14:textFill>
              </w:rPr>
              <w:t>生产设备</w:t>
            </w:r>
          </w:p>
        </w:tc>
        <w:tc>
          <w:tcPr>
            <w:tcW w:w="1312" w:type="dxa"/>
            <w:vAlign w:val="center"/>
          </w:tcPr>
          <w:p w14:paraId="2329B99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Leq（A）</w:t>
            </w:r>
          </w:p>
        </w:tc>
        <w:tc>
          <w:tcPr>
            <w:tcW w:w="2899" w:type="dxa"/>
            <w:vAlign w:val="center"/>
          </w:tcPr>
          <w:p w14:paraId="2DD40065">
            <w:pPr>
              <w:adjustRightInd w:val="0"/>
              <w:snapToGrid w:val="0"/>
              <w:jc w:val="center"/>
              <w:rPr>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项目所有生产设备均置于厂房内，</w:t>
            </w:r>
            <w:r>
              <w:rPr>
                <w:rFonts w:hint="default" w:ascii="Times New Roman" w:hAnsi="Times New Roman" w:cs="Times New Roman"/>
                <w:color w:val="000000" w:themeColor="text1"/>
                <w:sz w:val="21"/>
                <w:szCs w:val="21"/>
                <w14:textFill>
                  <w14:solidFill>
                    <w14:schemeClr w14:val="tx1"/>
                  </w14:solidFill>
                </w14:textFill>
              </w:rPr>
              <w:t>选用低噪设备、安装减震垫、厂房隔音</w:t>
            </w:r>
            <w:r>
              <w:rPr>
                <w:rFonts w:hint="eastAsia" w:cs="Times New Roman"/>
                <w:color w:val="000000" w:themeColor="text1"/>
                <w:sz w:val="21"/>
                <w:szCs w:val="21"/>
                <w:lang w:eastAsia="zh-CN"/>
                <w14:textFill>
                  <w14:solidFill>
                    <w14:schemeClr w14:val="tx1"/>
                  </w14:solidFill>
                </w14:textFill>
              </w:rPr>
              <w:t>。</w:t>
            </w:r>
          </w:p>
        </w:tc>
        <w:tc>
          <w:tcPr>
            <w:tcW w:w="2146" w:type="dxa"/>
            <w:vAlign w:val="center"/>
          </w:tcPr>
          <w:p w14:paraId="74FCA3A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《工业企业厂界环境噪声排放标准》（GB12348-2008）</w:t>
            </w:r>
            <w:r>
              <w:rPr>
                <w:rFonts w:hint="eastAsia"/>
                <w:color w:val="000000" w:themeColor="text1"/>
                <w:szCs w:val="21"/>
                <w:lang w:eastAsia="zh-CN"/>
                <w14:textFill>
                  <w14:solidFill>
                    <w14:schemeClr w14:val="tx1"/>
                  </w14:solidFill>
                </w14:textFill>
              </w:rPr>
              <w:t>3类标准、</w:t>
            </w:r>
            <w:r>
              <w:rPr>
                <w:rFonts w:hint="eastAsia"/>
                <w:color w:val="000000" w:themeColor="text1"/>
                <w:szCs w:val="21"/>
                <w:lang w:val="en-US" w:eastAsia="zh-CN"/>
                <w14:textFill>
                  <w14:solidFill>
                    <w14:schemeClr w14:val="tx1"/>
                  </w14:solidFill>
                </w14:textFill>
              </w:rPr>
              <w:t>4类标准</w:t>
            </w:r>
            <w:r>
              <w:rPr>
                <w:color w:val="000000" w:themeColor="text1"/>
                <w:szCs w:val="21"/>
                <w14:textFill>
                  <w14:solidFill>
                    <w14:schemeClr w14:val="tx1"/>
                  </w14:solidFill>
                </w14:textFill>
              </w:rPr>
              <w:t>。</w:t>
            </w:r>
          </w:p>
        </w:tc>
      </w:tr>
      <w:tr w14:paraId="1F6078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14:paraId="4C402DC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电磁辐射</w:t>
            </w:r>
          </w:p>
        </w:tc>
        <w:tc>
          <w:tcPr>
            <w:tcW w:w="1726" w:type="dxa"/>
            <w:gridSpan w:val="2"/>
            <w:vAlign w:val="center"/>
          </w:tcPr>
          <w:p w14:paraId="028DD33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312" w:type="dxa"/>
            <w:vAlign w:val="center"/>
          </w:tcPr>
          <w:p w14:paraId="34010C8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899" w:type="dxa"/>
            <w:vAlign w:val="center"/>
          </w:tcPr>
          <w:p w14:paraId="581D509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146" w:type="dxa"/>
            <w:vAlign w:val="center"/>
          </w:tcPr>
          <w:p w14:paraId="1DD44E0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678D82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restart"/>
            <w:vAlign w:val="center"/>
          </w:tcPr>
          <w:p w14:paraId="67CE5C0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w:t>
            </w:r>
          </w:p>
        </w:tc>
        <w:tc>
          <w:tcPr>
            <w:tcW w:w="1726" w:type="dxa"/>
            <w:gridSpan w:val="2"/>
            <w:vAlign w:val="center"/>
          </w:tcPr>
          <w:p w14:paraId="7C6BA0B8">
            <w:pPr>
              <w:pStyle w:val="17"/>
              <w:keepNext w:val="0"/>
              <w:keepLines w:val="0"/>
              <w:pageBreakBefore w:val="0"/>
              <w:widowControl w:val="0"/>
              <w:kinsoku/>
              <w:wordWrap w:val="0"/>
              <w:overflowPunct/>
              <w:topLinePunct/>
              <w:autoSpaceDE/>
              <w:autoSpaceDN/>
              <w:bidi w:val="0"/>
              <w:adjustRightInd/>
              <w:ind w:left="0" w:leftChars="0" w:firstLine="0" w:firstLineChars="0"/>
              <w:jc w:val="center"/>
              <w:rPr>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生活垃圾</w:t>
            </w:r>
          </w:p>
        </w:tc>
        <w:tc>
          <w:tcPr>
            <w:tcW w:w="4211" w:type="dxa"/>
            <w:gridSpan w:val="2"/>
            <w:vAlign w:val="center"/>
          </w:tcPr>
          <w:p w14:paraId="1E99E07F">
            <w:pPr>
              <w:pStyle w:val="17"/>
              <w:keepNext w:val="0"/>
              <w:keepLines w:val="0"/>
              <w:pageBreakBefore w:val="0"/>
              <w:widowControl w:val="0"/>
              <w:kinsoku/>
              <w:wordWrap w:val="0"/>
              <w:overflowPunct/>
              <w:topLinePunct/>
              <w:autoSpaceDE/>
              <w:autoSpaceDN/>
              <w:bidi w:val="0"/>
              <w:adjustRightInd/>
              <w:ind w:left="0" w:leftChars="0" w:firstLine="0" w:firstLineChars="0"/>
              <w:jc w:val="center"/>
              <w:rPr>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项目生活垃圾</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经</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垃圾收集桶收集后运至周边生活垃圾收集点，</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由环卫部门清运处置</w:t>
            </w:r>
          </w:p>
        </w:tc>
        <w:tc>
          <w:tcPr>
            <w:tcW w:w="2146" w:type="dxa"/>
            <w:vMerge w:val="restart"/>
            <w:vAlign w:val="center"/>
          </w:tcPr>
          <w:p w14:paraId="0676273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100%处置</w:t>
            </w:r>
          </w:p>
        </w:tc>
      </w:tr>
      <w:tr w14:paraId="42C471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continue"/>
            <w:vAlign w:val="center"/>
          </w:tcPr>
          <w:p w14:paraId="18CA90A5">
            <w:pPr>
              <w:adjustRightInd w:val="0"/>
              <w:snapToGrid w:val="0"/>
              <w:jc w:val="center"/>
              <w:rPr>
                <w:color w:val="000000" w:themeColor="text1"/>
                <w:szCs w:val="21"/>
                <w14:textFill>
                  <w14:solidFill>
                    <w14:schemeClr w14:val="tx1"/>
                  </w14:solidFill>
                </w14:textFill>
              </w:rPr>
            </w:pPr>
          </w:p>
        </w:tc>
        <w:tc>
          <w:tcPr>
            <w:tcW w:w="1726" w:type="dxa"/>
            <w:gridSpan w:val="2"/>
            <w:vAlign w:val="center"/>
          </w:tcPr>
          <w:p w14:paraId="6DC5FA0F">
            <w:pPr>
              <w:pStyle w:val="17"/>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生活污水处理设施污泥</w:t>
            </w:r>
          </w:p>
        </w:tc>
        <w:tc>
          <w:tcPr>
            <w:tcW w:w="4211" w:type="dxa"/>
            <w:gridSpan w:val="2"/>
            <w:vAlign w:val="center"/>
          </w:tcPr>
          <w:p w14:paraId="674EE45D">
            <w:pPr>
              <w:pStyle w:val="17"/>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污泥委托环卫部门清运处置。</w:t>
            </w:r>
          </w:p>
        </w:tc>
        <w:tc>
          <w:tcPr>
            <w:tcW w:w="2146" w:type="dxa"/>
            <w:vMerge w:val="continue"/>
            <w:vAlign w:val="center"/>
          </w:tcPr>
          <w:p w14:paraId="0BAFD382">
            <w:pPr>
              <w:adjustRightInd w:val="0"/>
              <w:snapToGrid w:val="0"/>
              <w:jc w:val="center"/>
              <w:rPr>
                <w:color w:val="000000" w:themeColor="text1"/>
                <w:szCs w:val="21"/>
                <w14:textFill>
                  <w14:solidFill>
                    <w14:schemeClr w14:val="tx1"/>
                  </w14:solidFill>
                </w14:textFill>
              </w:rPr>
            </w:pPr>
          </w:p>
        </w:tc>
      </w:tr>
      <w:tr w14:paraId="582BE5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continue"/>
            <w:vAlign w:val="center"/>
          </w:tcPr>
          <w:p w14:paraId="3571F43F">
            <w:pPr>
              <w:adjustRightInd w:val="0"/>
              <w:snapToGrid w:val="0"/>
              <w:jc w:val="center"/>
              <w:rPr>
                <w:color w:val="000000" w:themeColor="text1"/>
                <w:szCs w:val="21"/>
                <w14:textFill>
                  <w14:solidFill>
                    <w14:schemeClr w14:val="tx1"/>
                  </w14:solidFill>
                </w14:textFill>
              </w:rPr>
            </w:pPr>
          </w:p>
        </w:tc>
        <w:tc>
          <w:tcPr>
            <w:tcW w:w="1726" w:type="dxa"/>
            <w:gridSpan w:val="2"/>
            <w:vAlign w:val="center"/>
          </w:tcPr>
          <w:p w14:paraId="0C0E6283">
            <w:pPr>
              <w:pStyle w:val="17"/>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废包装材料</w:t>
            </w:r>
          </w:p>
        </w:tc>
        <w:tc>
          <w:tcPr>
            <w:tcW w:w="4211" w:type="dxa"/>
            <w:gridSpan w:val="2"/>
            <w:vMerge w:val="restart"/>
            <w:vAlign w:val="center"/>
          </w:tcPr>
          <w:p w14:paraId="6FB78094">
            <w:pPr>
              <w:pStyle w:val="17"/>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设置1个约5m</w:t>
            </w:r>
            <w:r>
              <w:rPr>
                <w:rFonts w:hint="eastAsia" w:ascii="Times New Roman" w:hAnsi="Times New Roman" w:cs="Times New Roman"/>
                <w:color w:val="000000" w:themeColor="text1"/>
                <w:vertAlign w:val="superscript"/>
                <w:lang w:val="en-US" w:eastAsia="zh-CN"/>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一般固废暂存区，一般固废暂存于一般固废暂存区，</w:t>
            </w:r>
            <w:r>
              <w:rPr>
                <w:rFonts w:hint="eastAsia" w:ascii="Times New Roman" w:hAnsi="Times New Roman" w:eastAsia="宋体" w:cs="Times New Roman"/>
                <w:color w:val="000000" w:themeColor="text1"/>
                <w:lang w:val="en-US" w:eastAsia="zh-CN"/>
                <w14:textFill>
                  <w14:solidFill>
                    <w14:schemeClr w14:val="tx1"/>
                  </w14:solidFill>
                </w14:textFill>
              </w:rPr>
              <w:t>定期外售至周边废品回收站进行资源化利用</w:t>
            </w:r>
          </w:p>
        </w:tc>
        <w:tc>
          <w:tcPr>
            <w:tcW w:w="2146" w:type="dxa"/>
            <w:vMerge w:val="continue"/>
            <w:vAlign w:val="center"/>
          </w:tcPr>
          <w:p w14:paraId="25D098A3">
            <w:pPr>
              <w:adjustRightInd w:val="0"/>
              <w:snapToGrid w:val="0"/>
              <w:jc w:val="center"/>
              <w:rPr>
                <w:color w:val="000000" w:themeColor="text1"/>
                <w:szCs w:val="21"/>
                <w14:textFill>
                  <w14:solidFill>
                    <w14:schemeClr w14:val="tx1"/>
                  </w14:solidFill>
                </w14:textFill>
              </w:rPr>
            </w:pPr>
          </w:p>
        </w:tc>
      </w:tr>
      <w:tr w14:paraId="2D2BD9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continue"/>
            <w:vAlign w:val="center"/>
          </w:tcPr>
          <w:p w14:paraId="70C103EA">
            <w:pPr>
              <w:adjustRightInd w:val="0"/>
              <w:snapToGrid w:val="0"/>
              <w:jc w:val="center"/>
              <w:rPr>
                <w:color w:val="000000" w:themeColor="text1"/>
                <w:szCs w:val="21"/>
                <w14:textFill>
                  <w14:solidFill>
                    <w14:schemeClr w14:val="tx1"/>
                  </w14:solidFill>
                </w14:textFill>
              </w:rPr>
            </w:pPr>
          </w:p>
        </w:tc>
        <w:tc>
          <w:tcPr>
            <w:tcW w:w="1726" w:type="dxa"/>
            <w:gridSpan w:val="2"/>
            <w:vAlign w:val="center"/>
          </w:tcPr>
          <w:p w14:paraId="2B03907B">
            <w:pPr>
              <w:pStyle w:val="17"/>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不合格品</w:t>
            </w:r>
          </w:p>
        </w:tc>
        <w:tc>
          <w:tcPr>
            <w:tcW w:w="4211" w:type="dxa"/>
            <w:gridSpan w:val="2"/>
            <w:vMerge w:val="continue"/>
            <w:vAlign w:val="center"/>
          </w:tcPr>
          <w:p w14:paraId="33AF43CA">
            <w:pPr>
              <w:pStyle w:val="17"/>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146" w:type="dxa"/>
            <w:vMerge w:val="continue"/>
            <w:vAlign w:val="center"/>
          </w:tcPr>
          <w:p w14:paraId="2EA08E06">
            <w:pPr>
              <w:adjustRightInd w:val="0"/>
              <w:snapToGrid w:val="0"/>
              <w:jc w:val="center"/>
              <w:rPr>
                <w:color w:val="000000" w:themeColor="text1"/>
                <w:szCs w:val="21"/>
                <w14:textFill>
                  <w14:solidFill>
                    <w14:schemeClr w14:val="tx1"/>
                  </w14:solidFill>
                </w14:textFill>
              </w:rPr>
            </w:pPr>
          </w:p>
        </w:tc>
      </w:tr>
      <w:tr w14:paraId="2B0B47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continue"/>
            <w:vAlign w:val="center"/>
          </w:tcPr>
          <w:p w14:paraId="67A8033F">
            <w:pPr>
              <w:adjustRightInd w:val="0"/>
              <w:snapToGrid w:val="0"/>
              <w:jc w:val="center"/>
              <w:rPr>
                <w:color w:val="000000" w:themeColor="text1"/>
                <w:szCs w:val="21"/>
                <w14:textFill>
                  <w14:solidFill>
                    <w14:schemeClr w14:val="tx1"/>
                  </w14:solidFill>
                </w14:textFill>
              </w:rPr>
            </w:pPr>
          </w:p>
        </w:tc>
        <w:tc>
          <w:tcPr>
            <w:tcW w:w="1726" w:type="dxa"/>
            <w:gridSpan w:val="2"/>
            <w:vAlign w:val="center"/>
          </w:tcPr>
          <w:p w14:paraId="79BD5B62">
            <w:pPr>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锅炉</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炉渣</w:t>
            </w:r>
          </w:p>
        </w:tc>
        <w:tc>
          <w:tcPr>
            <w:tcW w:w="4211" w:type="dxa"/>
            <w:gridSpan w:val="2"/>
            <w:vMerge w:val="restart"/>
            <w:vAlign w:val="center"/>
          </w:tcPr>
          <w:p w14:paraId="79D6C854">
            <w:pPr>
              <w:pStyle w:val="17"/>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生物质锅炉</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炉渣</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、布袋除尘灰</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定期清理袋装后暂存于</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1间10m</w:t>
            </w:r>
            <w:r>
              <w:rPr>
                <w:rFonts w:hint="eastAsia"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堆渣棚</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内，</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作为原料外售其他企业进行综合利用</w:t>
            </w:r>
          </w:p>
        </w:tc>
        <w:tc>
          <w:tcPr>
            <w:tcW w:w="2146" w:type="dxa"/>
            <w:vMerge w:val="continue"/>
            <w:vAlign w:val="center"/>
          </w:tcPr>
          <w:p w14:paraId="2728D2D4">
            <w:pPr>
              <w:adjustRightInd w:val="0"/>
              <w:snapToGrid w:val="0"/>
              <w:jc w:val="center"/>
              <w:rPr>
                <w:color w:val="000000" w:themeColor="text1"/>
                <w:szCs w:val="21"/>
                <w14:textFill>
                  <w14:solidFill>
                    <w14:schemeClr w14:val="tx1"/>
                  </w14:solidFill>
                </w14:textFill>
              </w:rPr>
            </w:pPr>
          </w:p>
        </w:tc>
      </w:tr>
      <w:tr w14:paraId="1B147E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continue"/>
            <w:vAlign w:val="center"/>
          </w:tcPr>
          <w:p w14:paraId="03376F5E">
            <w:pPr>
              <w:adjustRightInd w:val="0"/>
              <w:snapToGrid w:val="0"/>
              <w:jc w:val="center"/>
              <w:rPr>
                <w:color w:val="000000" w:themeColor="text1"/>
                <w:szCs w:val="21"/>
                <w14:textFill>
                  <w14:solidFill>
                    <w14:schemeClr w14:val="tx1"/>
                  </w14:solidFill>
                </w14:textFill>
              </w:rPr>
            </w:pPr>
          </w:p>
        </w:tc>
        <w:tc>
          <w:tcPr>
            <w:tcW w:w="1726" w:type="dxa"/>
            <w:gridSpan w:val="2"/>
            <w:vAlign w:val="center"/>
          </w:tcPr>
          <w:p w14:paraId="4567874B">
            <w:pPr>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除尘灰</w:t>
            </w:r>
          </w:p>
        </w:tc>
        <w:tc>
          <w:tcPr>
            <w:tcW w:w="4211" w:type="dxa"/>
            <w:gridSpan w:val="2"/>
            <w:vMerge w:val="continue"/>
            <w:vAlign w:val="center"/>
          </w:tcPr>
          <w:p w14:paraId="7FD36D65">
            <w:pPr>
              <w:pStyle w:val="17"/>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146" w:type="dxa"/>
            <w:vMerge w:val="continue"/>
            <w:vAlign w:val="center"/>
          </w:tcPr>
          <w:p w14:paraId="539167EF">
            <w:pPr>
              <w:adjustRightInd w:val="0"/>
              <w:snapToGrid w:val="0"/>
              <w:jc w:val="center"/>
              <w:rPr>
                <w:color w:val="000000" w:themeColor="text1"/>
                <w:szCs w:val="21"/>
                <w14:textFill>
                  <w14:solidFill>
                    <w14:schemeClr w14:val="tx1"/>
                  </w14:solidFill>
                </w14:textFill>
              </w:rPr>
            </w:pPr>
          </w:p>
        </w:tc>
      </w:tr>
      <w:tr w14:paraId="72A65F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continue"/>
            <w:vAlign w:val="center"/>
          </w:tcPr>
          <w:p w14:paraId="3E759865">
            <w:pPr>
              <w:adjustRightInd w:val="0"/>
              <w:snapToGrid w:val="0"/>
              <w:jc w:val="center"/>
              <w:rPr>
                <w:color w:val="000000" w:themeColor="text1"/>
                <w:szCs w:val="21"/>
                <w14:textFill>
                  <w14:solidFill>
                    <w14:schemeClr w14:val="tx1"/>
                  </w14:solidFill>
                </w14:textFill>
              </w:rPr>
            </w:pPr>
          </w:p>
        </w:tc>
        <w:tc>
          <w:tcPr>
            <w:tcW w:w="1726" w:type="dxa"/>
            <w:gridSpan w:val="2"/>
            <w:vAlign w:val="center"/>
          </w:tcPr>
          <w:p w14:paraId="2B14FB82">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废布袋</w:t>
            </w:r>
          </w:p>
        </w:tc>
        <w:tc>
          <w:tcPr>
            <w:tcW w:w="4211" w:type="dxa"/>
            <w:gridSpan w:val="2"/>
            <w:vAlign w:val="center"/>
          </w:tcPr>
          <w:p w14:paraId="3888FA6C">
            <w:pPr>
              <w:pStyle w:val="17"/>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一般固废暂存于一般固废暂存区，</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统一收集后外售</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废品回收站</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处置</w:t>
            </w:r>
          </w:p>
        </w:tc>
        <w:tc>
          <w:tcPr>
            <w:tcW w:w="2146" w:type="dxa"/>
            <w:vMerge w:val="continue"/>
            <w:vAlign w:val="center"/>
          </w:tcPr>
          <w:p w14:paraId="17E66683">
            <w:pPr>
              <w:adjustRightInd w:val="0"/>
              <w:snapToGrid w:val="0"/>
              <w:jc w:val="center"/>
              <w:rPr>
                <w:color w:val="000000" w:themeColor="text1"/>
                <w:szCs w:val="21"/>
                <w14:textFill>
                  <w14:solidFill>
                    <w14:schemeClr w14:val="tx1"/>
                  </w14:solidFill>
                </w14:textFill>
              </w:rPr>
            </w:pPr>
          </w:p>
        </w:tc>
      </w:tr>
      <w:tr w14:paraId="27392A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continue"/>
            <w:vAlign w:val="center"/>
          </w:tcPr>
          <w:p w14:paraId="45EB47DE">
            <w:pPr>
              <w:adjustRightInd w:val="0"/>
              <w:snapToGrid w:val="0"/>
              <w:jc w:val="center"/>
              <w:rPr>
                <w:color w:val="000000" w:themeColor="text1"/>
                <w:szCs w:val="21"/>
                <w14:textFill>
                  <w14:solidFill>
                    <w14:schemeClr w14:val="tx1"/>
                  </w14:solidFill>
                </w14:textFill>
              </w:rPr>
            </w:pPr>
          </w:p>
        </w:tc>
        <w:tc>
          <w:tcPr>
            <w:tcW w:w="1726" w:type="dxa"/>
            <w:gridSpan w:val="2"/>
            <w:vAlign w:val="center"/>
          </w:tcPr>
          <w:p w14:paraId="11A58BE7">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废离子交换树脂</w:t>
            </w:r>
          </w:p>
        </w:tc>
        <w:tc>
          <w:tcPr>
            <w:tcW w:w="4211" w:type="dxa"/>
            <w:gridSpan w:val="2"/>
            <w:vAlign w:val="center"/>
          </w:tcPr>
          <w:p w14:paraId="6F3338CA">
            <w:pPr>
              <w:pStyle w:val="17"/>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由厂家直接回收，不在厂内暂存</w:t>
            </w:r>
          </w:p>
        </w:tc>
        <w:tc>
          <w:tcPr>
            <w:tcW w:w="2146" w:type="dxa"/>
            <w:vMerge w:val="continue"/>
            <w:vAlign w:val="center"/>
          </w:tcPr>
          <w:p w14:paraId="1AB8333B">
            <w:pPr>
              <w:adjustRightInd w:val="0"/>
              <w:snapToGrid w:val="0"/>
              <w:jc w:val="center"/>
              <w:rPr>
                <w:color w:val="000000" w:themeColor="text1"/>
                <w:szCs w:val="21"/>
                <w14:textFill>
                  <w14:solidFill>
                    <w14:schemeClr w14:val="tx1"/>
                  </w14:solidFill>
                </w14:textFill>
              </w:rPr>
            </w:pPr>
          </w:p>
        </w:tc>
      </w:tr>
      <w:tr w14:paraId="61226F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continue"/>
            <w:vAlign w:val="center"/>
          </w:tcPr>
          <w:p w14:paraId="6F7F92C7">
            <w:pPr>
              <w:adjustRightInd w:val="0"/>
              <w:snapToGrid w:val="0"/>
              <w:jc w:val="center"/>
              <w:rPr>
                <w:color w:val="000000" w:themeColor="text1"/>
                <w:szCs w:val="21"/>
                <w14:textFill>
                  <w14:solidFill>
                    <w14:schemeClr w14:val="tx1"/>
                  </w14:solidFill>
                </w14:textFill>
              </w:rPr>
            </w:pPr>
          </w:p>
        </w:tc>
        <w:tc>
          <w:tcPr>
            <w:tcW w:w="1726" w:type="dxa"/>
            <w:gridSpan w:val="2"/>
            <w:vAlign w:val="center"/>
          </w:tcPr>
          <w:p w14:paraId="031B3530">
            <w:pPr>
              <w:pStyle w:val="17"/>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废机油</w:t>
            </w:r>
          </w:p>
        </w:tc>
        <w:tc>
          <w:tcPr>
            <w:tcW w:w="4211" w:type="dxa"/>
            <w:gridSpan w:val="2"/>
            <w:vMerge w:val="restart"/>
            <w:vAlign w:val="center"/>
          </w:tcPr>
          <w:p w14:paraId="70B84D50">
            <w:pPr>
              <w:pStyle w:val="17"/>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设置有1间5m</w:t>
            </w:r>
            <w:r>
              <w:rPr>
                <w:rFonts w:hint="eastAsia" w:ascii="Times New Roman" w:hAnsi="Times New Roman" w:cs="Times New Roman"/>
                <w:b w:val="0"/>
                <w:bCs w:val="0"/>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危废贮存库，危险废物</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分类</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收集后</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分类</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暂存于</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危废贮存库</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，定期委托</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有资质单位</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清运处置</w:t>
            </w:r>
          </w:p>
        </w:tc>
        <w:tc>
          <w:tcPr>
            <w:tcW w:w="2146" w:type="dxa"/>
            <w:vMerge w:val="continue"/>
            <w:vAlign w:val="center"/>
          </w:tcPr>
          <w:p w14:paraId="0FE48203">
            <w:pPr>
              <w:adjustRightInd w:val="0"/>
              <w:snapToGrid w:val="0"/>
              <w:jc w:val="center"/>
              <w:rPr>
                <w:color w:val="000000" w:themeColor="text1"/>
                <w:szCs w:val="21"/>
                <w14:textFill>
                  <w14:solidFill>
                    <w14:schemeClr w14:val="tx1"/>
                  </w14:solidFill>
                </w14:textFill>
              </w:rPr>
            </w:pPr>
          </w:p>
        </w:tc>
      </w:tr>
      <w:tr w14:paraId="6327AB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continue"/>
            <w:vAlign w:val="center"/>
          </w:tcPr>
          <w:p w14:paraId="55E9C02D">
            <w:pPr>
              <w:adjustRightInd w:val="0"/>
              <w:snapToGrid w:val="0"/>
              <w:jc w:val="center"/>
              <w:rPr>
                <w:color w:val="000000" w:themeColor="text1"/>
                <w:szCs w:val="21"/>
                <w14:textFill>
                  <w14:solidFill>
                    <w14:schemeClr w14:val="tx1"/>
                  </w14:solidFill>
                </w14:textFill>
              </w:rPr>
            </w:pPr>
          </w:p>
        </w:tc>
        <w:tc>
          <w:tcPr>
            <w:tcW w:w="1726" w:type="dxa"/>
            <w:gridSpan w:val="2"/>
            <w:vAlign w:val="center"/>
          </w:tcPr>
          <w:p w14:paraId="2169F339">
            <w:pPr>
              <w:pStyle w:val="17"/>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废活性炭</w:t>
            </w:r>
          </w:p>
        </w:tc>
        <w:tc>
          <w:tcPr>
            <w:tcW w:w="4211" w:type="dxa"/>
            <w:gridSpan w:val="2"/>
            <w:vMerge w:val="continue"/>
            <w:vAlign w:val="center"/>
          </w:tcPr>
          <w:p w14:paraId="67A1B88E">
            <w:pPr>
              <w:pStyle w:val="17"/>
              <w:keepNext w:val="0"/>
              <w:keepLines w:val="0"/>
              <w:pageBreakBefore w:val="0"/>
              <w:widowControl w:val="0"/>
              <w:kinsoku/>
              <w:wordWrap w:val="0"/>
              <w:overflowPunct/>
              <w:topLinePunct/>
              <w:autoSpaceDE/>
              <w:autoSpaceDN/>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146" w:type="dxa"/>
            <w:vMerge w:val="continue"/>
            <w:vAlign w:val="center"/>
          </w:tcPr>
          <w:p w14:paraId="52B46AB0">
            <w:pPr>
              <w:adjustRightInd w:val="0"/>
              <w:snapToGrid w:val="0"/>
              <w:jc w:val="center"/>
              <w:rPr>
                <w:color w:val="000000" w:themeColor="text1"/>
                <w:szCs w:val="21"/>
                <w14:textFill>
                  <w14:solidFill>
                    <w14:schemeClr w14:val="tx1"/>
                  </w14:solidFill>
                </w14:textFill>
              </w:rPr>
            </w:pPr>
          </w:p>
        </w:tc>
      </w:tr>
      <w:tr w14:paraId="31895C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14:paraId="4496E80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土壤及地下水污染防治措施</w:t>
            </w:r>
          </w:p>
        </w:tc>
        <w:tc>
          <w:tcPr>
            <w:tcW w:w="8083" w:type="dxa"/>
            <w:gridSpan w:val="5"/>
            <w:vAlign w:val="center"/>
          </w:tcPr>
          <w:p w14:paraId="16CC9A4E">
            <w:pPr>
              <w:kinsoku/>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000000" w:themeColor="text1"/>
                <w:sz w:val="21"/>
                <w:szCs w:val="21"/>
                <w:lang w:eastAsia="zh-CN"/>
                <w14:textFill>
                  <w14:solidFill>
                    <w14:schemeClr w14:val="tx1"/>
                  </w14:solidFill>
                </w14:textFill>
              </w:rPr>
            </w:pPr>
            <w:r>
              <w:rPr>
                <w:rFonts w:hint="eastAsia" w:cs="Times New Roman"/>
                <w:b w:val="0"/>
                <w:bCs w:val="0"/>
                <w:color w:val="000000" w:themeColor="text1"/>
                <w:sz w:val="21"/>
                <w:szCs w:val="21"/>
                <w:lang w:eastAsia="zh-CN"/>
                <w14:textFill>
                  <w14:solidFill>
                    <w14:schemeClr w14:val="tx1"/>
                  </w14:solidFill>
                </w14:textFill>
              </w:rPr>
              <w:t>①本次新增3m</w:t>
            </w:r>
            <w:r>
              <w:rPr>
                <w:rFonts w:hint="eastAsia" w:cs="Times New Roman"/>
                <w:b w:val="0"/>
                <w:bCs w:val="0"/>
                <w:color w:val="000000" w:themeColor="text1"/>
                <w:sz w:val="21"/>
                <w:szCs w:val="21"/>
                <w:vertAlign w:val="superscript"/>
                <w:lang w:eastAsia="zh-CN"/>
                <w14:textFill>
                  <w14:solidFill>
                    <w14:schemeClr w14:val="tx1"/>
                  </w14:solidFill>
                </w14:textFill>
              </w:rPr>
              <w:t>2</w:t>
            </w:r>
            <w:r>
              <w:rPr>
                <w:rFonts w:hint="eastAsia" w:cs="Times New Roman"/>
                <w:b w:val="0"/>
                <w:bCs w:val="0"/>
                <w:color w:val="000000" w:themeColor="text1"/>
                <w:sz w:val="21"/>
                <w:szCs w:val="21"/>
                <w:lang w:eastAsia="zh-CN"/>
                <w14:textFill>
                  <w14:solidFill>
                    <w14:schemeClr w14:val="tx1"/>
                  </w14:solidFill>
                </w14:textFill>
              </w:rPr>
              <w:t>废水物料暂存区作为重点防渗区，危废贮存库进行修缮。危废贮存库</w:t>
            </w:r>
            <w:r>
              <w:rPr>
                <w:rFonts w:hint="default" w:ascii="Times New Roman" w:hAnsi="Times New Roman" w:cs="Times New Roman"/>
                <w:color w:val="000000" w:themeColor="text1"/>
                <w:sz w:val="21"/>
                <w:szCs w:val="21"/>
                <w:lang w:eastAsia="zh-CN"/>
                <w14:textFill>
                  <w14:solidFill>
                    <w14:schemeClr w14:val="tx1"/>
                  </w14:solidFill>
                </w14:textFill>
              </w:rPr>
              <w:t>区域</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参照执行《危险废物贮存污染控制标准》（GB18597-20</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23</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）相关要求，防渗层为至少1 m厚黏土层（渗透系数不大于10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cm/s），或至少2 mm厚高密度聚乙烯膜等人工防渗材料（渗透系数不大于10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cm/s）。</w:t>
            </w:r>
            <w:r>
              <w:rPr>
                <w:rFonts w:hint="eastAsia" w:cs="Times New Roman"/>
                <w:color w:val="000000" w:themeColor="text1"/>
                <w:szCs w:val="21"/>
                <w:lang w:eastAsia="zh-CN"/>
                <w14:textFill>
                  <w14:solidFill>
                    <w14:schemeClr w14:val="tx1"/>
                  </w14:solidFill>
                </w14:textFill>
              </w:rPr>
              <w:t>废水处理物料暂存区参照</w:t>
            </w:r>
            <w:r>
              <w:rPr>
                <w:rFonts w:hint="eastAsia" w:ascii="Times New Roman" w:hAnsi="Times New Roman" w:eastAsia="宋体" w:cs="Times New Roman"/>
                <w:color w:val="000000" w:themeColor="text1"/>
                <w:sz w:val="21"/>
                <w:szCs w:val="21"/>
                <w14:textFill>
                  <w14:solidFill>
                    <w14:schemeClr w14:val="tx1"/>
                  </w14:solidFill>
                </w14:textFill>
              </w:rPr>
              <w:t>《环境影响评价技术导则 地下水环境》（HJ610-2016）中</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重点</w:t>
            </w:r>
            <w:r>
              <w:rPr>
                <w:rFonts w:hint="eastAsia" w:ascii="Times New Roman" w:hAnsi="Times New Roman" w:eastAsia="宋体" w:cs="Times New Roman"/>
                <w:color w:val="000000" w:themeColor="text1"/>
                <w:sz w:val="21"/>
                <w:szCs w:val="21"/>
                <w14:textFill>
                  <w14:solidFill>
                    <w14:schemeClr w14:val="tx1"/>
                  </w14:solidFill>
                </w14:textFill>
              </w:rPr>
              <w:t>防渗区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进行防渗</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等效黏土防渗层 Mb≥6.0m，</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K</w:t>
            </w:r>
            <w:r>
              <w:rPr>
                <w:rFonts w:hint="eastAsia" w:ascii="Times New Roman" w:hAnsi="Times New Roman" w:eastAsia="宋体" w:cs="Times New Roman"/>
                <w:color w:val="000000" w:themeColor="text1"/>
                <w:sz w:val="21"/>
                <w:szCs w:val="21"/>
                <w14:textFill>
                  <w14:solidFill>
                    <w14:schemeClr w14:val="tx1"/>
                  </w14:solidFill>
                </w14:textFill>
              </w:rPr>
              <w:t>&lt;1.0×10</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-7</w:t>
            </w:r>
            <w:r>
              <w:rPr>
                <w:rFonts w:hint="eastAsia" w:ascii="Times New Roman" w:hAnsi="Times New Roman" w:eastAsia="宋体" w:cs="Times New Roman"/>
                <w:color w:val="000000" w:themeColor="text1"/>
                <w:sz w:val="21"/>
                <w:szCs w:val="21"/>
                <w14:textFill>
                  <w14:solidFill>
                    <w14:schemeClr w14:val="tx1"/>
                  </w14:solidFill>
                </w14:textFill>
              </w:rPr>
              <w:t>cm/s</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或参照 GB 18598 执行。</w:t>
            </w:r>
          </w:p>
          <w:p w14:paraId="46ADAFB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color w:val="000000" w:themeColor="text1"/>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②本环评要求锅炉房原有燃煤锅炉拆除、新建生物质锅炉需按照相关要求完善防渗措施。</w:t>
            </w:r>
            <w:r>
              <w:rPr>
                <w:rFonts w:hint="default" w:ascii="Times New Roman" w:hAnsi="Times New Roman" w:cs="Times New Roman"/>
                <w:color w:val="000000" w:themeColor="text1"/>
                <w:sz w:val="21"/>
                <w:szCs w:val="18"/>
                <w:highlight w:val="none"/>
                <w14:textFill>
                  <w14:solidFill>
                    <w14:schemeClr w14:val="tx1"/>
                  </w14:solidFill>
                </w14:textFill>
              </w:rPr>
              <w:t>按照《环境影响评价技术导则 地下水环境》（HJ610-2016）中一般防渗区的防渗要求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进行防渗</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等效黏土防渗层 Mb≥</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color w:val="000000" w:themeColor="text1"/>
                <w:sz w:val="21"/>
                <w:szCs w:val="21"/>
                <w14:textFill>
                  <w14:solidFill>
                    <w14:schemeClr w14:val="tx1"/>
                  </w14:solidFill>
                </w14:textFill>
              </w:rPr>
              <w:t>&lt;1.0×10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cm/s</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或参照GB</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16889</w:t>
            </w:r>
            <w:r>
              <w:rPr>
                <w:rFonts w:hint="default" w:ascii="Times New Roman" w:hAnsi="Times New Roman" w:eastAsia="宋体" w:cs="Times New Roman"/>
                <w:color w:val="000000" w:themeColor="text1"/>
                <w:sz w:val="21"/>
                <w:szCs w:val="21"/>
                <w14:textFill>
                  <w14:solidFill>
                    <w14:schemeClr w14:val="tx1"/>
                  </w14:solidFill>
                </w14:textFill>
              </w:rPr>
              <w:t>执行</w:t>
            </w:r>
            <w:r>
              <w:rPr>
                <w:rFonts w:hint="default" w:ascii="Times New Roman" w:hAnsi="Times New Roman" w:cs="Times New Roman"/>
                <w:color w:val="000000" w:themeColor="text1"/>
                <w:sz w:val="21"/>
                <w:szCs w:val="21"/>
                <w14:textFill>
                  <w14:solidFill>
                    <w14:schemeClr w14:val="tx1"/>
                  </w14:solidFill>
                </w14:textFill>
              </w:rPr>
              <w:t>。</w:t>
            </w:r>
          </w:p>
          <w:p w14:paraId="34A4B32E">
            <w:pPr>
              <w:widowControl/>
              <w:jc w:val="left"/>
              <w:rPr>
                <w:color w:val="000000" w:themeColor="text1"/>
                <w:szCs w:val="21"/>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本次不涉及简单防渗区（办公区、车辆运输道路）；一般防渗区（</w:t>
            </w:r>
            <w:r>
              <w:rPr>
                <w:rFonts w:hint="eastAsia"/>
                <w:color w:val="000000" w:themeColor="text1"/>
                <w14:textFill>
                  <w14:solidFill>
                    <w14:schemeClr w14:val="tx1"/>
                  </w14:solidFill>
                </w14:textFill>
              </w:rPr>
              <w:t>生产</w:t>
            </w:r>
            <w:r>
              <w:rPr>
                <w:rFonts w:hint="eastAsia"/>
                <w:color w:val="000000" w:themeColor="text1"/>
                <w:lang w:eastAsia="zh-CN"/>
                <w14:textFill>
                  <w14:solidFill>
                    <w14:schemeClr w14:val="tx1"/>
                  </w14:solidFill>
                </w14:textFill>
              </w:rPr>
              <w:t>车间、锅炉房、循环池</w:t>
            </w:r>
            <w:r>
              <w:rPr>
                <w:rFonts w:hint="eastAsia" w:eastAsia="宋体" w:cs="Times New Roman"/>
                <w:color w:val="000000" w:themeColor="text1"/>
                <w:sz w:val="21"/>
                <w:szCs w:val="21"/>
                <w:lang w:eastAsia="zh-CN"/>
                <w14:textFill>
                  <w14:solidFill>
                    <w14:schemeClr w14:val="tx1"/>
                  </w14:solidFill>
                </w14:textFill>
              </w:rPr>
              <w:t>）变动</w:t>
            </w:r>
            <w:r>
              <w:rPr>
                <w:rFonts w:hint="eastAsia"/>
                <w:color w:val="000000" w:themeColor="text1"/>
                <w:sz w:val="21"/>
                <w:szCs w:val="21"/>
                <w:lang w:eastAsia="zh-CN"/>
                <w14:textFill>
                  <w14:solidFill>
                    <w14:schemeClr w14:val="tx1"/>
                  </w14:solidFill>
                </w14:textFill>
              </w:rPr>
              <w:t>。</w:t>
            </w:r>
          </w:p>
        </w:tc>
      </w:tr>
      <w:tr w14:paraId="001A4D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14:paraId="6EC5B3C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生态保护措施</w:t>
            </w:r>
          </w:p>
        </w:tc>
        <w:tc>
          <w:tcPr>
            <w:tcW w:w="8083" w:type="dxa"/>
            <w:gridSpan w:val="5"/>
            <w:vAlign w:val="center"/>
          </w:tcPr>
          <w:p w14:paraId="32AB2FAD">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74D538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14:paraId="2FBFEFD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环境风险防范措施</w:t>
            </w:r>
          </w:p>
        </w:tc>
        <w:tc>
          <w:tcPr>
            <w:tcW w:w="8083" w:type="dxa"/>
            <w:gridSpan w:val="5"/>
            <w:vAlign w:val="center"/>
          </w:tcPr>
          <w:p w14:paraId="339BD7D9">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设有1间</w:t>
            </w:r>
            <w:r>
              <w:rPr>
                <w:rFonts w:hint="eastAsia" w:cs="Times New Roman"/>
                <w:color w:val="000000" w:themeColor="text1"/>
                <w:kern w:val="0"/>
                <w:sz w:val="21"/>
                <w:szCs w:val="21"/>
                <w:lang w:eastAsia="zh-CN" w:bidi="ar"/>
                <w14:textFill>
                  <w14:solidFill>
                    <w14:schemeClr w14:val="tx1"/>
                  </w14:solidFill>
                </w14:textFill>
              </w:rPr>
              <w:t>危废贮存库</w:t>
            </w:r>
            <w:r>
              <w:rPr>
                <w:rFonts w:hint="default" w:ascii="Times New Roman" w:hAnsi="Times New Roman" w:eastAsia="宋体" w:cs="Times New Roman"/>
                <w:color w:val="000000" w:themeColor="text1"/>
                <w:kern w:val="0"/>
                <w:sz w:val="21"/>
                <w:szCs w:val="21"/>
                <w:lang w:bidi="ar"/>
                <w14:textFill>
                  <w14:solidFill>
                    <w14:schemeClr w14:val="tx1"/>
                  </w14:solidFill>
                </w14:textFill>
              </w:rPr>
              <w:t>，并设有专用收集容器，用于贮存</w:t>
            </w:r>
            <w:r>
              <w:rPr>
                <w:rFonts w:hint="eastAsia" w:cs="Times New Roman"/>
                <w:color w:val="000000" w:themeColor="text1"/>
                <w:kern w:val="0"/>
                <w:sz w:val="21"/>
                <w:szCs w:val="21"/>
                <w:lang w:eastAsia="zh-CN" w:bidi="ar"/>
                <w14:textFill>
                  <w14:solidFill>
                    <w14:schemeClr w14:val="tx1"/>
                  </w14:solidFill>
                </w14:textFill>
              </w:rPr>
              <w:t>废活性炭、</w:t>
            </w:r>
            <w:r>
              <w:rPr>
                <w:rFonts w:hint="eastAsia" w:ascii="Times New Roman" w:hAnsi="Times New Roman" w:eastAsia="宋体" w:cs="Times New Roman"/>
                <w:color w:val="000000" w:themeColor="text1"/>
                <w:kern w:val="0"/>
                <w:sz w:val="21"/>
                <w:szCs w:val="21"/>
                <w:lang w:eastAsia="zh-CN" w:bidi="ar"/>
                <w14:textFill>
                  <w14:solidFill>
                    <w14:schemeClr w14:val="tx1"/>
                  </w14:solidFill>
                </w14:textFill>
              </w:rPr>
              <w:t>废机油</w:t>
            </w:r>
            <w:r>
              <w:rPr>
                <w:rFonts w:hint="default" w:ascii="Times New Roman" w:hAnsi="Times New Roman" w:eastAsia="宋体" w:cs="Times New Roman"/>
                <w:color w:val="000000" w:themeColor="text1"/>
                <w:kern w:val="0"/>
                <w:sz w:val="21"/>
                <w:szCs w:val="21"/>
                <w:lang w:bidi="ar"/>
                <w14:textFill>
                  <w14:solidFill>
                    <w14:schemeClr w14:val="tx1"/>
                  </w14:solidFill>
                </w14:textFill>
              </w:rPr>
              <w:t>，收集后委托</w:t>
            </w:r>
            <w:r>
              <w:rPr>
                <w:rFonts w:hint="eastAsia" w:ascii="Times New Roman" w:hAnsi="Times New Roman" w:eastAsia="宋体" w:cs="Times New Roman"/>
                <w:color w:val="000000" w:themeColor="text1"/>
                <w:kern w:val="0"/>
                <w:sz w:val="21"/>
                <w:szCs w:val="21"/>
                <w:lang w:eastAsia="zh-CN" w:bidi="ar"/>
                <w14:textFill>
                  <w14:solidFill>
                    <w14:schemeClr w14:val="tx1"/>
                  </w14:solidFill>
                </w14:textFill>
              </w:rPr>
              <w:t>有资质单位</w:t>
            </w:r>
            <w:r>
              <w:rPr>
                <w:rFonts w:hint="default" w:ascii="Times New Roman" w:hAnsi="Times New Roman" w:eastAsia="宋体" w:cs="Times New Roman"/>
                <w:color w:val="000000" w:themeColor="text1"/>
                <w:kern w:val="0"/>
                <w:sz w:val="21"/>
                <w:szCs w:val="21"/>
                <w:lang w:bidi="ar"/>
                <w14:textFill>
                  <w14:solidFill>
                    <w14:schemeClr w14:val="tx1"/>
                  </w14:solidFill>
                </w14:textFill>
              </w:rPr>
              <w:t>处置</w:t>
            </w:r>
            <w:r>
              <w:rPr>
                <w:rFonts w:hint="default" w:ascii="Times New Roman" w:hAnsi="Times New Roman" w:eastAsia="宋体" w:cs="Times New Roman"/>
                <w:bCs/>
                <w:color w:val="000000" w:themeColor="text1"/>
                <w:sz w:val="21"/>
                <w:szCs w:val="21"/>
                <w14:textFill>
                  <w14:solidFill>
                    <w14:schemeClr w14:val="tx1"/>
                  </w14:solidFill>
                </w14:textFill>
              </w:rPr>
              <w:t>。</w:t>
            </w:r>
          </w:p>
          <w:p w14:paraId="6FDDA8F7">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为减少事故发生，必须增加管理力度，提高员工技术水平和安全意识，严格按规范操作，认真落实应急预案。并加强设备检查和维修，减少故障发生，提高企业的应急能力，从而确保生产安全。</w:t>
            </w:r>
          </w:p>
          <w:p w14:paraId="230301B2">
            <w:pPr>
              <w:adjustRightInd w:val="0"/>
              <w:snapToGrid w:val="0"/>
              <w:ind w:firstLine="420" w:firstLineChars="200"/>
              <w:rPr>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根据《关于印发〈突发环境事件应急预案管理暂行办法〉的通知》（环发〔2015〕4号）要求，及时进行</w:t>
            </w:r>
            <w:r>
              <w:rPr>
                <w:rFonts w:hint="default" w:ascii="Times New Roman" w:hAnsi="Times New Roman" w:cs="Times New Roman"/>
                <w:color w:val="000000" w:themeColor="text1"/>
                <w:sz w:val="21"/>
                <w:szCs w:val="21"/>
                <w:lang w:eastAsia="zh-CN"/>
                <w14:textFill>
                  <w14:solidFill>
                    <w14:schemeClr w14:val="tx1"/>
                  </w14:solidFill>
                </w14:textFill>
              </w:rPr>
              <w:t>编制</w:t>
            </w:r>
            <w:r>
              <w:rPr>
                <w:rFonts w:hint="default" w:ascii="Times New Roman" w:hAnsi="Times New Roman" w:cs="Times New Roman"/>
                <w:color w:val="000000" w:themeColor="text1"/>
                <w:sz w:val="21"/>
                <w:szCs w:val="21"/>
                <w14:textFill>
                  <w14:solidFill>
                    <w14:schemeClr w14:val="tx1"/>
                  </w14:solidFill>
                </w14:textFill>
              </w:rPr>
              <w:t>《突发环境事件应急预案》工作并于玉溪市生态环境局</w:t>
            </w:r>
            <w:r>
              <w:rPr>
                <w:rFonts w:hint="eastAsia" w:cs="Times New Roman"/>
                <w:color w:val="000000" w:themeColor="text1"/>
                <w:sz w:val="21"/>
                <w:szCs w:val="21"/>
                <w:lang w:eastAsia="zh-CN"/>
                <w14:textFill>
                  <w14:solidFill>
                    <w14:schemeClr w14:val="tx1"/>
                  </w14:solidFill>
                </w14:textFill>
              </w:rPr>
              <w:t>峨山</w:t>
            </w:r>
            <w:r>
              <w:rPr>
                <w:rFonts w:hint="default" w:ascii="Times New Roman" w:hAnsi="Times New Roman" w:cs="Times New Roman"/>
                <w:color w:val="000000" w:themeColor="text1"/>
                <w:sz w:val="21"/>
                <w:szCs w:val="21"/>
                <w14:textFill>
                  <w14:solidFill>
                    <w14:schemeClr w14:val="tx1"/>
                  </w14:solidFill>
                </w14:textFill>
              </w:rPr>
              <w:t>分局备案；加强应急演练，建立完善应急报告制度，落实应急物资和经费。切实做好环保设施的日常维护和管理，落实环境风险防范措施，杜绝事故性排放。</w:t>
            </w:r>
          </w:p>
        </w:tc>
      </w:tr>
      <w:tr w14:paraId="76F5DC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Align w:val="center"/>
          </w:tcPr>
          <w:p w14:paraId="022F372F">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pacing w:val="-8"/>
                <w:sz w:val="21"/>
                <w:szCs w:val="21"/>
                <w14:textFill>
                  <w14:solidFill>
                    <w14:schemeClr w14:val="tx1"/>
                  </w14:solidFill>
                </w14:textFill>
              </w:rPr>
            </w:pPr>
            <w:r>
              <w:rPr>
                <w:rFonts w:hint="default" w:ascii="Times New Roman" w:hAnsi="Times New Roman" w:cs="Times New Roman"/>
                <w:color w:val="000000" w:themeColor="text1"/>
                <w:spacing w:val="-8"/>
                <w:sz w:val="21"/>
                <w:szCs w:val="21"/>
                <w14:textFill>
                  <w14:solidFill>
                    <w14:schemeClr w14:val="tx1"/>
                  </w14:solidFill>
                </w14:textFill>
              </w:rPr>
              <w:t>其他环境</w:t>
            </w:r>
          </w:p>
          <w:p w14:paraId="6A5FBD78">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pacing w:val="-8"/>
                <w:sz w:val="21"/>
                <w:szCs w:val="21"/>
                <w14:textFill>
                  <w14:solidFill>
                    <w14:schemeClr w14:val="tx1"/>
                  </w14:solidFill>
                </w14:textFill>
              </w:rPr>
            </w:pPr>
            <w:r>
              <w:rPr>
                <w:rFonts w:hint="default" w:ascii="Times New Roman" w:hAnsi="Times New Roman" w:cs="Times New Roman"/>
                <w:color w:val="000000" w:themeColor="text1"/>
                <w:spacing w:val="-8"/>
                <w:sz w:val="21"/>
                <w:szCs w:val="21"/>
                <w14:textFill>
                  <w14:solidFill>
                    <w14:schemeClr w14:val="tx1"/>
                  </w14:solidFill>
                </w14:textFill>
              </w:rPr>
              <w:t>管理要求</w:t>
            </w:r>
          </w:p>
        </w:tc>
        <w:tc>
          <w:tcPr>
            <w:tcW w:w="8083" w:type="dxa"/>
            <w:gridSpan w:val="5"/>
            <w:vAlign w:val="center"/>
          </w:tcPr>
          <w:p w14:paraId="582F637C">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1、环境管理计划</w:t>
            </w:r>
          </w:p>
          <w:p w14:paraId="3F1A0F9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①根据国家环保政策、标准及环境监测要求，制定该项目运行期环境管理规章制度、各种污染物排放指标；②项目建成投产前建设单位应自行组织项目竣工环境保护验收工作，检查环保设施是否达到</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三同时</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要求；③加强环保设施的管理，定期检查厂内环保设施运行情况，及时排除故障，保证环保设施正常运转；④一般固废的收集管理应由专人负责，分类收集；⑤运用经济、教育、行政、法律及其它手段，加强项目区内人员的环保意识，加强环境保护的自觉性，不断提高环境管理水平；⑥按自行监测计划委托有资质单位进行。</w:t>
            </w:r>
          </w:p>
          <w:p w14:paraId="23E8B69F">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2、排污许可证申请</w:t>
            </w:r>
          </w:p>
          <w:p w14:paraId="734E054B">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按照《排污许可管理办法》规定，本项目启动生产设施或者在实际排污之前，需向核发机关提出办理排污许可证的申请，不得无证排污。项目运行后按要求开展自行监测，按时提交执行报告。</w:t>
            </w:r>
          </w:p>
          <w:p w14:paraId="696C678E">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3、严格执行环保</w:t>
            </w:r>
            <w:r>
              <w:rPr>
                <w:rFonts w:hint="eastAsia" w:cs="Times New Roman"/>
                <w:b/>
                <w:color w:val="000000" w:themeColor="text1"/>
                <w:sz w:val="21"/>
                <w:szCs w:val="21"/>
                <w:lang w:eastAsia="zh-CN"/>
                <w14:textFill>
                  <w14:solidFill>
                    <w14:schemeClr w14:val="tx1"/>
                  </w14:solidFill>
                </w14:textFill>
              </w:rPr>
              <w:t>“</w:t>
            </w:r>
            <w:r>
              <w:rPr>
                <w:rFonts w:hint="default" w:ascii="Times New Roman" w:hAnsi="Times New Roman" w:cs="Times New Roman"/>
                <w:b/>
                <w:color w:val="000000" w:themeColor="text1"/>
                <w:sz w:val="21"/>
                <w:szCs w:val="21"/>
                <w14:textFill>
                  <w14:solidFill>
                    <w14:schemeClr w14:val="tx1"/>
                  </w14:solidFill>
                </w14:textFill>
              </w:rPr>
              <w:t>三同时</w:t>
            </w:r>
            <w:r>
              <w:rPr>
                <w:rFonts w:hint="eastAsia" w:cs="Times New Roman"/>
                <w:b/>
                <w:color w:val="000000" w:themeColor="text1"/>
                <w:sz w:val="21"/>
                <w:szCs w:val="21"/>
                <w:lang w:eastAsia="zh-CN"/>
                <w14:textFill>
                  <w14:solidFill>
                    <w14:schemeClr w14:val="tx1"/>
                  </w14:solidFill>
                </w14:textFill>
              </w:rPr>
              <w:t>”</w:t>
            </w:r>
            <w:r>
              <w:rPr>
                <w:rFonts w:hint="default" w:ascii="Times New Roman" w:hAnsi="Times New Roman" w:cs="Times New Roman"/>
                <w:b/>
                <w:color w:val="000000" w:themeColor="text1"/>
                <w:sz w:val="21"/>
                <w:szCs w:val="21"/>
                <w14:textFill>
                  <w14:solidFill>
                    <w14:schemeClr w14:val="tx1"/>
                  </w14:solidFill>
                </w14:textFill>
              </w:rPr>
              <w:t>制度</w:t>
            </w:r>
          </w:p>
          <w:p w14:paraId="5DFDD45C">
            <w:pPr>
              <w:pStyle w:val="1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严格执行环境保护设施与主体工程同时设计、同时施工、同时投产使用的环境保护</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三同时</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制度；项目建成投入运行后，及时报告并按规定自行组织开展竣工环保验收，经验收合格后方可正式投入运营。</w:t>
            </w:r>
          </w:p>
          <w:p w14:paraId="2F3A3451">
            <w:pPr>
              <w:pStyle w:val="1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cs="Times New Roman"/>
                <w:color w:val="000000" w:themeColor="text1"/>
                <w:sz w:val="21"/>
                <w:szCs w:val="21"/>
                <w:lang w:eastAsia="zh-CN"/>
                <w14:textFill>
                  <w14:solidFill>
                    <w14:schemeClr w14:val="tx1"/>
                  </w14:solidFill>
                </w14:textFill>
              </w:rPr>
            </w:pPr>
          </w:p>
          <w:p w14:paraId="76C99158">
            <w:pPr>
              <w:pStyle w:val="1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cs="Times New Roman"/>
                <w:color w:val="000000" w:themeColor="text1"/>
                <w:sz w:val="21"/>
                <w:szCs w:val="21"/>
                <w:lang w:eastAsia="zh-CN"/>
                <w14:textFill>
                  <w14:solidFill>
                    <w14:schemeClr w14:val="tx1"/>
                  </w14:solidFill>
                </w14:textFill>
              </w:rPr>
            </w:pPr>
          </w:p>
          <w:p w14:paraId="53422AB1">
            <w:pPr>
              <w:pStyle w:val="1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cs="Times New Roman"/>
                <w:color w:val="000000" w:themeColor="text1"/>
                <w:sz w:val="21"/>
                <w:szCs w:val="21"/>
                <w:lang w:eastAsia="zh-CN"/>
                <w14:textFill>
                  <w14:solidFill>
                    <w14:schemeClr w14:val="tx1"/>
                  </w14:solidFill>
                </w14:textFill>
              </w:rPr>
            </w:pPr>
          </w:p>
          <w:p w14:paraId="4CB8DE8A">
            <w:pPr>
              <w:pStyle w:val="1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cs="Times New Roman"/>
                <w:color w:val="000000" w:themeColor="text1"/>
                <w:sz w:val="21"/>
                <w:szCs w:val="21"/>
                <w:lang w:eastAsia="zh-CN"/>
                <w14:textFill>
                  <w14:solidFill>
                    <w14:schemeClr w14:val="tx1"/>
                  </w14:solidFill>
                </w14:textFill>
              </w:rPr>
            </w:pPr>
          </w:p>
          <w:p w14:paraId="1734E09E">
            <w:pPr>
              <w:pStyle w:val="1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cs="Times New Roman"/>
                <w:color w:val="000000" w:themeColor="text1"/>
                <w:sz w:val="21"/>
                <w:szCs w:val="21"/>
                <w:lang w:eastAsia="zh-CN"/>
                <w14:textFill>
                  <w14:solidFill>
                    <w14:schemeClr w14:val="tx1"/>
                  </w14:solidFill>
                </w14:textFill>
              </w:rPr>
            </w:pPr>
          </w:p>
          <w:p w14:paraId="425E0166">
            <w:pPr>
              <w:pStyle w:val="1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cs="Times New Roman"/>
                <w:color w:val="000000" w:themeColor="text1"/>
                <w:sz w:val="21"/>
                <w:szCs w:val="21"/>
                <w:lang w:eastAsia="zh-CN"/>
                <w14:textFill>
                  <w14:solidFill>
                    <w14:schemeClr w14:val="tx1"/>
                  </w14:solidFill>
                </w14:textFill>
              </w:rPr>
            </w:pPr>
          </w:p>
          <w:p w14:paraId="01344710">
            <w:pPr>
              <w:pStyle w:val="1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cs="Times New Roman"/>
                <w:color w:val="000000" w:themeColor="text1"/>
                <w:sz w:val="21"/>
                <w:szCs w:val="21"/>
                <w:lang w:eastAsia="zh-CN"/>
                <w14:textFill>
                  <w14:solidFill>
                    <w14:schemeClr w14:val="tx1"/>
                  </w14:solidFill>
                </w14:textFill>
              </w:rPr>
            </w:pPr>
          </w:p>
          <w:p w14:paraId="25A50AED">
            <w:pPr>
              <w:pStyle w:val="1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cs="Times New Roman"/>
                <w:color w:val="000000" w:themeColor="text1"/>
                <w:sz w:val="21"/>
                <w:szCs w:val="21"/>
                <w:lang w:eastAsia="zh-CN"/>
                <w14:textFill>
                  <w14:solidFill>
                    <w14:schemeClr w14:val="tx1"/>
                  </w14:solidFill>
                </w14:textFill>
              </w:rPr>
            </w:pPr>
          </w:p>
          <w:p w14:paraId="71F54E73">
            <w:pPr>
              <w:pStyle w:val="1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cs="Times New Roman"/>
                <w:color w:val="000000" w:themeColor="text1"/>
                <w:sz w:val="21"/>
                <w:szCs w:val="21"/>
                <w:lang w:eastAsia="zh-CN"/>
                <w14:textFill>
                  <w14:solidFill>
                    <w14:schemeClr w14:val="tx1"/>
                  </w14:solidFill>
                </w14:textFill>
              </w:rPr>
            </w:pPr>
          </w:p>
          <w:p w14:paraId="711B8030">
            <w:pPr>
              <w:pStyle w:val="1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cs="Times New Roman"/>
                <w:color w:val="000000" w:themeColor="text1"/>
                <w:sz w:val="21"/>
                <w:szCs w:val="21"/>
                <w:lang w:eastAsia="zh-CN"/>
                <w14:textFill>
                  <w14:solidFill>
                    <w14:schemeClr w14:val="tx1"/>
                  </w14:solidFill>
                </w14:textFill>
              </w:rPr>
            </w:pPr>
          </w:p>
          <w:p w14:paraId="3FC5ABBF">
            <w:pPr>
              <w:pStyle w:val="1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cs="Times New Roman"/>
                <w:color w:val="000000" w:themeColor="text1"/>
                <w:sz w:val="21"/>
                <w:szCs w:val="21"/>
                <w:lang w:eastAsia="zh-CN"/>
                <w14:textFill>
                  <w14:solidFill>
                    <w14:schemeClr w14:val="tx1"/>
                  </w14:solidFill>
                </w14:textFill>
              </w:rPr>
            </w:pPr>
          </w:p>
          <w:p w14:paraId="25C6D612">
            <w:pPr>
              <w:pStyle w:val="1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cs="Times New Roman"/>
                <w:color w:val="000000" w:themeColor="text1"/>
                <w:sz w:val="21"/>
                <w:szCs w:val="21"/>
                <w:lang w:eastAsia="zh-CN"/>
                <w14:textFill>
                  <w14:solidFill>
                    <w14:schemeClr w14:val="tx1"/>
                  </w14:solidFill>
                </w14:textFill>
              </w:rPr>
            </w:pPr>
          </w:p>
          <w:p w14:paraId="5F636FA0">
            <w:pPr>
              <w:pStyle w:val="1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cs="Times New Roman"/>
                <w:color w:val="000000" w:themeColor="text1"/>
                <w:sz w:val="21"/>
                <w:szCs w:val="21"/>
                <w:lang w:eastAsia="zh-CN"/>
                <w14:textFill>
                  <w14:solidFill>
                    <w14:schemeClr w14:val="tx1"/>
                  </w14:solidFill>
                </w14:textFill>
              </w:rPr>
            </w:pPr>
          </w:p>
          <w:p w14:paraId="67BB4BE4">
            <w:pPr>
              <w:pStyle w:val="1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cs="Times New Roman"/>
                <w:color w:val="000000" w:themeColor="text1"/>
                <w:sz w:val="21"/>
                <w:szCs w:val="21"/>
                <w:lang w:eastAsia="zh-CN"/>
                <w14:textFill>
                  <w14:solidFill>
                    <w14:schemeClr w14:val="tx1"/>
                  </w14:solidFill>
                </w14:textFill>
              </w:rPr>
            </w:pPr>
          </w:p>
          <w:p w14:paraId="50CA13B1">
            <w:pPr>
              <w:pStyle w:val="1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br w:type="textWrapping"/>
            </w:r>
            <w:r>
              <w:rPr>
                <w:rFonts w:hint="eastAsia" w:ascii="Times New Roman" w:hAnsi="Times New Roman" w:cs="Times New Roman"/>
                <w:color w:val="000000" w:themeColor="text1"/>
                <w:sz w:val="21"/>
                <w:szCs w:val="21"/>
                <w:lang w:eastAsia="zh-CN"/>
                <w14:textFill>
                  <w14:solidFill>
                    <w14:schemeClr w14:val="tx1"/>
                  </w14:solidFill>
                </w14:textFill>
              </w:rPr>
              <w:br w:type="textWrapping"/>
            </w:r>
            <w:r>
              <w:rPr>
                <w:rFonts w:hint="eastAsia" w:ascii="Times New Roman" w:hAnsi="Times New Roman" w:cs="Times New Roman"/>
                <w:color w:val="000000" w:themeColor="text1"/>
                <w:sz w:val="21"/>
                <w:szCs w:val="21"/>
                <w:lang w:eastAsia="zh-CN"/>
                <w14:textFill>
                  <w14:solidFill>
                    <w14:schemeClr w14:val="tx1"/>
                  </w14:solidFill>
                </w14:textFill>
              </w:rPr>
              <w:br w:type="textWrapping"/>
            </w:r>
            <w:r>
              <w:rPr>
                <w:rFonts w:hint="eastAsia" w:ascii="Times New Roman" w:hAnsi="Times New Roman" w:cs="Times New Roman"/>
                <w:color w:val="000000" w:themeColor="text1"/>
                <w:sz w:val="21"/>
                <w:szCs w:val="21"/>
                <w:lang w:eastAsia="zh-CN"/>
                <w14:textFill>
                  <w14:solidFill>
                    <w14:schemeClr w14:val="tx1"/>
                  </w14:solidFill>
                </w14:textFill>
              </w:rPr>
              <w:br w:type="textWrapping"/>
            </w:r>
          </w:p>
          <w:p w14:paraId="6B7250C8">
            <w:pPr>
              <w:pStyle w:val="1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p>
        </w:tc>
      </w:tr>
    </w:tbl>
    <w:p w14:paraId="61CEEE82">
      <w:pPr>
        <w:pageBreakBefore w:val="0"/>
        <w:kinsoku/>
        <w:overflowPunct/>
        <w:topLinePunct w:val="0"/>
        <w:bidi w:val="0"/>
        <w:ind w:left="0" w:leftChars="0" w:right="0"/>
        <w:rPr>
          <w:rFonts w:hint="eastAsia"/>
          <w:color w:val="000000" w:themeColor="text1"/>
          <w:lang w:eastAsia="zh-CN"/>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226904EC">
      <w:pPr>
        <w:pStyle w:val="29"/>
        <w:adjustRightInd w:val="0"/>
        <w:snapToGrid w:val="0"/>
        <w:spacing w:before="0" w:beforeAutospacing="0" w:after="0" w:afterAutospacing="0"/>
        <w:jc w:val="center"/>
        <w:outlineLvl w:val="0"/>
        <w:rPr>
          <w:rFonts w:ascii="Times New Roman" w:hAnsi="Times New Roman"/>
          <w:b/>
          <w:bCs/>
          <w:snapToGrid w:val="0"/>
          <w:color w:val="000000" w:themeColor="text1"/>
          <w:sz w:val="30"/>
          <w:szCs w:val="30"/>
          <w14:textFill>
            <w14:solidFill>
              <w14:schemeClr w14:val="tx1"/>
            </w14:solidFill>
          </w14:textFill>
        </w:rPr>
      </w:pPr>
      <w:bookmarkStart w:id="15" w:name="_Toc1582"/>
      <w:bookmarkStart w:id="16" w:name="_Toc24787"/>
      <w:r>
        <w:rPr>
          <w:rFonts w:ascii="Times New Roman" w:hAnsi="Times New Roman"/>
          <w:b/>
          <w:bCs/>
          <w:snapToGrid w:val="0"/>
          <w:color w:val="000000" w:themeColor="text1"/>
          <w:sz w:val="30"/>
          <w:szCs w:val="30"/>
          <w14:textFill>
            <w14:solidFill>
              <w14:schemeClr w14:val="tx1"/>
            </w14:solidFill>
          </w14:textFill>
        </w:rPr>
        <w:t>六、结论</w:t>
      </w:r>
      <w:bookmarkEnd w:id="15"/>
      <w:bookmarkEnd w:id="16"/>
    </w:p>
    <w:tbl>
      <w:tblPr>
        <w:tblStyle w:val="33"/>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C7F46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1B43761B">
            <w:pPr>
              <w:pStyle w:val="51"/>
              <w:ind w:firstLine="480"/>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本项目的建设符合国家、地方产业政策，以及相关规划，不涉及自然保护区、风景名胜区、水源保护区等环境敏感区，</w:t>
            </w:r>
            <w:r>
              <w:rPr>
                <w:color w:val="000000" w:themeColor="text1"/>
                <w:highlight w:val="none"/>
                <w14:textFill>
                  <w14:solidFill>
                    <w14:schemeClr w14:val="tx1"/>
                  </w14:solidFill>
                </w14:textFill>
              </w:rPr>
              <w:t>与周围居民点、学校、医院等关心点距离</w:t>
            </w:r>
            <w:r>
              <w:rPr>
                <w:rFonts w:hint="eastAsia"/>
                <w:color w:val="000000" w:themeColor="text1"/>
                <w:highlight w:val="none"/>
                <w:lang w:eastAsia="zh-CN"/>
                <w14:textFill>
                  <w14:solidFill>
                    <w14:schemeClr w14:val="tx1"/>
                  </w14:solidFill>
                </w14:textFill>
              </w:rPr>
              <w:t>在合理范围内</w:t>
            </w:r>
            <w:r>
              <w:rPr>
                <w:color w:val="000000" w:themeColor="text1"/>
                <w:highlight w:val="none"/>
                <w14:textFill>
                  <w14:solidFill>
                    <w14:schemeClr w14:val="tx1"/>
                  </w14:solidFill>
                </w14:textFill>
              </w:rPr>
              <w:t>，</w:t>
            </w:r>
            <w:r>
              <w:rPr>
                <w:color w:val="000000" w:themeColor="text1"/>
                <w14:textFill>
                  <w14:solidFill>
                    <w14:schemeClr w14:val="tx1"/>
                  </w14:solidFill>
                </w14:textFill>
              </w:rPr>
              <w:t>选址合理。</w:t>
            </w:r>
          </w:p>
          <w:p w14:paraId="4601ABE6">
            <w:pPr>
              <w:pStyle w:val="51"/>
              <w:ind w:firstLine="480"/>
              <w:rPr>
                <w:color w:val="000000" w:themeColor="text1"/>
                <w14:textFill>
                  <w14:solidFill>
                    <w14:schemeClr w14:val="tx1"/>
                  </w14:solidFill>
                </w14:textFill>
              </w:rPr>
            </w:pPr>
            <w:r>
              <w:rPr>
                <w:rFonts w:hint="eastAsia" w:ascii="Times New Roman" w:hAnsi="Times New Roman" w:eastAsia="宋体" w:cs="Times New Roman"/>
                <w:b w:val="0"/>
                <w:bCs w:val="0"/>
                <w:color w:val="000000" w:themeColor="text1"/>
                <w:lang w:eastAsia="zh-CN"/>
                <w14:textFill>
                  <w14:solidFill>
                    <w14:schemeClr w14:val="tx1"/>
                  </w14:solidFill>
                </w14:textFill>
              </w:rPr>
              <w:t>本项目主要为锅炉改建以及新增环保设施，</w:t>
            </w:r>
            <w:r>
              <w:rPr>
                <w:color w:val="000000" w:themeColor="text1"/>
                <w14:textFill>
                  <w14:solidFill>
                    <w14:schemeClr w14:val="tx1"/>
                  </w14:solidFill>
                </w14:textFill>
              </w:rPr>
              <w:t>在采取环评提出的措施后，</w:t>
            </w:r>
            <w:r>
              <w:rPr>
                <w:rFonts w:hint="eastAsia"/>
                <w:color w:val="000000" w:themeColor="text1"/>
                <w:lang w:eastAsia="zh-CN"/>
                <w14:textFill>
                  <w14:solidFill>
                    <w14:schemeClr w14:val="tx1"/>
                  </w14:solidFill>
                </w14:textFill>
              </w:rPr>
              <w:t>本</w:t>
            </w:r>
            <w:r>
              <w:rPr>
                <w:color w:val="000000" w:themeColor="text1"/>
                <w14:textFill>
                  <w14:solidFill>
                    <w14:schemeClr w14:val="tx1"/>
                  </w14:solidFill>
                </w14:textFill>
              </w:rPr>
              <w:t>项目产生的废气、废水、噪声均可达标排放，固废处置率100%，对当地环境质量及主要关心点环境影响较小，</w:t>
            </w:r>
            <w:r>
              <w:rPr>
                <w:rFonts w:hint="eastAsia"/>
                <w:color w:val="000000" w:themeColor="text1"/>
                <w:lang w:eastAsia="zh-CN"/>
                <w14:textFill>
                  <w14:solidFill>
                    <w14:schemeClr w14:val="tx1"/>
                  </w14:solidFill>
                </w14:textFill>
              </w:rPr>
              <w:t>通过本项目的实施，能够降低现有项目</w:t>
            </w:r>
            <w:r>
              <w:rPr>
                <w:rFonts w:hint="eastAsia"/>
                <w:color w:val="000000" w:themeColor="text1"/>
                <w:sz w:val="24"/>
                <w:lang w:val="en-US" w:eastAsia="zh-CN"/>
                <w14:textFill>
                  <w14:solidFill>
                    <w14:schemeClr w14:val="tx1"/>
                  </w14:solidFill>
                </w14:textFill>
              </w:rPr>
              <w:t>污染物对外环境的影响，本项目的建设对环境有正效益，</w:t>
            </w:r>
            <w:r>
              <w:rPr>
                <w:rFonts w:hint="eastAsia"/>
                <w:color w:val="000000" w:themeColor="text1"/>
                <w:lang w:eastAsia="zh-CN"/>
                <w14:textFill>
                  <w14:solidFill>
                    <w14:schemeClr w14:val="tx1"/>
                  </w14:solidFill>
                </w14:textFill>
              </w:rPr>
              <w:t>项目</w:t>
            </w:r>
            <w:r>
              <w:rPr>
                <w:color w:val="000000" w:themeColor="text1"/>
                <w14:textFill>
                  <w14:solidFill>
                    <w14:schemeClr w14:val="tx1"/>
                  </w14:solidFill>
                </w14:textFill>
              </w:rPr>
              <w:t>符合达标排放、总量控制和不降低当地环境功能的原则要求，符合国家法律法规要求。</w:t>
            </w:r>
          </w:p>
          <w:p w14:paraId="1694A278">
            <w:pPr>
              <w:pStyle w:val="51"/>
              <w:ind w:firstLine="480"/>
              <w:rPr>
                <w:color w:val="000000" w:themeColor="text1"/>
                <w14:textFill>
                  <w14:solidFill>
                    <w14:schemeClr w14:val="tx1"/>
                  </w14:solidFill>
                </w14:textFill>
              </w:rPr>
            </w:pPr>
            <w:r>
              <w:rPr>
                <w:color w:val="000000" w:themeColor="text1"/>
                <w14:textFill>
                  <w14:solidFill>
                    <w14:schemeClr w14:val="tx1"/>
                  </w14:solidFill>
                </w14:textFill>
              </w:rPr>
              <w:t>本项目在严格执行环境保护</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三同时</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制度，严格进行环境管理，保证项目内的废气处理设施及其他环保设施的正常运行，污染物达标排放的条件下，从环境保护角度论证，本项目的建设是可行的。</w:t>
            </w:r>
          </w:p>
          <w:p w14:paraId="3E34451E">
            <w:pPr>
              <w:pStyle w:val="14"/>
              <w:rPr>
                <w:color w:val="000000" w:themeColor="text1"/>
                <w14:textFill>
                  <w14:solidFill>
                    <w14:schemeClr w14:val="tx1"/>
                  </w14:solidFill>
                </w14:textFill>
              </w:rPr>
            </w:pPr>
          </w:p>
          <w:p w14:paraId="0DAB2FFF">
            <w:pPr>
              <w:pStyle w:val="46"/>
              <w:rPr>
                <w:color w:val="000000" w:themeColor="text1"/>
                <w14:textFill>
                  <w14:solidFill>
                    <w14:schemeClr w14:val="tx1"/>
                  </w14:solidFill>
                </w14:textFill>
              </w:rPr>
            </w:pPr>
          </w:p>
          <w:p w14:paraId="0ED69C7A">
            <w:pPr>
              <w:rPr>
                <w:color w:val="000000" w:themeColor="text1"/>
                <w14:textFill>
                  <w14:solidFill>
                    <w14:schemeClr w14:val="tx1"/>
                  </w14:solidFill>
                </w14:textFill>
              </w:rPr>
            </w:pPr>
          </w:p>
          <w:p w14:paraId="28C05800">
            <w:pPr>
              <w:pStyle w:val="14"/>
              <w:rPr>
                <w:color w:val="000000" w:themeColor="text1"/>
                <w14:textFill>
                  <w14:solidFill>
                    <w14:schemeClr w14:val="tx1"/>
                  </w14:solidFill>
                </w14:textFill>
              </w:rPr>
            </w:pPr>
          </w:p>
          <w:p w14:paraId="32A4D0B1">
            <w:pPr>
              <w:pStyle w:val="46"/>
              <w:rPr>
                <w:color w:val="000000" w:themeColor="text1"/>
                <w14:textFill>
                  <w14:solidFill>
                    <w14:schemeClr w14:val="tx1"/>
                  </w14:solidFill>
                </w14:textFill>
              </w:rPr>
            </w:pPr>
          </w:p>
          <w:p w14:paraId="21C1E678">
            <w:pPr>
              <w:rPr>
                <w:color w:val="000000" w:themeColor="text1"/>
                <w14:textFill>
                  <w14:solidFill>
                    <w14:schemeClr w14:val="tx1"/>
                  </w14:solidFill>
                </w14:textFill>
              </w:rPr>
            </w:pPr>
          </w:p>
          <w:p w14:paraId="099B9012">
            <w:pPr>
              <w:pStyle w:val="14"/>
              <w:rPr>
                <w:color w:val="000000" w:themeColor="text1"/>
                <w14:textFill>
                  <w14:solidFill>
                    <w14:schemeClr w14:val="tx1"/>
                  </w14:solidFill>
                </w14:textFill>
              </w:rPr>
            </w:pPr>
          </w:p>
          <w:p w14:paraId="063BB29F">
            <w:pPr>
              <w:pStyle w:val="46"/>
              <w:rPr>
                <w:color w:val="000000" w:themeColor="text1"/>
                <w14:textFill>
                  <w14:solidFill>
                    <w14:schemeClr w14:val="tx1"/>
                  </w14:solidFill>
                </w14:textFill>
              </w:rPr>
            </w:pPr>
          </w:p>
          <w:p w14:paraId="36D3399D">
            <w:pPr>
              <w:rPr>
                <w:color w:val="000000" w:themeColor="text1"/>
                <w14:textFill>
                  <w14:solidFill>
                    <w14:schemeClr w14:val="tx1"/>
                  </w14:solidFill>
                </w14:textFill>
              </w:rPr>
            </w:pPr>
          </w:p>
          <w:p w14:paraId="71845F91">
            <w:pPr>
              <w:pStyle w:val="14"/>
              <w:rPr>
                <w:color w:val="000000" w:themeColor="text1"/>
                <w14:textFill>
                  <w14:solidFill>
                    <w14:schemeClr w14:val="tx1"/>
                  </w14:solidFill>
                </w14:textFill>
              </w:rPr>
            </w:pPr>
          </w:p>
          <w:p w14:paraId="023E1309">
            <w:pPr>
              <w:pStyle w:val="46"/>
              <w:rPr>
                <w:color w:val="000000" w:themeColor="text1"/>
                <w14:textFill>
                  <w14:solidFill>
                    <w14:schemeClr w14:val="tx1"/>
                  </w14:solidFill>
                </w14:textFill>
              </w:rPr>
            </w:pPr>
          </w:p>
          <w:p w14:paraId="1F33583C">
            <w:pPr>
              <w:rPr>
                <w:color w:val="000000" w:themeColor="text1"/>
                <w14:textFill>
                  <w14:solidFill>
                    <w14:schemeClr w14:val="tx1"/>
                  </w14:solidFill>
                </w14:textFill>
              </w:rPr>
            </w:pPr>
          </w:p>
          <w:p w14:paraId="6043CD12">
            <w:pPr>
              <w:pStyle w:val="14"/>
              <w:rPr>
                <w:color w:val="000000" w:themeColor="text1"/>
                <w14:textFill>
                  <w14:solidFill>
                    <w14:schemeClr w14:val="tx1"/>
                  </w14:solidFill>
                </w14:textFill>
              </w:rPr>
            </w:pPr>
          </w:p>
          <w:p w14:paraId="7FAA5F5C">
            <w:pPr>
              <w:pStyle w:val="46"/>
              <w:ind w:left="0" w:leftChars="0" w:firstLine="0" w:firstLineChars="0"/>
              <w:jc w:val="both"/>
              <w:rPr>
                <w:color w:val="000000" w:themeColor="text1"/>
                <w14:textFill>
                  <w14:solidFill>
                    <w14:schemeClr w14:val="tx1"/>
                  </w14:solidFill>
                </w14:textFill>
              </w:rPr>
            </w:pPr>
          </w:p>
        </w:tc>
      </w:tr>
    </w:tbl>
    <w:p w14:paraId="04565CB2">
      <w:pPr>
        <w:pStyle w:val="3"/>
        <w:pageBreakBefore w:val="0"/>
        <w:kinsoku/>
        <w:overflowPunct/>
        <w:topLinePunct w:val="0"/>
        <w:bidi w:val="0"/>
        <w:spacing w:before="0"/>
        <w:ind w:left="0" w:leftChars="0" w:right="0"/>
        <w:rPr>
          <w:rFonts w:hint="eastAsia"/>
          <w:color w:val="000000" w:themeColor="text1"/>
          <w:lang w:eastAsia="zh-CN"/>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6F303095">
      <w:pPr>
        <w:pStyle w:val="29"/>
        <w:adjustRightInd w:val="0"/>
        <w:snapToGrid w:val="0"/>
        <w:spacing w:before="0" w:beforeAutospacing="0" w:after="0" w:afterAutospacing="0"/>
        <w:jc w:val="both"/>
        <w:outlineLvl w:val="0"/>
        <w:rPr>
          <w:rFonts w:ascii="Times New Roman" w:hAnsi="Times New Roman"/>
          <w:b/>
          <w:bCs/>
          <w:snapToGrid w:val="0"/>
          <w:color w:val="000000" w:themeColor="text1"/>
          <w:sz w:val="30"/>
          <w:szCs w:val="30"/>
          <w14:textFill>
            <w14:solidFill>
              <w14:schemeClr w14:val="tx1"/>
            </w14:solidFill>
          </w14:textFill>
        </w:rPr>
      </w:pPr>
      <w:bookmarkStart w:id="17" w:name="_Toc24156"/>
      <w:bookmarkStart w:id="18" w:name="_Toc9427"/>
      <w:bookmarkStart w:id="19" w:name="_Toc6881"/>
      <w:r>
        <w:rPr>
          <w:rFonts w:ascii="Times New Roman" w:hAnsi="Times New Roman"/>
          <w:b/>
          <w:bCs/>
          <w:snapToGrid w:val="0"/>
          <w:color w:val="000000" w:themeColor="text1"/>
          <w:sz w:val="30"/>
          <w:szCs w:val="30"/>
          <w14:textFill>
            <w14:solidFill>
              <w14:schemeClr w14:val="tx1"/>
            </w14:solidFill>
          </w14:textFill>
        </w:rPr>
        <w:t>附表</w:t>
      </w:r>
      <w:bookmarkEnd w:id="17"/>
      <w:bookmarkEnd w:id="18"/>
      <w:bookmarkEnd w:id="19"/>
    </w:p>
    <w:p w14:paraId="04DDB17D">
      <w:pPr>
        <w:pStyle w:val="2"/>
        <w:keepNext/>
        <w:keepLines w:val="0"/>
        <w:pageBreakBefore w:val="0"/>
        <w:widowControl w:val="0"/>
        <w:numPr>
          <w:ilvl w:val="0"/>
          <w:numId w:val="0"/>
        </w:numPr>
        <w:kinsoku/>
        <w:wordWrap/>
        <w:overflowPunct w:val="0"/>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color w:val="000000" w:themeColor="text1"/>
          <w:kern w:val="44"/>
          <w:sz w:val="28"/>
          <w:szCs w:val="24"/>
          <w:lang w:val="en-US" w:eastAsia="zh-CN" w:bidi="ar-SA"/>
          <w14:textFill>
            <w14:solidFill>
              <w14:schemeClr w14:val="tx1"/>
            </w14:solidFill>
          </w14:textFill>
        </w:rPr>
      </w:pPr>
      <w:bookmarkStart w:id="20" w:name="_Toc2566"/>
      <w:bookmarkStart w:id="21" w:name="_Toc31138"/>
      <w:bookmarkStart w:id="22" w:name="_Toc8175"/>
      <w:r>
        <w:rPr>
          <w:rFonts w:hint="default" w:ascii="Times New Roman" w:hAnsi="Times New Roman" w:eastAsia="宋体" w:cs="Times New Roman"/>
          <w:b/>
          <w:color w:val="000000" w:themeColor="text1"/>
          <w:kern w:val="44"/>
          <w:sz w:val="28"/>
          <w:szCs w:val="24"/>
          <w:lang w:val="en-US" w:eastAsia="zh-CN" w:bidi="ar-SA"/>
          <w14:textFill>
            <w14:solidFill>
              <w14:schemeClr w14:val="tx1"/>
            </w14:solidFill>
          </w14:textFill>
        </w:rPr>
        <w:t>建设项目污染物排放量汇总表</w:t>
      </w:r>
      <w:bookmarkEnd w:id="20"/>
      <w:bookmarkEnd w:id="21"/>
      <w:bookmarkEnd w:id="22"/>
    </w:p>
    <w:tbl>
      <w:tblPr>
        <w:tblStyle w:val="33"/>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433"/>
        <w:gridCol w:w="1380"/>
        <w:gridCol w:w="1455"/>
        <w:gridCol w:w="1052"/>
        <w:gridCol w:w="1680"/>
        <w:gridCol w:w="1665"/>
        <w:gridCol w:w="1770"/>
        <w:gridCol w:w="1558"/>
        <w:gridCol w:w="1443"/>
      </w:tblGrid>
      <w:tr w14:paraId="4B5EFD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52" w:type="dxa"/>
            <w:tcBorders>
              <w:tl2br w:val="single" w:color="auto" w:sz="4" w:space="0"/>
            </w:tcBorders>
            <w:tcMar>
              <w:left w:w="28" w:type="dxa"/>
              <w:right w:w="28" w:type="dxa"/>
            </w:tcMar>
            <w:vAlign w:val="center"/>
          </w:tcPr>
          <w:p w14:paraId="3FB5CCAE">
            <w:pPr>
              <w:pStyle w:val="57"/>
              <w:spacing w:before="31" w:after="31" w:line="240" w:lineRule="auto"/>
              <w:ind w:firstLine="0" w:firstLineChars="0"/>
              <w:jc w:val="right"/>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t>项目</w:t>
            </w:r>
          </w:p>
          <w:p w14:paraId="65175615">
            <w:pPr>
              <w:pStyle w:val="57"/>
              <w:spacing w:before="31" w:after="31" w:line="240" w:lineRule="auto"/>
              <w:ind w:firstLine="0" w:firstLineChars="0"/>
              <w:jc w:val="left"/>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t>分类</w:t>
            </w:r>
          </w:p>
        </w:tc>
        <w:tc>
          <w:tcPr>
            <w:tcW w:w="1813" w:type="dxa"/>
            <w:gridSpan w:val="2"/>
            <w:tcMar>
              <w:left w:w="28" w:type="dxa"/>
              <w:right w:w="28" w:type="dxa"/>
            </w:tcMar>
            <w:vAlign w:val="center"/>
          </w:tcPr>
          <w:p w14:paraId="48F2C4EC">
            <w:pPr>
              <w:pStyle w:val="57"/>
              <w:spacing w:before="31" w:after="31" w:line="240" w:lineRule="auto"/>
              <w:ind w:firstLine="0" w:firstLineChars="0"/>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t>污染物名称</w:t>
            </w:r>
          </w:p>
        </w:tc>
        <w:tc>
          <w:tcPr>
            <w:tcW w:w="1455" w:type="dxa"/>
            <w:tcMar>
              <w:left w:w="28" w:type="dxa"/>
              <w:right w:w="28" w:type="dxa"/>
            </w:tcMar>
            <w:vAlign w:val="center"/>
          </w:tcPr>
          <w:p w14:paraId="6444A03C">
            <w:pPr>
              <w:pStyle w:val="57"/>
              <w:spacing w:before="31" w:after="31" w:line="240" w:lineRule="auto"/>
              <w:ind w:firstLine="0" w:firstLineChars="0"/>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t>现有工程</w:t>
            </w:r>
          </w:p>
          <w:p w14:paraId="316C95E6">
            <w:pPr>
              <w:pStyle w:val="57"/>
              <w:spacing w:before="31" w:after="31" w:line="240" w:lineRule="auto"/>
              <w:ind w:firstLine="0" w:firstLineChars="0"/>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instrText xml:space="preserve"> = 1 \* GB3 \* MERGEFORMAT </w:instrText>
            </w: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fldChar w:fldCharType="separate"/>
            </w:r>
            <w:r>
              <w:rPr>
                <w:rFonts w:hint="default" w:ascii="Times New Roman" w:hAnsi="Times New Roman" w:eastAsia="黑体" w:cs="Times New Roman"/>
                <w:color w:val="000000" w:themeColor="text1"/>
                <w:kern w:val="2"/>
                <w:sz w:val="20"/>
                <w:szCs w:val="20"/>
                <w14:textFill>
                  <w14:solidFill>
                    <w14:schemeClr w14:val="tx1"/>
                  </w14:solidFill>
                </w14:textFill>
              </w:rPr>
              <w:t>①</w:t>
            </w: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fldChar w:fldCharType="end"/>
            </w:r>
          </w:p>
        </w:tc>
        <w:tc>
          <w:tcPr>
            <w:tcW w:w="1052" w:type="dxa"/>
            <w:tcMar>
              <w:left w:w="28" w:type="dxa"/>
              <w:right w:w="28" w:type="dxa"/>
            </w:tcMar>
            <w:vAlign w:val="center"/>
          </w:tcPr>
          <w:p w14:paraId="6750F3F5">
            <w:pPr>
              <w:pStyle w:val="57"/>
              <w:spacing w:before="31" w:after="31" w:line="240" w:lineRule="auto"/>
              <w:ind w:firstLine="0" w:firstLineChars="0"/>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t>现有工程</w:t>
            </w:r>
          </w:p>
          <w:p w14:paraId="69637904">
            <w:pPr>
              <w:pStyle w:val="57"/>
              <w:spacing w:before="31" w:after="31" w:line="240" w:lineRule="auto"/>
              <w:ind w:firstLine="0" w:firstLineChars="0"/>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t>许可排放量</w:t>
            </w:r>
          </w:p>
          <w:p w14:paraId="0683A8BA">
            <w:pPr>
              <w:pStyle w:val="57"/>
              <w:spacing w:before="31" w:after="31"/>
              <w:ind w:firstLine="0" w:firstLineChars="0"/>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instrText xml:space="preserve"> = 2 \* GB3 \* MERGEFORMAT </w:instrText>
            </w: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fldChar w:fldCharType="separate"/>
            </w: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t>②</w:t>
            </w: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fldChar w:fldCharType="end"/>
            </w:r>
          </w:p>
        </w:tc>
        <w:tc>
          <w:tcPr>
            <w:tcW w:w="1680" w:type="dxa"/>
            <w:tcMar>
              <w:left w:w="28" w:type="dxa"/>
              <w:right w:w="28" w:type="dxa"/>
            </w:tcMar>
            <w:vAlign w:val="center"/>
          </w:tcPr>
          <w:p w14:paraId="6F9E54B5">
            <w:pPr>
              <w:pStyle w:val="57"/>
              <w:spacing w:before="31" w:after="31" w:line="240" w:lineRule="auto"/>
              <w:ind w:firstLine="0" w:firstLineChars="0"/>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t>在建工程</w:t>
            </w:r>
          </w:p>
          <w:p w14:paraId="29940CBD">
            <w:pPr>
              <w:pStyle w:val="57"/>
              <w:spacing w:before="31" w:after="31" w:line="240" w:lineRule="auto"/>
              <w:ind w:firstLine="0" w:firstLineChars="0"/>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instrText xml:space="preserve"> = 3 \* GB3 \* MERGEFORMAT </w:instrText>
            </w: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fldChar w:fldCharType="separate"/>
            </w:r>
            <w:r>
              <w:rPr>
                <w:rFonts w:hint="default" w:ascii="Times New Roman" w:hAnsi="Times New Roman" w:eastAsia="黑体" w:cs="Times New Roman"/>
                <w:color w:val="000000" w:themeColor="text1"/>
                <w:kern w:val="2"/>
                <w:sz w:val="20"/>
                <w:szCs w:val="20"/>
                <w14:textFill>
                  <w14:solidFill>
                    <w14:schemeClr w14:val="tx1"/>
                  </w14:solidFill>
                </w14:textFill>
              </w:rPr>
              <w:t>③</w:t>
            </w: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fldChar w:fldCharType="end"/>
            </w:r>
          </w:p>
        </w:tc>
        <w:tc>
          <w:tcPr>
            <w:tcW w:w="1665" w:type="dxa"/>
            <w:tcMar>
              <w:left w:w="28" w:type="dxa"/>
              <w:right w:w="28" w:type="dxa"/>
            </w:tcMar>
            <w:vAlign w:val="center"/>
          </w:tcPr>
          <w:p w14:paraId="78E30981">
            <w:pPr>
              <w:pStyle w:val="57"/>
              <w:spacing w:before="31" w:after="31" w:line="240" w:lineRule="auto"/>
              <w:ind w:firstLine="0" w:firstLineChars="0"/>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t>本项目</w:t>
            </w:r>
          </w:p>
          <w:p w14:paraId="36C60330">
            <w:pPr>
              <w:pStyle w:val="57"/>
              <w:spacing w:before="31" w:after="31" w:line="240" w:lineRule="auto"/>
              <w:ind w:firstLine="0" w:firstLineChars="0"/>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instrText xml:space="preserve"> = 4 \* GB3 \* MERGEFORMAT </w:instrText>
            </w: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fldChar w:fldCharType="separate"/>
            </w:r>
            <w:r>
              <w:rPr>
                <w:rFonts w:hint="default" w:ascii="Times New Roman" w:hAnsi="Times New Roman" w:eastAsia="黑体" w:cs="Times New Roman"/>
                <w:color w:val="000000" w:themeColor="text1"/>
                <w:kern w:val="2"/>
                <w:sz w:val="20"/>
                <w:szCs w:val="20"/>
                <w14:textFill>
                  <w14:solidFill>
                    <w14:schemeClr w14:val="tx1"/>
                  </w14:solidFill>
                </w14:textFill>
              </w:rPr>
              <w:t>④</w:t>
            </w: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fldChar w:fldCharType="end"/>
            </w:r>
          </w:p>
        </w:tc>
        <w:tc>
          <w:tcPr>
            <w:tcW w:w="1770" w:type="dxa"/>
            <w:tcMar>
              <w:left w:w="28" w:type="dxa"/>
              <w:right w:w="28" w:type="dxa"/>
            </w:tcMar>
            <w:vAlign w:val="center"/>
          </w:tcPr>
          <w:p w14:paraId="63D0FC9B">
            <w:pPr>
              <w:pStyle w:val="57"/>
              <w:spacing w:before="31" w:after="31" w:line="240" w:lineRule="auto"/>
              <w:ind w:firstLine="0" w:firstLineChars="0"/>
              <w:rPr>
                <w:rFonts w:hint="default" w:ascii="Times New Roman" w:hAnsi="Times New Roman" w:eastAsia="黑体" w:cs="Times New Roman"/>
                <w:snapToGrid w:val="0"/>
                <w:color w:val="000000" w:themeColor="text1"/>
                <w:spacing w:val="-16"/>
                <w:kern w:val="21"/>
                <w:sz w:val="20"/>
                <w:szCs w:val="20"/>
                <w:highlight w:val="none"/>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0"/>
                <w:szCs w:val="20"/>
                <w:highlight w:val="none"/>
                <w14:textFill>
                  <w14:solidFill>
                    <w14:schemeClr w14:val="tx1"/>
                  </w14:solidFill>
                </w14:textFill>
              </w:rPr>
              <w:t>以新带老削减量</w:t>
            </w:r>
          </w:p>
          <w:p w14:paraId="61AB79FA">
            <w:pPr>
              <w:pStyle w:val="57"/>
              <w:spacing w:before="31" w:after="31" w:line="240" w:lineRule="auto"/>
              <w:ind w:firstLine="0" w:firstLineChars="0"/>
              <w:rPr>
                <w:rFonts w:hint="default" w:ascii="Times New Roman" w:hAnsi="Times New Roman" w:eastAsia="黑体" w:cs="Times New Roman"/>
                <w:snapToGrid w:val="0"/>
                <w:color w:val="000000" w:themeColor="text1"/>
                <w:spacing w:val="-16"/>
                <w:kern w:val="21"/>
                <w:sz w:val="20"/>
                <w:szCs w:val="20"/>
                <w:highlight w:val="none"/>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0"/>
                <w:szCs w:val="20"/>
                <w:highlight w:val="none"/>
                <w14:textFill>
                  <w14:solidFill>
                    <w14:schemeClr w14:val="tx1"/>
                  </w14:solidFill>
                </w14:textFill>
              </w:rPr>
              <w:t>（新建项目不填）</w:t>
            </w:r>
            <w:r>
              <w:rPr>
                <w:rFonts w:hint="default" w:ascii="Times New Roman" w:hAnsi="Times New Roman" w:eastAsia="黑体" w:cs="Times New Roman"/>
                <w:snapToGrid w:val="0"/>
                <w:color w:val="000000" w:themeColor="text1"/>
                <w:spacing w:val="-16"/>
                <w:kern w:val="21"/>
                <w:sz w:val="20"/>
                <w:szCs w:val="20"/>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16"/>
                <w:kern w:val="21"/>
                <w:sz w:val="20"/>
                <w:szCs w:val="20"/>
                <w:highlight w:val="none"/>
                <w14:textFill>
                  <w14:solidFill>
                    <w14:schemeClr w14:val="tx1"/>
                  </w14:solidFill>
                </w14:textFill>
              </w:rPr>
              <w:instrText xml:space="preserve"> = 5 \* GB3 \* MERGEFORMAT </w:instrText>
            </w:r>
            <w:r>
              <w:rPr>
                <w:rFonts w:hint="default" w:ascii="Times New Roman" w:hAnsi="Times New Roman" w:eastAsia="黑体" w:cs="Times New Roman"/>
                <w:snapToGrid w:val="0"/>
                <w:color w:val="000000" w:themeColor="text1"/>
                <w:spacing w:val="-16"/>
                <w:kern w:val="21"/>
                <w:sz w:val="20"/>
                <w:szCs w:val="20"/>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 w:val="20"/>
                <w:szCs w:val="20"/>
                <w:highlight w:val="none"/>
                <w14:textFill>
                  <w14:solidFill>
                    <w14:schemeClr w14:val="tx1"/>
                  </w14:solidFill>
                </w14:textFill>
              </w:rPr>
              <w:t>⑤</w:t>
            </w:r>
            <w:r>
              <w:rPr>
                <w:rFonts w:hint="default" w:ascii="Times New Roman" w:hAnsi="Times New Roman" w:eastAsia="黑体" w:cs="Times New Roman"/>
                <w:snapToGrid w:val="0"/>
                <w:color w:val="000000" w:themeColor="text1"/>
                <w:spacing w:val="-16"/>
                <w:kern w:val="21"/>
                <w:sz w:val="20"/>
                <w:szCs w:val="20"/>
                <w:highlight w:val="none"/>
                <w14:textFill>
                  <w14:solidFill>
                    <w14:schemeClr w14:val="tx1"/>
                  </w14:solidFill>
                </w14:textFill>
              </w:rPr>
              <w:fldChar w:fldCharType="end"/>
            </w:r>
          </w:p>
        </w:tc>
        <w:tc>
          <w:tcPr>
            <w:tcW w:w="1558" w:type="dxa"/>
            <w:tcMar>
              <w:left w:w="28" w:type="dxa"/>
              <w:right w:w="28" w:type="dxa"/>
            </w:tcMar>
            <w:vAlign w:val="center"/>
          </w:tcPr>
          <w:p w14:paraId="53D86CD5">
            <w:pPr>
              <w:pStyle w:val="57"/>
              <w:spacing w:before="31" w:after="31" w:line="240" w:lineRule="auto"/>
              <w:ind w:firstLine="0" w:firstLineChars="0"/>
              <w:rPr>
                <w:rFonts w:hint="default" w:ascii="Times New Roman" w:hAnsi="Times New Roman" w:eastAsia="黑体" w:cs="Times New Roman"/>
                <w:snapToGrid w:val="0"/>
                <w:color w:val="000000" w:themeColor="text1"/>
                <w:spacing w:val="-16"/>
                <w:kern w:val="21"/>
                <w:sz w:val="20"/>
                <w:szCs w:val="20"/>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0"/>
                <w:szCs w:val="20"/>
                <w14:textFill>
                  <w14:solidFill>
                    <w14:schemeClr w14:val="tx1"/>
                  </w14:solidFill>
                </w14:textFill>
              </w:rPr>
              <w:t>本项目建成后</w:t>
            </w:r>
          </w:p>
          <w:p w14:paraId="0B7A2A85">
            <w:pPr>
              <w:pStyle w:val="57"/>
              <w:spacing w:before="31" w:after="31" w:line="240" w:lineRule="auto"/>
              <w:ind w:firstLine="0" w:firstLineChars="0"/>
              <w:rPr>
                <w:rFonts w:hint="default" w:ascii="Times New Roman" w:hAnsi="Times New Roman" w:eastAsia="黑体" w:cs="Times New Roman"/>
                <w:snapToGrid w:val="0"/>
                <w:color w:val="000000" w:themeColor="text1"/>
                <w:spacing w:val="-16"/>
                <w:kern w:val="21"/>
                <w:sz w:val="20"/>
                <w:szCs w:val="20"/>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0"/>
                <w:szCs w:val="20"/>
                <w14:textFill>
                  <w14:solidFill>
                    <w14:schemeClr w14:val="tx1"/>
                  </w14:solidFill>
                </w14:textFill>
              </w:rPr>
              <w:t>全厂排放量（固体废物产生量）</w:t>
            </w:r>
            <w:r>
              <w:rPr>
                <w:rFonts w:hint="default" w:ascii="Times New Roman" w:hAnsi="Times New Roman" w:eastAsia="黑体" w:cs="Times New Roman"/>
                <w:snapToGrid w:val="0"/>
                <w:color w:val="000000" w:themeColor="text1"/>
                <w:spacing w:val="-16"/>
                <w:kern w:val="21"/>
                <w:sz w:val="20"/>
                <w:szCs w:val="20"/>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16"/>
                <w:kern w:val="21"/>
                <w:sz w:val="20"/>
                <w:szCs w:val="20"/>
                <w14:textFill>
                  <w14:solidFill>
                    <w14:schemeClr w14:val="tx1"/>
                  </w14:solidFill>
                </w14:textFill>
              </w:rPr>
              <w:instrText xml:space="preserve"> = 6 \* GB3 \* MERGEFORMAT </w:instrText>
            </w:r>
            <w:r>
              <w:rPr>
                <w:rFonts w:hint="default" w:ascii="Times New Roman" w:hAnsi="Times New Roman" w:eastAsia="黑体" w:cs="Times New Roman"/>
                <w:snapToGrid w:val="0"/>
                <w:color w:val="000000" w:themeColor="text1"/>
                <w:spacing w:val="-16"/>
                <w:kern w:val="21"/>
                <w:sz w:val="20"/>
                <w:szCs w:val="20"/>
                <w14:textFill>
                  <w14:solidFill>
                    <w14:schemeClr w14:val="tx1"/>
                  </w14:solidFill>
                </w14:textFill>
              </w:rPr>
              <w:fldChar w:fldCharType="separate"/>
            </w:r>
            <w:r>
              <w:rPr>
                <w:rFonts w:hint="default" w:ascii="Times New Roman" w:hAnsi="Times New Roman" w:eastAsia="黑体" w:cs="Times New Roman"/>
                <w:color w:val="000000" w:themeColor="text1"/>
                <w:kern w:val="2"/>
                <w:sz w:val="20"/>
                <w:szCs w:val="20"/>
                <w14:textFill>
                  <w14:solidFill>
                    <w14:schemeClr w14:val="tx1"/>
                  </w14:solidFill>
                </w14:textFill>
              </w:rPr>
              <w:t>⑥</w:t>
            </w:r>
            <w:r>
              <w:rPr>
                <w:rFonts w:hint="default" w:ascii="Times New Roman" w:hAnsi="Times New Roman" w:eastAsia="黑体" w:cs="Times New Roman"/>
                <w:snapToGrid w:val="0"/>
                <w:color w:val="000000" w:themeColor="text1"/>
                <w:spacing w:val="-16"/>
                <w:kern w:val="21"/>
                <w:sz w:val="20"/>
                <w:szCs w:val="20"/>
                <w14:textFill>
                  <w14:solidFill>
                    <w14:schemeClr w14:val="tx1"/>
                  </w14:solidFill>
                </w14:textFill>
              </w:rPr>
              <w:fldChar w:fldCharType="end"/>
            </w:r>
          </w:p>
        </w:tc>
        <w:tc>
          <w:tcPr>
            <w:tcW w:w="1443" w:type="dxa"/>
            <w:tcMar>
              <w:left w:w="28" w:type="dxa"/>
              <w:right w:w="28" w:type="dxa"/>
            </w:tcMar>
            <w:vAlign w:val="center"/>
          </w:tcPr>
          <w:p w14:paraId="0B1BE26B">
            <w:pPr>
              <w:pStyle w:val="57"/>
              <w:spacing w:before="31" w:after="31" w:line="240" w:lineRule="auto"/>
              <w:ind w:firstLine="0" w:firstLineChars="0"/>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t>变化量</w:t>
            </w:r>
          </w:p>
          <w:p w14:paraId="3915337A">
            <w:pPr>
              <w:pStyle w:val="57"/>
              <w:spacing w:before="31" w:after="31" w:line="240" w:lineRule="auto"/>
              <w:ind w:firstLine="0" w:firstLineChars="0"/>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instrText xml:space="preserve"> = 7 \* GB3 \* MERGEFORMAT </w:instrText>
            </w: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fldChar w:fldCharType="separate"/>
            </w:r>
            <w:r>
              <w:rPr>
                <w:rFonts w:hint="default" w:ascii="Times New Roman" w:hAnsi="Times New Roman" w:eastAsia="黑体" w:cs="Times New Roman"/>
                <w:color w:val="000000" w:themeColor="text1"/>
                <w:kern w:val="2"/>
                <w:sz w:val="20"/>
                <w:szCs w:val="20"/>
                <w14:textFill>
                  <w14:solidFill>
                    <w14:schemeClr w14:val="tx1"/>
                  </w14:solidFill>
                </w14:textFill>
              </w:rPr>
              <w:t>⑦</w:t>
            </w:r>
            <w:r>
              <w:rPr>
                <w:rFonts w:hint="default" w:ascii="Times New Roman" w:hAnsi="Times New Roman" w:eastAsia="黑体" w:cs="Times New Roman"/>
                <w:snapToGrid w:val="0"/>
                <w:color w:val="000000" w:themeColor="text1"/>
                <w:spacing w:val="-6"/>
                <w:kern w:val="21"/>
                <w:sz w:val="20"/>
                <w:szCs w:val="20"/>
                <w14:textFill>
                  <w14:solidFill>
                    <w14:schemeClr w14:val="tx1"/>
                  </w14:solidFill>
                </w14:textFill>
              </w:rPr>
              <w:fldChar w:fldCharType="end"/>
            </w:r>
          </w:p>
        </w:tc>
      </w:tr>
      <w:tr w14:paraId="28CA98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2" w:type="dxa"/>
            <w:vMerge w:val="restart"/>
            <w:vAlign w:val="center"/>
          </w:tcPr>
          <w:p w14:paraId="6BBA500D">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0"/>
                <w:szCs w:val="20"/>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0"/>
                <w14:textFill>
                  <w14:solidFill>
                    <w14:schemeClr w14:val="tx1"/>
                  </w14:solidFill>
                </w14:textFill>
              </w:rPr>
              <w:t>废气</w:t>
            </w:r>
          </w:p>
        </w:tc>
        <w:tc>
          <w:tcPr>
            <w:tcW w:w="433" w:type="dxa"/>
            <w:vMerge w:val="restart"/>
            <w:vAlign w:val="center"/>
          </w:tcPr>
          <w:p w14:paraId="71009496">
            <w:pPr>
              <w:jc w:val="center"/>
              <w:rPr>
                <w:rFonts w:hint="default" w:ascii="Times New Roman" w:hAnsi="Times New Roman" w:eastAsia="宋体" w:cs="Times New Roman"/>
                <w:snapToGrid w:val="0"/>
                <w:color w:val="000000" w:themeColor="text1"/>
                <w:kern w:val="21"/>
                <w:sz w:val="20"/>
                <w:szCs w:val="20"/>
                <w:lang w:val="en-US" w:eastAsia="zh-CN"/>
                <w14:textFill>
                  <w14:solidFill>
                    <w14:schemeClr w14:val="tx1"/>
                  </w14:solidFill>
                </w14:textFill>
              </w:rPr>
            </w:pPr>
            <w:r>
              <w:rPr>
                <w:rFonts w:hint="eastAsia" w:ascii="Times New Roman" w:hAnsi="Times New Roman" w:cs="Times New Roman"/>
                <w:snapToGrid w:val="0"/>
                <w:color w:val="000000" w:themeColor="text1"/>
                <w:kern w:val="21"/>
                <w:sz w:val="20"/>
                <w:szCs w:val="20"/>
                <w:lang w:val="en-US" w:eastAsia="zh-CN"/>
                <w14:textFill>
                  <w14:solidFill>
                    <w14:schemeClr w14:val="tx1"/>
                  </w14:solidFill>
                </w14:textFill>
              </w:rPr>
              <w:t>有机废气</w:t>
            </w:r>
          </w:p>
        </w:tc>
        <w:tc>
          <w:tcPr>
            <w:tcW w:w="1380" w:type="dxa"/>
            <w:vAlign w:val="center"/>
          </w:tcPr>
          <w:p w14:paraId="17FFF00F">
            <w:pPr>
              <w:jc w:val="center"/>
              <w:rPr>
                <w:rFonts w:hint="default" w:ascii="Times New Roman" w:hAnsi="Times New Roman" w:cs="Times New Roman"/>
                <w:color w:val="000000" w:themeColor="text1"/>
                <w:sz w:val="20"/>
                <w:szCs w:val="20"/>
                <w:lang w:eastAsia="zh-CN"/>
                <w14:textFill>
                  <w14:solidFill>
                    <w14:schemeClr w14:val="tx1"/>
                  </w14:solidFill>
                </w14:textFill>
              </w:rPr>
            </w:pPr>
            <w:r>
              <w:rPr>
                <w:rFonts w:hint="default" w:ascii="Times New Roman" w:hAnsi="Times New Roman" w:cs="Times New Roman"/>
                <w:color w:val="000000" w:themeColor="text1"/>
                <w:sz w:val="20"/>
                <w:szCs w:val="20"/>
                <w:lang w:eastAsia="zh-CN"/>
                <w14:textFill>
                  <w14:solidFill>
                    <w14:schemeClr w14:val="tx1"/>
                  </w14:solidFill>
                </w14:textFill>
              </w:rPr>
              <w:t>非甲烷总烃</w:t>
            </w:r>
          </w:p>
        </w:tc>
        <w:tc>
          <w:tcPr>
            <w:tcW w:w="1455" w:type="dxa"/>
            <w:vAlign w:val="center"/>
          </w:tcPr>
          <w:p w14:paraId="163F2A6E">
            <w:pPr>
              <w:jc w:val="center"/>
              <w:rPr>
                <w:rFonts w:hint="default" w:ascii="Times New Roman" w:hAnsi="Times New Roman" w:eastAsia="宋体" w:cs="Times New Roman"/>
                <w:snapToGrid w:val="0"/>
                <w:color w:val="000000" w:themeColor="text1"/>
                <w:kern w:val="21"/>
                <w:sz w:val="20"/>
                <w:szCs w:val="20"/>
                <w14:textFill>
                  <w14:solidFill>
                    <w14:schemeClr w14:val="tx1"/>
                  </w14:solidFill>
                </w14:textFill>
              </w:rPr>
            </w:pPr>
            <w:r>
              <w:rPr>
                <w:rFonts w:hint="eastAsia" w:cs="Times New Roman"/>
                <w:color w:val="000000" w:themeColor="text1"/>
                <w:sz w:val="20"/>
                <w:szCs w:val="20"/>
                <w:lang w:eastAsia="zh-CN"/>
                <w14:textFill>
                  <w14:solidFill>
                    <w14:schemeClr w14:val="tx1"/>
                  </w14:solidFill>
                </w14:textFill>
              </w:rPr>
              <w:t>0.2268</w:t>
            </w:r>
            <w:r>
              <w:rPr>
                <w:rFonts w:hint="eastAsia" w:ascii="Times New Roman" w:hAnsi="Times New Roman" w:eastAsia="宋体" w:cs="Times New Roman"/>
                <w:snapToGrid w:val="0"/>
                <w:color w:val="000000" w:themeColor="text1"/>
                <w:kern w:val="21"/>
                <w:sz w:val="20"/>
                <w:szCs w:val="20"/>
                <w:lang w:val="en-US" w:eastAsia="zh-CN"/>
                <w14:textFill>
                  <w14:solidFill>
                    <w14:schemeClr w14:val="tx1"/>
                  </w14:solidFill>
                </w14:textFill>
              </w:rPr>
              <w:t>t/a</w:t>
            </w:r>
          </w:p>
        </w:tc>
        <w:tc>
          <w:tcPr>
            <w:tcW w:w="1052" w:type="dxa"/>
            <w:vAlign w:val="center"/>
          </w:tcPr>
          <w:p w14:paraId="3569BBD4">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0"/>
                <w:szCs w:val="20"/>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0"/>
                <w14:textFill>
                  <w14:solidFill>
                    <w14:schemeClr w14:val="tx1"/>
                  </w14:solidFill>
                </w14:textFill>
              </w:rPr>
              <w:t>/</w:t>
            </w:r>
          </w:p>
        </w:tc>
        <w:tc>
          <w:tcPr>
            <w:tcW w:w="1680" w:type="dxa"/>
            <w:vAlign w:val="center"/>
          </w:tcPr>
          <w:p w14:paraId="0D9E3267">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0"/>
                <w:szCs w:val="20"/>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0"/>
                <w14:textFill>
                  <w14:solidFill>
                    <w14:schemeClr w14:val="tx1"/>
                  </w14:solidFill>
                </w14:textFill>
              </w:rPr>
              <w:t>/</w:t>
            </w:r>
          </w:p>
        </w:tc>
        <w:tc>
          <w:tcPr>
            <w:tcW w:w="1665" w:type="dxa"/>
            <w:shd w:val="clear" w:color="auto" w:fill="auto"/>
            <w:vAlign w:val="center"/>
          </w:tcPr>
          <w:p w14:paraId="3DEB5CE4">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snapToGrid w:val="0"/>
                <w:color w:val="000000" w:themeColor="text1"/>
                <w:kern w:val="21"/>
                <w:sz w:val="20"/>
                <w:szCs w:val="20"/>
                <w:lang w:val="en-US" w:eastAsia="zh-CN"/>
                <w14:textFill>
                  <w14:solidFill>
                    <w14:schemeClr w14:val="tx1"/>
                  </w14:solidFill>
                </w14:textFill>
              </w:rPr>
            </w:pPr>
            <w:r>
              <w:rPr>
                <w:rFonts w:hint="eastAsia" w:cs="Times New Roman"/>
                <w:color w:val="000000" w:themeColor="text1"/>
                <w:sz w:val="20"/>
                <w:szCs w:val="20"/>
                <w:lang w:val="en-US" w:eastAsia="zh-CN"/>
                <w14:textFill>
                  <w14:solidFill>
                    <w14:schemeClr w14:val="tx1"/>
                  </w14:solidFill>
                </w14:textFill>
              </w:rPr>
              <w:t>0.1044</w:t>
            </w:r>
            <w:r>
              <w:rPr>
                <w:rFonts w:hint="eastAsia" w:ascii="Times New Roman" w:hAnsi="Times New Roman" w:eastAsia="宋体" w:cs="Times New Roman"/>
                <w:snapToGrid w:val="0"/>
                <w:color w:val="000000" w:themeColor="text1"/>
                <w:kern w:val="21"/>
                <w:sz w:val="20"/>
                <w:szCs w:val="20"/>
                <w:lang w:val="en-US" w:eastAsia="zh-CN"/>
                <w14:textFill>
                  <w14:solidFill>
                    <w14:schemeClr w14:val="tx1"/>
                  </w14:solidFill>
                </w14:textFill>
              </w:rPr>
              <w:t>t/a</w:t>
            </w:r>
          </w:p>
        </w:tc>
        <w:tc>
          <w:tcPr>
            <w:tcW w:w="1770" w:type="dxa"/>
            <w:vAlign w:val="center"/>
          </w:tcPr>
          <w:p w14:paraId="6C72BD68">
            <w:pPr>
              <w:jc w:val="center"/>
              <w:rPr>
                <w:rFonts w:hint="default" w:ascii="Times New Roman" w:hAnsi="Times New Roman" w:eastAsia="宋体" w:cs="Times New Roman"/>
                <w:snapToGrid w:val="0"/>
                <w:color w:val="000000" w:themeColor="text1"/>
                <w:kern w:val="21"/>
                <w:sz w:val="20"/>
                <w:szCs w:val="20"/>
                <w:lang w:val="en-US" w:eastAsia="zh-CN"/>
                <w14:textFill>
                  <w14:solidFill>
                    <w14:schemeClr w14:val="tx1"/>
                  </w14:solidFill>
                </w14:textFill>
              </w:rPr>
            </w:pPr>
            <w:r>
              <w:rPr>
                <w:rFonts w:hint="eastAsia" w:cs="Times New Roman"/>
                <w:color w:val="000000" w:themeColor="text1"/>
                <w:sz w:val="20"/>
                <w:szCs w:val="20"/>
                <w:lang w:eastAsia="zh-CN"/>
                <w14:textFill>
                  <w14:solidFill>
                    <w14:schemeClr w14:val="tx1"/>
                  </w14:solidFill>
                </w14:textFill>
              </w:rPr>
              <w:t>0.2268</w:t>
            </w:r>
            <w:r>
              <w:rPr>
                <w:rFonts w:hint="eastAsia" w:ascii="Times New Roman" w:hAnsi="Times New Roman" w:eastAsia="宋体" w:cs="Times New Roman"/>
                <w:snapToGrid w:val="0"/>
                <w:color w:val="000000" w:themeColor="text1"/>
                <w:kern w:val="21"/>
                <w:sz w:val="20"/>
                <w:szCs w:val="20"/>
                <w:lang w:val="en-US" w:eastAsia="zh-CN"/>
                <w14:textFill>
                  <w14:solidFill>
                    <w14:schemeClr w14:val="tx1"/>
                  </w14:solidFill>
                </w14:textFill>
              </w:rPr>
              <w:t>t/a</w:t>
            </w:r>
          </w:p>
        </w:tc>
        <w:tc>
          <w:tcPr>
            <w:tcW w:w="1558" w:type="dxa"/>
            <w:vAlign w:val="center"/>
          </w:tcPr>
          <w:p w14:paraId="508F2CA4">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snapToGrid w:val="0"/>
                <w:color w:val="000000" w:themeColor="text1"/>
                <w:kern w:val="21"/>
                <w:sz w:val="20"/>
                <w:szCs w:val="20"/>
                <w:lang w:val="en-US" w:eastAsia="zh-CN"/>
                <w14:textFill>
                  <w14:solidFill>
                    <w14:schemeClr w14:val="tx1"/>
                  </w14:solidFill>
                </w14:textFill>
              </w:rPr>
            </w:pPr>
            <w:r>
              <w:rPr>
                <w:rFonts w:hint="eastAsia" w:cs="Times New Roman"/>
                <w:color w:val="000000" w:themeColor="text1"/>
                <w:sz w:val="20"/>
                <w:szCs w:val="20"/>
                <w:lang w:val="en-US" w:eastAsia="zh-CN"/>
                <w14:textFill>
                  <w14:solidFill>
                    <w14:schemeClr w14:val="tx1"/>
                  </w14:solidFill>
                </w14:textFill>
              </w:rPr>
              <w:t>0.1044</w:t>
            </w:r>
            <w:r>
              <w:rPr>
                <w:rFonts w:hint="eastAsia" w:ascii="Times New Roman" w:hAnsi="Times New Roman" w:eastAsia="宋体" w:cs="Times New Roman"/>
                <w:snapToGrid w:val="0"/>
                <w:color w:val="000000" w:themeColor="text1"/>
                <w:kern w:val="21"/>
                <w:sz w:val="20"/>
                <w:szCs w:val="20"/>
                <w:lang w:val="en-US" w:eastAsia="zh-CN"/>
                <w14:textFill>
                  <w14:solidFill>
                    <w14:schemeClr w14:val="tx1"/>
                  </w14:solidFill>
                </w14:textFill>
              </w:rPr>
              <w:t>t/a</w:t>
            </w:r>
          </w:p>
        </w:tc>
        <w:tc>
          <w:tcPr>
            <w:tcW w:w="1443" w:type="dxa"/>
            <w:vAlign w:val="center"/>
          </w:tcPr>
          <w:p w14:paraId="58DD42B2">
            <w:pPr>
              <w:jc w:val="center"/>
              <w:rPr>
                <w:rFonts w:hint="default" w:ascii="Times New Roman" w:hAnsi="Times New Roman" w:eastAsia="宋体" w:cs="Times New Roman"/>
                <w:snapToGrid w:val="0"/>
                <w:color w:val="000000" w:themeColor="text1"/>
                <w:kern w:val="2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w:t>
            </w:r>
            <w:r>
              <w:rPr>
                <w:rFonts w:hint="eastAsia" w:cs="Times New Roman"/>
                <w:color w:val="000000" w:themeColor="text1"/>
                <w:sz w:val="20"/>
                <w:szCs w:val="20"/>
                <w:lang w:val="en-US" w:eastAsia="zh-CN"/>
                <w14:textFill>
                  <w14:solidFill>
                    <w14:schemeClr w14:val="tx1"/>
                  </w14:solidFill>
                </w14:textFill>
              </w:rPr>
              <w:t>0.1224</w:t>
            </w:r>
            <w:r>
              <w:rPr>
                <w:rFonts w:hint="eastAsia" w:ascii="Times New Roman" w:hAnsi="Times New Roman" w:eastAsia="宋体" w:cs="Times New Roman"/>
                <w:snapToGrid w:val="0"/>
                <w:color w:val="000000" w:themeColor="text1"/>
                <w:kern w:val="21"/>
                <w:sz w:val="20"/>
                <w:szCs w:val="20"/>
                <w:lang w:val="en-US" w:eastAsia="zh-CN"/>
                <w14:textFill>
                  <w14:solidFill>
                    <w14:schemeClr w14:val="tx1"/>
                  </w14:solidFill>
                </w14:textFill>
              </w:rPr>
              <w:t>t/a</w:t>
            </w:r>
          </w:p>
        </w:tc>
      </w:tr>
      <w:tr w14:paraId="133784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52" w:type="dxa"/>
            <w:vMerge w:val="continue"/>
            <w:vAlign w:val="center"/>
          </w:tcPr>
          <w:p w14:paraId="1A9C0509">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0"/>
                <w:szCs w:val="20"/>
                <w14:textFill>
                  <w14:solidFill>
                    <w14:schemeClr w14:val="tx1"/>
                  </w14:solidFill>
                </w14:textFill>
              </w:rPr>
            </w:pPr>
          </w:p>
        </w:tc>
        <w:tc>
          <w:tcPr>
            <w:tcW w:w="433" w:type="dxa"/>
            <w:vMerge w:val="continue"/>
            <w:vAlign w:val="center"/>
          </w:tcPr>
          <w:p w14:paraId="319CA142">
            <w:pPr>
              <w:jc w:val="center"/>
              <w:rPr>
                <w:rFonts w:hint="default" w:ascii="Times New Roman" w:hAnsi="Times New Roman" w:eastAsia="宋体" w:cs="Times New Roman"/>
                <w:snapToGrid w:val="0"/>
                <w:color w:val="000000" w:themeColor="text1"/>
                <w:kern w:val="21"/>
                <w:sz w:val="20"/>
                <w:szCs w:val="20"/>
                <w:lang w:val="en-US" w:eastAsia="zh-CN"/>
                <w14:textFill>
                  <w14:solidFill>
                    <w14:schemeClr w14:val="tx1"/>
                  </w14:solidFill>
                </w14:textFill>
              </w:rPr>
            </w:pPr>
          </w:p>
        </w:tc>
        <w:tc>
          <w:tcPr>
            <w:tcW w:w="1380" w:type="dxa"/>
            <w:vAlign w:val="center"/>
          </w:tcPr>
          <w:p w14:paraId="0F132161">
            <w:pPr>
              <w:jc w:val="center"/>
              <w:rPr>
                <w:rFonts w:hint="default" w:ascii="Times New Roman" w:hAnsi="Times New Roman" w:cs="Times New Roman"/>
                <w:color w:val="000000" w:themeColor="text1"/>
                <w:sz w:val="20"/>
                <w:szCs w:val="20"/>
                <w:lang w:eastAsia="zh-CN"/>
                <w14:textFill>
                  <w14:solidFill>
                    <w14:schemeClr w14:val="tx1"/>
                  </w14:solidFill>
                </w14:textFill>
              </w:rPr>
            </w:pPr>
            <w:r>
              <w:rPr>
                <w:rFonts w:hint="default" w:ascii="Times New Roman" w:hAnsi="Times New Roman" w:cs="Times New Roman"/>
                <w:color w:val="000000" w:themeColor="text1"/>
                <w:sz w:val="20"/>
                <w:szCs w:val="20"/>
                <w:lang w:eastAsia="zh-CN"/>
                <w14:textFill>
                  <w14:solidFill>
                    <w14:schemeClr w14:val="tx1"/>
                  </w14:solidFill>
                </w14:textFill>
              </w:rPr>
              <w:t>甲苯</w:t>
            </w:r>
          </w:p>
        </w:tc>
        <w:tc>
          <w:tcPr>
            <w:tcW w:w="1455" w:type="dxa"/>
            <w:vAlign w:val="center"/>
          </w:tcPr>
          <w:p w14:paraId="386C3ADD">
            <w:pPr>
              <w:jc w:val="center"/>
              <w:rPr>
                <w:rFonts w:hint="default" w:ascii="Times New Roman" w:hAnsi="Times New Roman" w:eastAsia="宋体" w:cs="Times New Roman"/>
                <w:snapToGrid w:val="0"/>
                <w:color w:val="000000" w:themeColor="text1"/>
                <w:kern w:val="21"/>
                <w:sz w:val="20"/>
                <w:szCs w:val="20"/>
                <w14:textFill>
                  <w14:solidFill>
                    <w14:schemeClr w14:val="tx1"/>
                  </w14:solidFill>
                </w14:textFill>
              </w:rPr>
            </w:pPr>
            <w:r>
              <w:rPr>
                <w:rFonts w:hint="default" w:ascii="Times New Roman" w:hAnsi="Times New Roman" w:eastAsia="宋体" w:cs="Times New Roman"/>
                <w:color w:val="000000" w:themeColor="text1"/>
                <w:sz w:val="20"/>
                <w:szCs w:val="20"/>
                <w14:textFill>
                  <w14:solidFill>
                    <w14:schemeClr w14:val="tx1"/>
                  </w14:solidFill>
                </w14:textFill>
              </w:rPr>
              <w:t>0.0007128</w:t>
            </w:r>
            <w:r>
              <w:rPr>
                <w:rFonts w:hint="eastAsia" w:ascii="Times New Roman" w:hAnsi="Times New Roman" w:eastAsia="宋体" w:cs="Times New Roman"/>
                <w:snapToGrid w:val="0"/>
                <w:color w:val="000000" w:themeColor="text1"/>
                <w:kern w:val="21"/>
                <w:sz w:val="20"/>
                <w:szCs w:val="20"/>
                <w:lang w:val="en-US" w:eastAsia="zh-CN"/>
                <w14:textFill>
                  <w14:solidFill>
                    <w14:schemeClr w14:val="tx1"/>
                  </w14:solidFill>
                </w14:textFill>
              </w:rPr>
              <w:t>t/a</w:t>
            </w:r>
          </w:p>
        </w:tc>
        <w:tc>
          <w:tcPr>
            <w:tcW w:w="1052" w:type="dxa"/>
            <w:vAlign w:val="center"/>
          </w:tcPr>
          <w:p w14:paraId="0C5FA333">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0"/>
                <w:szCs w:val="20"/>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0"/>
                <w14:textFill>
                  <w14:solidFill>
                    <w14:schemeClr w14:val="tx1"/>
                  </w14:solidFill>
                </w14:textFill>
              </w:rPr>
              <w:t>/</w:t>
            </w:r>
          </w:p>
        </w:tc>
        <w:tc>
          <w:tcPr>
            <w:tcW w:w="1680" w:type="dxa"/>
            <w:vAlign w:val="center"/>
          </w:tcPr>
          <w:p w14:paraId="42125275">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0"/>
                <w:szCs w:val="20"/>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0"/>
                <w14:textFill>
                  <w14:solidFill>
                    <w14:schemeClr w14:val="tx1"/>
                  </w14:solidFill>
                </w14:textFill>
              </w:rPr>
              <w:t>/</w:t>
            </w:r>
          </w:p>
        </w:tc>
        <w:tc>
          <w:tcPr>
            <w:tcW w:w="1665" w:type="dxa"/>
            <w:shd w:val="clear" w:color="auto" w:fill="auto"/>
            <w:vAlign w:val="center"/>
          </w:tcPr>
          <w:p w14:paraId="5A715B26">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snapToGrid w:val="0"/>
                <w:color w:val="000000" w:themeColor="text1"/>
                <w:kern w:val="21"/>
                <w:sz w:val="20"/>
                <w:szCs w:val="20"/>
                <w:lang w:val="en-US" w:eastAsia="zh-CN"/>
                <w14:textFill>
                  <w14:solidFill>
                    <w14:schemeClr w14:val="tx1"/>
                  </w14:solidFill>
                </w14:textFill>
              </w:rPr>
            </w:pPr>
            <w:r>
              <w:rPr>
                <w:rFonts w:hint="default" w:ascii="Times New Roman" w:hAnsi="Times New Roman" w:eastAsia="宋体" w:cs="Times New Roman"/>
                <w:color w:val="000000" w:themeColor="text1"/>
                <w:sz w:val="20"/>
                <w:szCs w:val="20"/>
                <w:lang w:val="en-US" w:eastAsia="zh-CN"/>
                <w14:textFill>
                  <w14:solidFill>
                    <w14:schemeClr w14:val="tx1"/>
                  </w14:solidFill>
                </w14:textFill>
              </w:rPr>
              <w:t>0.0003168</w:t>
            </w:r>
            <w:r>
              <w:rPr>
                <w:rFonts w:hint="eastAsia" w:ascii="Times New Roman" w:hAnsi="Times New Roman" w:eastAsia="宋体" w:cs="Times New Roman"/>
                <w:snapToGrid w:val="0"/>
                <w:color w:val="000000" w:themeColor="text1"/>
                <w:kern w:val="21"/>
                <w:sz w:val="20"/>
                <w:szCs w:val="20"/>
                <w:lang w:val="en-US" w:eastAsia="zh-CN"/>
                <w14:textFill>
                  <w14:solidFill>
                    <w14:schemeClr w14:val="tx1"/>
                  </w14:solidFill>
                </w14:textFill>
              </w:rPr>
              <w:t>t/a</w:t>
            </w:r>
          </w:p>
        </w:tc>
        <w:tc>
          <w:tcPr>
            <w:tcW w:w="1770" w:type="dxa"/>
            <w:vAlign w:val="center"/>
          </w:tcPr>
          <w:p w14:paraId="5DB415A5">
            <w:pPr>
              <w:jc w:val="center"/>
              <w:rPr>
                <w:rFonts w:hint="default" w:ascii="Times New Roman" w:hAnsi="Times New Roman" w:eastAsia="宋体" w:cs="Times New Roman"/>
                <w:snapToGrid w:val="0"/>
                <w:color w:val="000000" w:themeColor="text1"/>
                <w:kern w:val="21"/>
                <w:sz w:val="20"/>
                <w:szCs w:val="20"/>
                <w:lang w:val="en-US" w:eastAsia="zh-CN"/>
                <w14:textFill>
                  <w14:solidFill>
                    <w14:schemeClr w14:val="tx1"/>
                  </w14:solidFill>
                </w14:textFill>
              </w:rPr>
            </w:pPr>
            <w:r>
              <w:rPr>
                <w:rFonts w:hint="default" w:ascii="Times New Roman" w:hAnsi="Times New Roman" w:eastAsia="宋体" w:cs="Times New Roman"/>
                <w:color w:val="000000" w:themeColor="text1"/>
                <w:sz w:val="20"/>
                <w:szCs w:val="20"/>
                <w14:textFill>
                  <w14:solidFill>
                    <w14:schemeClr w14:val="tx1"/>
                  </w14:solidFill>
                </w14:textFill>
              </w:rPr>
              <w:t>0.0007128</w:t>
            </w:r>
            <w:r>
              <w:rPr>
                <w:rFonts w:hint="eastAsia" w:ascii="Times New Roman" w:hAnsi="Times New Roman" w:eastAsia="宋体" w:cs="Times New Roman"/>
                <w:snapToGrid w:val="0"/>
                <w:color w:val="000000" w:themeColor="text1"/>
                <w:kern w:val="21"/>
                <w:sz w:val="20"/>
                <w:szCs w:val="20"/>
                <w:lang w:val="en-US" w:eastAsia="zh-CN"/>
                <w14:textFill>
                  <w14:solidFill>
                    <w14:schemeClr w14:val="tx1"/>
                  </w14:solidFill>
                </w14:textFill>
              </w:rPr>
              <w:t>t/a</w:t>
            </w:r>
          </w:p>
        </w:tc>
        <w:tc>
          <w:tcPr>
            <w:tcW w:w="1558" w:type="dxa"/>
            <w:vAlign w:val="center"/>
          </w:tcPr>
          <w:p w14:paraId="22B78B08">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snapToGrid w:val="0"/>
                <w:color w:val="000000" w:themeColor="text1"/>
                <w:kern w:val="21"/>
                <w:sz w:val="20"/>
                <w:szCs w:val="20"/>
                <w:lang w:val="en-US" w:eastAsia="zh-CN"/>
                <w14:textFill>
                  <w14:solidFill>
                    <w14:schemeClr w14:val="tx1"/>
                  </w14:solidFill>
                </w14:textFill>
              </w:rPr>
            </w:pPr>
            <w:r>
              <w:rPr>
                <w:rFonts w:hint="default" w:ascii="Times New Roman" w:hAnsi="Times New Roman" w:eastAsia="宋体" w:cs="Times New Roman"/>
                <w:color w:val="000000" w:themeColor="text1"/>
                <w:sz w:val="20"/>
                <w:szCs w:val="20"/>
                <w:lang w:val="en-US" w:eastAsia="zh-CN"/>
                <w14:textFill>
                  <w14:solidFill>
                    <w14:schemeClr w14:val="tx1"/>
                  </w14:solidFill>
                </w14:textFill>
              </w:rPr>
              <w:t>0.0003168</w:t>
            </w:r>
            <w:r>
              <w:rPr>
                <w:rFonts w:hint="eastAsia" w:ascii="Times New Roman" w:hAnsi="Times New Roman" w:eastAsia="宋体" w:cs="Times New Roman"/>
                <w:snapToGrid w:val="0"/>
                <w:color w:val="000000" w:themeColor="text1"/>
                <w:kern w:val="21"/>
                <w:sz w:val="20"/>
                <w:szCs w:val="20"/>
                <w:lang w:val="en-US" w:eastAsia="zh-CN"/>
                <w14:textFill>
                  <w14:solidFill>
                    <w14:schemeClr w14:val="tx1"/>
                  </w14:solidFill>
                </w14:textFill>
              </w:rPr>
              <w:t>t/a</w:t>
            </w:r>
          </w:p>
        </w:tc>
        <w:tc>
          <w:tcPr>
            <w:tcW w:w="1443" w:type="dxa"/>
            <w:vAlign w:val="center"/>
          </w:tcPr>
          <w:p w14:paraId="6470553A">
            <w:pPr>
              <w:jc w:val="center"/>
              <w:rPr>
                <w:rFonts w:hint="default" w:ascii="Times New Roman" w:hAnsi="Times New Roman" w:eastAsia="宋体" w:cs="Times New Roman"/>
                <w:snapToGrid w:val="0"/>
                <w:color w:val="000000" w:themeColor="text1"/>
                <w:kern w:val="2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-0.000396</w:t>
            </w:r>
            <w:r>
              <w:rPr>
                <w:rFonts w:hint="eastAsia" w:ascii="Times New Roman" w:hAnsi="Times New Roman" w:eastAsia="宋体" w:cs="Times New Roman"/>
                <w:snapToGrid w:val="0"/>
                <w:color w:val="000000" w:themeColor="text1"/>
                <w:kern w:val="21"/>
                <w:sz w:val="20"/>
                <w:szCs w:val="20"/>
                <w:lang w:val="en-US" w:eastAsia="zh-CN"/>
                <w14:textFill>
                  <w14:solidFill>
                    <w14:schemeClr w14:val="tx1"/>
                  </w14:solidFill>
                </w14:textFill>
              </w:rPr>
              <w:t>t/a</w:t>
            </w:r>
          </w:p>
        </w:tc>
      </w:tr>
      <w:tr w14:paraId="43F094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52" w:type="dxa"/>
            <w:vMerge w:val="continue"/>
            <w:vAlign w:val="center"/>
          </w:tcPr>
          <w:p w14:paraId="08DA0715">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0"/>
                <w:szCs w:val="20"/>
                <w14:textFill>
                  <w14:solidFill>
                    <w14:schemeClr w14:val="tx1"/>
                  </w14:solidFill>
                </w14:textFill>
              </w:rPr>
            </w:pPr>
          </w:p>
        </w:tc>
        <w:tc>
          <w:tcPr>
            <w:tcW w:w="433" w:type="dxa"/>
            <w:vMerge w:val="continue"/>
            <w:vAlign w:val="center"/>
          </w:tcPr>
          <w:p w14:paraId="6C43300C">
            <w:pPr>
              <w:jc w:val="center"/>
              <w:rPr>
                <w:rFonts w:hint="default" w:ascii="Times New Roman" w:hAnsi="Times New Roman" w:eastAsia="宋体" w:cs="Times New Roman"/>
                <w:snapToGrid w:val="0"/>
                <w:color w:val="000000" w:themeColor="text1"/>
                <w:kern w:val="21"/>
                <w:sz w:val="20"/>
                <w:szCs w:val="20"/>
                <w:lang w:val="en-US" w:eastAsia="zh-CN"/>
                <w14:textFill>
                  <w14:solidFill>
                    <w14:schemeClr w14:val="tx1"/>
                  </w14:solidFill>
                </w14:textFill>
              </w:rPr>
            </w:pPr>
          </w:p>
        </w:tc>
        <w:tc>
          <w:tcPr>
            <w:tcW w:w="1380" w:type="dxa"/>
            <w:vAlign w:val="center"/>
          </w:tcPr>
          <w:p w14:paraId="7CAF923D">
            <w:pPr>
              <w:jc w:val="center"/>
              <w:rPr>
                <w:rFonts w:hint="default" w:ascii="Times New Roman" w:hAnsi="Times New Roman" w:cs="Times New Roman"/>
                <w:color w:val="000000" w:themeColor="text1"/>
                <w:sz w:val="20"/>
                <w:szCs w:val="20"/>
                <w:lang w:eastAsia="zh-CN"/>
                <w14:textFill>
                  <w14:solidFill>
                    <w14:schemeClr w14:val="tx1"/>
                  </w14:solidFill>
                </w14:textFill>
              </w:rPr>
            </w:pPr>
            <w:r>
              <w:rPr>
                <w:rFonts w:hint="default" w:ascii="Times New Roman" w:hAnsi="Times New Roman" w:cs="Times New Roman"/>
                <w:color w:val="000000" w:themeColor="text1"/>
                <w:sz w:val="20"/>
                <w:szCs w:val="20"/>
                <w:lang w:eastAsia="zh-CN"/>
                <w14:textFill>
                  <w14:solidFill>
                    <w14:schemeClr w14:val="tx1"/>
                  </w14:solidFill>
                </w14:textFill>
              </w:rPr>
              <w:t>乙苯</w:t>
            </w:r>
          </w:p>
        </w:tc>
        <w:tc>
          <w:tcPr>
            <w:tcW w:w="1455" w:type="dxa"/>
            <w:vAlign w:val="center"/>
          </w:tcPr>
          <w:p w14:paraId="1E037B22">
            <w:pPr>
              <w:jc w:val="center"/>
              <w:rPr>
                <w:rFonts w:hint="default" w:ascii="Times New Roman" w:hAnsi="Times New Roman" w:eastAsia="宋体" w:cs="Times New Roman"/>
                <w:snapToGrid w:val="0"/>
                <w:color w:val="000000" w:themeColor="text1"/>
                <w:kern w:val="21"/>
                <w:sz w:val="20"/>
                <w:szCs w:val="20"/>
                <w14:textFill>
                  <w14:solidFill>
                    <w14:schemeClr w14:val="tx1"/>
                  </w14:solidFill>
                </w14:textFill>
              </w:rPr>
            </w:pPr>
            <w:r>
              <w:rPr>
                <w:rFonts w:hint="default" w:ascii="Times New Roman" w:hAnsi="Times New Roman" w:eastAsia="宋体" w:cs="Times New Roman"/>
                <w:color w:val="000000" w:themeColor="text1"/>
                <w:sz w:val="20"/>
                <w:szCs w:val="20"/>
                <w14:textFill>
                  <w14:solidFill>
                    <w14:schemeClr w14:val="tx1"/>
                  </w14:solidFill>
                </w14:textFill>
              </w:rPr>
              <w:t>0.0005</w:t>
            </w:r>
            <w:r>
              <w:rPr>
                <w:rFonts w:hint="eastAsia" w:cs="Times New Roman"/>
                <w:color w:val="000000" w:themeColor="text1"/>
                <w:sz w:val="20"/>
                <w:szCs w:val="20"/>
                <w:lang w:val="en-US" w:eastAsia="zh-CN"/>
                <w14:textFill>
                  <w14:solidFill>
                    <w14:schemeClr w14:val="tx1"/>
                  </w14:solidFill>
                </w14:textFill>
              </w:rPr>
              <w:t>8</w:t>
            </w:r>
            <w:r>
              <w:rPr>
                <w:rFonts w:hint="default" w:ascii="Times New Roman" w:hAnsi="Times New Roman" w:eastAsia="宋体" w:cs="Times New Roman"/>
                <w:color w:val="000000" w:themeColor="text1"/>
                <w:sz w:val="20"/>
                <w:szCs w:val="20"/>
                <w14:textFill>
                  <w14:solidFill>
                    <w14:schemeClr w14:val="tx1"/>
                  </w14:solidFill>
                </w14:textFill>
              </w:rPr>
              <w:t>32</w:t>
            </w:r>
            <w:r>
              <w:rPr>
                <w:rFonts w:hint="eastAsia" w:ascii="Times New Roman" w:hAnsi="Times New Roman" w:eastAsia="宋体" w:cs="Times New Roman"/>
                <w:snapToGrid w:val="0"/>
                <w:color w:val="000000" w:themeColor="text1"/>
                <w:kern w:val="21"/>
                <w:sz w:val="20"/>
                <w:szCs w:val="20"/>
                <w:lang w:val="en-US" w:eastAsia="zh-CN"/>
                <w14:textFill>
                  <w14:solidFill>
                    <w14:schemeClr w14:val="tx1"/>
                  </w14:solidFill>
                </w14:textFill>
              </w:rPr>
              <w:t>t/a</w:t>
            </w:r>
          </w:p>
        </w:tc>
        <w:tc>
          <w:tcPr>
            <w:tcW w:w="1052" w:type="dxa"/>
            <w:vAlign w:val="center"/>
          </w:tcPr>
          <w:p w14:paraId="566DF1F4">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0"/>
                <w:szCs w:val="20"/>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0"/>
                <w14:textFill>
                  <w14:solidFill>
                    <w14:schemeClr w14:val="tx1"/>
                  </w14:solidFill>
                </w14:textFill>
              </w:rPr>
              <w:t>/</w:t>
            </w:r>
          </w:p>
        </w:tc>
        <w:tc>
          <w:tcPr>
            <w:tcW w:w="1680" w:type="dxa"/>
            <w:vAlign w:val="center"/>
          </w:tcPr>
          <w:p w14:paraId="6748A607">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0"/>
                <w:szCs w:val="20"/>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0"/>
                <w14:textFill>
                  <w14:solidFill>
                    <w14:schemeClr w14:val="tx1"/>
                  </w14:solidFill>
                </w14:textFill>
              </w:rPr>
              <w:t>/</w:t>
            </w:r>
          </w:p>
        </w:tc>
        <w:tc>
          <w:tcPr>
            <w:tcW w:w="1665" w:type="dxa"/>
            <w:shd w:val="clear" w:color="auto" w:fill="auto"/>
            <w:vAlign w:val="center"/>
          </w:tcPr>
          <w:p w14:paraId="3B03DB07">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snapToGrid w:val="0"/>
                <w:color w:val="000000" w:themeColor="text1"/>
                <w:kern w:val="21"/>
                <w:sz w:val="20"/>
                <w:szCs w:val="20"/>
                <w:lang w:val="en-US" w:eastAsia="zh-CN"/>
                <w14:textFill>
                  <w14:solidFill>
                    <w14:schemeClr w14:val="tx1"/>
                  </w14:solidFill>
                </w14:textFill>
              </w:rPr>
            </w:pPr>
            <w:r>
              <w:rPr>
                <w:rFonts w:hint="default" w:ascii="Times New Roman" w:hAnsi="Times New Roman" w:eastAsia="宋体" w:cs="Times New Roman"/>
                <w:color w:val="000000" w:themeColor="text1"/>
                <w:sz w:val="20"/>
                <w:szCs w:val="20"/>
                <w:lang w:val="en-US" w:eastAsia="zh-CN"/>
                <w14:textFill>
                  <w14:solidFill>
                    <w14:schemeClr w14:val="tx1"/>
                  </w14:solidFill>
                </w14:textFill>
              </w:rPr>
              <w:t>0.0002592</w:t>
            </w:r>
            <w:r>
              <w:rPr>
                <w:rFonts w:hint="eastAsia" w:ascii="Times New Roman" w:hAnsi="Times New Roman" w:eastAsia="宋体" w:cs="Times New Roman"/>
                <w:snapToGrid w:val="0"/>
                <w:color w:val="000000" w:themeColor="text1"/>
                <w:kern w:val="21"/>
                <w:sz w:val="20"/>
                <w:szCs w:val="20"/>
                <w:lang w:val="en-US" w:eastAsia="zh-CN"/>
                <w14:textFill>
                  <w14:solidFill>
                    <w14:schemeClr w14:val="tx1"/>
                  </w14:solidFill>
                </w14:textFill>
              </w:rPr>
              <w:t>t/a</w:t>
            </w:r>
          </w:p>
        </w:tc>
        <w:tc>
          <w:tcPr>
            <w:tcW w:w="1770" w:type="dxa"/>
            <w:vAlign w:val="center"/>
          </w:tcPr>
          <w:p w14:paraId="0F7D04EF">
            <w:pPr>
              <w:jc w:val="center"/>
              <w:rPr>
                <w:rFonts w:hint="default" w:ascii="Times New Roman" w:hAnsi="Times New Roman" w:eastAsia="宋体" w:cs="Times New Roman"/>
                <w:snapToGrid w:val="0"/>
                <w:color w:val="000000" w:themeColor="text1"/>
                <w:kern w:val="21"/>
                <w:sz w:val="20"/>
                <w:szCs w:val="20"/>
                <w:lang w:val="en-US" w:eastAsia="zh-CN"/>
                <w14:textFill>
                  <w14:solidFill>
                    <w14:schemeClr w14:val="tx1"/>
                  </w14:solidFill>
                </w14:textFill>
              </w:rPr>
            </w:pPr>
            <w:r>
              <w:rPr>
                <w:rFonts w:hint="default" w:ascii="Times New Roman" w:hAnsi="Times New Roman" w:eastAsia="宋体" w:cs="Times New Roman"/>
                <w:color w:val="000000" w:themeColor="text1"/>
                <w:sz w:val="20"/>
                <w:szCs w:val="20"/>
                <w14:textFill>
                  <w14:solidFill>
                    <w14:schemeClr w14:val="tx1"/>
                  </w14:solidFill>
                </w14:textFill>
              </w:rPr>
              <w:t>0.0005</w:t>
            </w:r>
            <w:r>
              <w:rPr>
                <w:rFonts w:hint="eastAsia" w:cs="Times New Roman"/>
                <w:color w:val="000000" w:themeColor="text1"/>
                <w:sz w:val="20"/>
                <w:szCs w:val="20"/>
                <w:lang w:val="en-US" w:eastAsia="zh-CN"/>
                <w14:textFill>
                  <w14:solidFill>
                    <w14:schemeClr w14:val="tx1"/>
                  </w14:solidFill>
                </w14:textFill>
              </w:rPr>
              <w:t>8</w:t>
            </w:r>
            <w:r>
              <w:rPr>
                <w:rFonts w:hint="default" w:ascii="Times New Roman" w:hAnsi="Times New Roman" w:eastAsia="宋体" w:cs="Times New Roman"/>
                <w:color w:val="000000" w:themeColor="text1"/>
                <w:sz w:val="20"/>
                <w:szCs w:val="20"/>
                <w14:textFill>
                  <w14:solidFill>
                    <w14:schemeClr w14:val="tx1"/>
                  </w14:solidFill>
                </w14:textFill>
              </w:rPr>
              <w:t>32</w:t>
            </w:r>
            <w:r>
              <w:rPr>
                <w:rFonts w:hint="eastAsia" w:ascii="Times New Roman" w:hAnsi="Times New Roman" w:eastAsia="宋体" w:cs="Times New Roman"/>
                <w:snapToGrid w:val="0"/>
                <w:color w:val="000000" w:themeColor="text1"/>
                <w:kern w:val="21"/>
                <w:sz w:val="20"/>
                <w:szCs w:val="20"/>
                <w:lang w:val="en-US" w:eastAsia="zh-CN"/>
                <w14:textFill>
                  <w14:solidFill>
                    <w14:schemeClr w14:val="tx1"/>
                  </w14:solidFill>
                </w14:textFill>
              </w:rPr>
              <w:t>t/a</w:t>
            </w:r>
          </w:p>
        </w:tc>
        <w:tc>
          <w:tcPr>
            <w:tcW w:w="1558" w:type="dxa"/>
            <w:vAlign w:val="center"/>
          </w:tcPr>
          <w:p w14:paraId="3D4DF324">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snapToGrid w:val="0"/>
                <w:color w:val="000000" w:themeColor="text1"/>
                <w:kern w:val="21"/>
                <w:sz w:val="20"/>
                <w:szCs w:val="20"/>
                <w:lang w:val="en-US" w:eastAsia="zh-CN"/>
                <w14:textFill>
                  <w14:solidFill>
                    <w14:schemeClr w14:val="tx1"/>
                  </w14:solidFill>
                </w14:textFill>
              </w:rPr>
            </w:pPr>
            <w:r>
              <w:rPr>
                <w:rFonts w:hint="default" w:ascii="Times New Roman" w:hAnsi="Times New Roman" w:eastAsia="宋体" w:cs="Times New Roman"/>
                <w:color w:val="000000" w:themeColor="text1"/>
                <w:sz w:val="20"/>
                <w:szCs w:val="20"/>
                <w:lang w:val="en-US" w:eastAsia="zh-CN"/>
                <w14:textFill>
                  <w14:solidFill>
                    <w14:schemeClr w14:val="tx1"/>
                  </w14:solidFill>
                </w14:textFill>
              </w:rPr>
              <w:t>0.0002592</w:t>
            </w:r>
            <w:r>
              <w:rPr>
                <w:rFonts w:hint="eastAsia" w:ascii="Times New Roman" w:hAnsi="Times New Roman" w:eastAsia="宋体" w:cs="Times New Roman"/>
                <w:snapToGrid w:val="0"/>
                <w:color w:val="000000" w:themeColor="text1"/>
                <w:kern w:val="21"/>
                <w:sz w:val="20"/>
                <w:szCs w:val="20"/>
                <w:lang w:val="en-US" w:eastAsia="zh-CN"/>
                <w14:textFill>
                  <w14:solidFill>
                    <w14:schemeClr w14:val="tx1"/>
                  </w14:solidFill>
                </w14:textFill>
              </w:rPr>
              <w:t>t/a</w:t>
            </w:r>
          </w:p>
        </w:tc>
        <w:tc>
          <w:tcPr>
            <w:tcW w:w="1443" w:type="dxa"/>
            <w:vAlign w:val="center"/>
          </w:tcPr>
          <w:p w14:paraId="1287F4EA">
            <w:pPr>
              <w:jc w:val="center"/>
              <w:rPr>
                <w:rFonts w:hint="default" w:ascii="Times New Roman" w:hAnsi="Times New Roman" w:eastAsia="宋体" w:cs="Times New Roman"/>
                <w:snapToGrid w:val="0"/>
                <w:color w:val="000000" w:themeColor="text1"/>
                <w:kern w:val="2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-0.000</w:t>
            </w:r>
            <w:r>
              <w:rPr>
                <w:rFonts w:hint="eastAsia" w:cs="Times New Roman"/>
                <w:color w:val="000000" w:themeColor="text1"/>
                <w:sz w:val="20"/>
                <w:szCs w:val="20"/>
                <w:lang w:val="en-US" w:eastAsia="zh-CN"/>
                <w14:textFill>
                  <w14:solidFill>
                    <w14:schemeClr w14:val="tx1"/>
                  </w14:solidFill>
                </w14:textFill>
              </w:rPr>
              <w:t>32</w:t>
            </w:r>
            <w:r>
              <w:rPr>
                <w:rFonts w:hint="default" w:ascii="Times New Roman" w:hAnsi="Times New Roman" w:cs="Times New Roman"/>
                <w:color w:val="000000" w:themeColor="text1"/>
                <w:sz w:val="20"/>
                <w:szCs w:val="20"/>
                <w:lang w:val="en-US" w:eastAsia="zh-CN"/>
                <w14:textFill>
                  <w14:solidFill>
                    <w14:schemeClr w14:val="tx1"/>
                  </w14:solidFill>
                </w14:textFill>
              </w:rPr>
              <w:t>4</w:t>
            </w:r>
            <w:r>
              <w:rPr>
                <w:rFonts w:hint="eastAsia" w:ascii="Times New Roman" w:hAnsi="Times New Roman" w:eastAsia="宋体" w:cs="Times New Roman"/>
                <w:snapToGrid w:val="0"/>
                <w:color w:val="000000" w:themeColor="text1"/>
                <w:kern w:val="21"/>
                <w:sz w:val="20"/>
                <w:szCs w:val="20"/>
                <w:lang w:val="en-US" w:eastAsia="zh-CN"/>
                <w14:textFill>
                  <w14:solidFill>
                    <w14:schemeClr w14:val="tx1"/>
                  </w14:solidFill>
                </w14:textFill>
              </w:rPr>
              <w:t>t/a</w:t>
            </w:r>
          </w:p>
        </w:tc>
      </w:tr>
      <w:tr w14:paraId="0A3AD4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52" w:type="dxa"/>
            <w:vMerge w:val="continue"/>
            <w:vAlign w:val="center"/>
          </w:tcPr>
          <w:p w14:paraId="7C8230E9">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0"/>
                <w:szCs w:val="20"/>
                <w14:textFill>
                  <w14:solidFill>
                    <w14:schemeClr w14:val="tx1"/>
                  </w14:solidFill>
                </w14:textFill>
              </w:rPr>
            </w:pPr>
          </w:p>
        </w:tc>
        <w:tc>
          <w:tcPr>
            <w:tcW w:w="433" w:type="dxa"/>
            <w:vMerge w:val="continue"/>
            <w:vAlign w:val="center"/>
          </w:tcPr>
          <w:p w14:paraId="0FA9FE42">
            <w:pPr>
              <w:jc w:val="center"/>
              <w:rPr>
                <w:rFonts w:hint="default" w:ascii="Times New Roman" w:hAnsi="Times New Roman" w:eastAsia="宋体" w:cs="Times New Roman"/>
                <w:snapToGrid w:val="0"/>
                <w:color w:val="000000" w:themeColor="text1"/>
                <w:kern w:val="21"/>
                <w:sz w:val="20"/>
                <w:szCs w:val="20"/>
                <w:lang w:val="en-US" w:eastAsia="zh-CN"/>
                <w14:textFill>
                  <w14:solidFill>
                    <w14:schemeClr w14:val="tx1"/>
                  </w14:solidFill>
                </w14:textFill>
              </w:rPr>
            </w:pPr>
          </w:p>
        </w:tc>
        <w:tc>
          <w:tcPr>
            <w:tcW w:w="1380" w:type="dxa"/>
            <w:vAlign w:val="center"/>
          </w:tcPr>
          <w:p w14:paraId="11428217">
            <w:pPr>
              <w:jc w:val="center"/>
              <w:rPr>
                <w:rFonts w:hint="default" w:ascii="Times New Roman" w:hAnsi="Times New Roman" w:cs="Times New Roman"/>
                <w:color w:val="000000" w:themeColor="text1"/>
                <w:sz w:val="20"/>
                <w:szCs w:val="20"/>
                <w:lang w:eastAsia="zh-CN"/>
                <w14:textFill>
                  <w14:solidFill>
                    <w14:schemeClr w14:val="tx1"/>
                  </w14:solidFill>
                </w14:textFill>
              </w:rPr>
            </w:pPr>
            <w:r>
              <w:rPr>
                <w:rFonts w:hint="default" w:ascii="Times New Roman" w:hAnsi="Times New Roman" w:cs="Times New Roman"/>
                <w:color w:val="000000" w:themeColor="text1"/>
                <w:sz w:val="20"/>
                <w:szCs w:val="20"/>
                <w:lang w:eastAsia="zh-CN"/>
                <w14:textFill>
                  <w14:solidFill>
                    <w14:schemeClr w14:val="tx1"/>
                  </w14:solidFill>
                </w14:textFill>
              </w:rPr>
              <w:t>苯乙烯</w:t>
            </w:r>
          </w:p>
        </w:tc>
        <w:tc>
          <w:tcPr>
            <w:tcW w:w="1455" w:type="dxa"/>
            <w:vAlign w:val="center"/>
          </w:tcPr>
          <w:p w14:paraId="378B11A7">
            <w:pPr>
              <w:jc w:val="center"/>
              <w:rPr>
                <w:rFonts w:hint="default" w:ascii="Times New Roman" w:hAnsi="Times New Roman" w:eastAsia="宋体" w:cs="Times New Roman"/>
                <w:snapToGrid w:val="0"/>
                <w:color w:val="000000" w:themeColor="text1"/>
                <w:kern w:val="2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0.018</w:t>
            </w:r>
            <w:r>
              <w:rPr>
                <w:rFonts w:hint="eastAsia" w:ascii="Times New Roman" w:hAnsi="Times New Roman" w:eastAsia="宋体" w:cs="Times New Roman"/>
                <w:snapToGrid w:val="0"/>
                <w:color w:val="000000" w:themeColor="text1"/>
                <w:kern w:val="21"/>
                <w:sz w:val="20"/>
                <w:szCs w:val="20"/>
                <w:lang w:val="en-US" w:eastAsia="zh-CN"/>
                <w14:textFill>
                  <w14:solidFill>
                    <w14:schemeClr w14:val="tx1"/>
                  </w14:solidFill>
                </w14:textFill>
              </w:rPr>
              <w:t>t/a</w:t>
            </w:r>
          </w:p>
        </w:tc>
        <w:tc>
          <w:tcPr>
            <w:tcW w:w="1052" w:type="dxa"/>
            <w:vAlign w:val="center"/>
          </w:tcPr>
          <w:p w14:paraId="3CA5F5E2">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0"/>
                <w:szCs w:val="20"/>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0"/>
                <w14:textFill>
                  <w14:solidFill>
                    <w14:schemeClr w14:val="tx1"/>
                  </w14:solidFill>
                </w14:textFill>
              </w:rPr>
              <w:t>/</w:t>
            </w:r>
          </w:p>
        </w:tc>
        <w:tc>
          <w:tcPr>
            <w:tcW w:w="1680" w:type="dxa"/>
            <w:vAlign w:val="center"/>
          </w:tcPr>
          <w:p w14:paraId="1A16114C">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0"/>
                <w:szCs w:val="20"/>
                <w14:textFill>
                  <w14:solidFill>
                    <w14:schemeClr w14:val="tx1"/>
                  </w14:solidFill>
                </w14:textFill>
              </w:rPr>
            </w:pPr>
            <w:r>
              <w:rPr>
                <w:rFonts w:hint="default" w:ascii="Times New Roman" w:hAnsi="Times New Roman" w:eastAsia="宋体" w:cs="Times New Roman"/>
                <w:snapToGrid w:val="0"/>
                <w:color w:val="000000" w:themeColor="text1"/>
                <w:kern w:val="21"/>
                <w:sz w:val="20"/>
                <w:szCs w:val="20"/>
                <w14:textFill>
                  <w14:solidFill>
                    <w14:schemeClr w14:val="tx1"/>
                  </w14:solidFill>
                </w14:textFill>
              </w:rPr>
              <w:t>/</w:t>
            </w:r>
          </w:p>
        </w:tc>
        <w:tc>
          <w:tcPr>
            <w:tcW w:w="1665" w:type="dxa"/>
            <w:shd w:val="clear" w:color="auto" w:fill="auto"/>
            <w:vAlign w:val="center"/>
          </w:tcPr>
          <w:p w14:paraId="308901D3">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snapToGrid w:val="0"/>
                <w:color w:val="000000" w:themeColor="text1"/>
                <w:kern w:val="21"/>
                <w:sz w:val="20"/>
                <w:szCs w:val="20"/>
                <w:lang w:val="en-US" w:eastAsia="zh-CN"/>
                <w14:textFill>
                  <w14:solidFill>
                    <w14:schemeClr w14:val="tx1"/>
                  </w14:solidFill>
                </w14:textFill>
              </w:rPr>
            </w:pPr>
            <w:r>
              <w:rPr>
                <w:rFonts w:hint="default" w:ascii="Times New Roman" w:hAnsi="Times New Roman" w:eastAsia="宋体" w:cs="Times New Roman"/>
                <w:color w:val="000000" w:themeColor="text1"/>
                <w:sz w:val="20"/>
                <w:szCs w:val="20"/>
                <w:lang w:val="en-US" w:eastAsia="zh-CN"/>
                <w14:textFill>
                  <w14:solidFill>
                    <w14:schemeClr w14:val="tx1"/>
                  </w14:solidFill>
                </w14:textFill>
              </w:rPr>
              <w:t>0.0072</w:t>
            </w:r>
            <w:r>
              <w:rPr>
                <w:rFonts w:hint="eastAsia" w:ascii="Times New Roman" w:hAnsi="Times New Roman" w:eastAsia="宋体" w:cs="Times New Roman"/>
                <w:snapToGrid w:val="0"/>
                <w:color w:val="000000" w:themeColor="text1"/>
                <w:kern w:val="21"/>
                <w:sz w:val="20"/>
                <w:szCs w:val="20"/>
                <w:lang w:val="en-US" w:eastAsia="zh-CN"/>
                <w14:textFill>
                  <w14:solidFill>
                    <w14:schemeClr w14:val="tx1"/>
                  </w14:solidFill>
                </w14:textFill>
              </w:rPr>
              <w:t>t/a</w:t>
            </w:r>
          </w:p>
        </w:tc>
        <w:tc>
          <w:tcPr>
            <w:tcW w:w="1770" w:type="dxa"/>
            <w:vAlign w:val="center"/>
          </w:tcPr>
          <w:p w14:paraId="3D8975CE">
            <w:pPr>
              <w:jc w:val="center"/>
              <w:rPr>
                <w:rFonts w:hint="default" w:ascii="Times New Roman" w:hAnsi="Times New Roman" w:eastAsia="宋体" w:cs="Times New Roman"/>
                <w:snapToGrid w:val="0"/>
                <w:color w:val="000000" w:themeColor="text1"/>
                <w:kern w:val="2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0.018</w:t>
            </w:r>
            <w:r>
              <w:rPr>
                <w:rFonts w:hint="eastAsia" w:ascii="Times New Roman" w:hAnsi="Times New Roman" w:eastAsia="宋体" w:cs="Times New Roman"/>
                <w:snapToGrid w:val="0"/>
                <w:color w:val="000000" w:themeColor="text1"/>
                <w:kern w:val="21"/>
                <w:sz w:val="20"/>
                <w:szCs w:val="20"/>
                <w:lang w:val="en-US" w:eastAsia="zh-CN"/>
                <w14:textFill>
                  <w14:solidFill>
                    <w14:schemeClr w14:val="tx1"/>
                  </w14:solidFill>
                </w14:textFill>
              </w:rPr>
              <w:t>t/a</w:t>
            </w:r>
          </w:p>
        </w:tc>
        <w:tc>
          <w:tcPr>
            <w:tcW w:w="1558" w:type="dxa"/>
            <w:vAlign w:val="center"/>
          </w:tcPr>
          <w:p w14:paraId="3227DE8E">
            <w:pPr>
              <w:keepNext w:val="0"/>
              <w:pageBreakBefore w:val="0"/>
              <w:widowControl/>
              <w:overflowPunct/>
              <w:topLinePunct w:val="0"/>
              <w:bidi w:val="0"/>
              <w:adjustRightInd/>
              <w:snapToGrid/>
              <w:jc w:val="center"/>
              <w:textAlignment w:val="center"/>
              <w:rPr>
                <w:rFonts w:hint="default" w:ascii="Times New Roman" w:hAnsi="Times New Roman" w:eastAsia="宋体" w:cs="Times New Roman"/>
                <w:snapToGrid w:val="0"/>
                <w:color w:val="000000" w:themeColor="text1"/>
                <w:kern w:val="21"/>
                <w:sz w:val="20"/>
                <w:szCs w:val="20"/>
                <w:lang w:val="en-US" w:eastAsia="zh-CN"/>
                <w14:textFill>
                  <w14:solidFill>
                    <w14:schemeClr w14:val="tx1"/>
                  </w14:solidFill>
                </w14:textFill>
              </w:rPr>
            </w:pPr>
            <w:r>
              <w:rPr>
                <w:rFonts w:hint="default" w:ascii="Times New Roman" w:hAnsi="Times New Roman" w:eastAsia="宋体" w:cs="Times New Roman"/>
                <w:color w:val="000000" w:themeColor="text1"/>
                <w:sz w:val="20"/>
                <w:szCs w:val="20"/>
                <w:lang w:val="en-US" w:eastAsia="zh-CN"/>
                <w14:textFill>
                  <w14:solidFill>
                    <w14:schemeClr w14:val="tx1"/>
                  </w14:solidFill>
                </w14:textFill>
              </w:rPr>
              <w:t>0.0072</w:t>
            </w:r>
            <w:r>
              <w:rPr>
                <w:rFonts w:hint="eastAsia" w:ascii="Times New Roman" w:hAnsi="Times New Roman" w:eastAsia="宋体" w:cs="Times New Roman"/>
                <w:snapToGrid w:val="0"/>
                <w:color w:val="000000" w:themeColor="text1"/>
                <w:kern w:val="21"/>
                <w:sz w:val="20"/>
                <w:szCs w:val="20"/>
                <w:lang w:val="en-US" w:eastAsia="zh-CN"/>
                <w14:textFill>
                  <w14:solidFill>
                    <w14:schemeClr w14:val="tx1"/>
                  </w14:solidFill>
                </w14:textFill>
              </w:rPr>
              <w:t>t/a</w:t>
            </w:r>
          </w:p>
        </w:tc>
        <w:tc>
          <w:tcPr>
            <w:tcW w:w="1443" w:type="dxa"/>
            <w:vAlign w:val="center"/>
          </w:tcPr>
          <w:p w14:paraId="7DC5984D">
            <w:pPr>
              <w:jc w:val="center"/>
              <w:rPr>
                <w:rFonts w:hint="default" w:ascii="Times New Roman" w:hAnsi="Times New Roman" w:eastAsia="宋体" w:cs="Times New Roman"/>
                <w:snapToGrid w:val="0"/>
                <w:color w:val="000000" w:themeColor="text1"/>
                <w:kern w:val="2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-0.0108</w:t>
            </w:r>
            <w:r>
              <w:rPr>
                <w:rFonts w:hint="eastAsia" w:ascii="Times New Roman" w:hAnsi="Times New Roman" w:eastAsia="宋体" w:cs="Times New Roman"/>
                <w:snapToGrid w:val="0"/>
                <w:color w:val="000000" w:themeColor="text1"/>
                <w:kern w:val="21"/>
                <w:sz w:val="20"/>
                <w:szCs w:val="20"/>
                <w:lang w:val="en-US" w:eastAsia="zh-CN"/>
                <w14:textFill>
                  <w14:solidFill>
                    <w14:schemeClr w14:val="tx1"/>
                  </w14:solidFill>
                </w14:textFill>
              </w:rPr>
              <w:t>t/a</w:t>
            </w:r>
          </w:p>
        </w:tc>
      </w:tr>
      <w:tr w14:paraId="1C6C52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52" w:type="dxa"/>
            <w:vMerge w:val="continue"/>
            <w:vAlign w:val="center"/>
          </w:tcPr>
          <w:p w14:paraId="6A6D4A2A">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0"/>
                <w:szCs w:val="20"/>
                <w14:textFill>
                  <w14:solidFill>
                    <w14:schemeClr w14:val="tx1"/>
                  </w14:solidFill>
                </w14:textFill>
              </w:rPr>
            </w:pPr>
          </w:p>
        </w:tc>
        <w:tc>
          <w:tcPr>
            <w:tcW w:w="1813" w:type="dxa"/>
            <w:gridSpan w:val="2"/>
            <w:vAlign w:val="center"/>
          </w:tcPr>
          <w:p w14:paraId="0E89025A">
            <w:pPr>
              <w:jc w:val="center"/>
              <w:rPr>
                <w:rFonts w:hint="default" w:ascii="Times New Roman" w:hAnsi="Times New Roman" w:eastAsia="宋体" w:cs="Times New Roman"/>
                <w:snapToGrid w:val="0"/>
                <w:color w:val="000000" w:themeColor="text1"/>
                <w:kern w:val="2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颗粒物</w:t>
            </w:r>
          </w:p>
        </w:tc>
        <w:tc>
          <w:tcPr>
            <w:tcW w:w="1455" w:type="dxa"/>
            <w:vAlign w:val="center"/>
          </w:tcPr>
          <w:p w14:paraId="67399993">
            <w:pPr>
              <w:spacing w:line="240" w:lineRule="auto"/>
              <w:ind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3.4343</w:t>
            </w:r>
            <w:r>
              <w:rPr>
                <w:rFonts w:hint="eastAsia" w:ascii="Times New Roman" w:hAnsi="Times New Roman" w:eastAsia="宋体" w:cs="Times New Roman"/>
                <w:snapToGrid w:val="0"/>
                <w:color w:val="000000" w:themeColor="text1"/>
                <w:kern w:val="21"/>
                <w:sz w:val="21"/>
                <w:szCs w:val="21"/>
                <w:lang w:val="en-US" w:eastAsia="zh-CN"/>
                <w14:textFill>
                  <w14:solidFill>
                    <w14:schemeClr w14:val="tx1"/>
                  </w14:solidFill>
                </w14:textFill>
              </w:rPr>
              <w:t>t/a</w:t>
            </w:r>
          </w:p>
        </w:tc>
        <w:tc>
          <w:tcPr>
            <w:tcW w:w="1052" w:type="dxa"/>
            <w:vAlign w:val="center"/>
          </w:tcPr>
          <w:p w14:paraId="1895DAE5">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14:textFill>
                  <w14:solidFill>
                    <w14:schemeClr w14:val="tx1"/>
                  </w14:solidFill>
                </w14:textFill>
              </w:rPr>
              <w:t>/</w:t>
            </w:r>
          </w:p>
        </w:tc>
        <w:tc>
          <w:tcPr>
            <w:tcW w:w="1680" w:type="dxa"/>
            <w:vAlign w:val="center"/>
          </w:tcPr>
          <w:p w14:paraId="318D8E5D">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14:textFill>
                  <w14:solidFill>
                    <w14:schemeClr w14:val="tx1"/>
                  </w14:solidFill>
                </w14:textFill>
              </w:rPr>
              <w:t>/</w:t>
            </w:r>
          </w:p>
        </w:tc>
        <w:tc>
          <w:tcPr>
            <w:tcW w:w="1665" w:type="dxa"/>
            <w:shd w:val="clear" w:color="auto" w:fill="auto"/>
            <w:vAlign w:val="center"/>
          </w:tcPr>
          <w:p w14:paraId="3BDFE5B3">
            <w:pPr>
              <w:spacing w:line="240" w:lineRule="auto"/>
              <w:ind w:firstLine="0" w:firstLineChars="0"/>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0.0494</w:t>
            </w:r>
            <w:r>
              <w:rPr>
                <w:rFonts w:hint="eastAsia" w:ascii="Times New Roman" w:hAnsi="Times New Roman" w:eastAsia="宋体" w:cs="Times New Roman"/>
                <w:snapToGrid w:val="0"/>
                <w:color w:val="000000" w:themeColor="text1"/>
                <w:kern w:val="21"/>
                <w:sz w:val="21"/>
                <w:szCs w:val="21"/>
                <w:lang w:val="en-US" w:eastAsia="zh-CN"/>
                <w14:textFill>
                  <w14:solidFill>
                    <w14:schemeClr w14:val="tx1"/>
                  </w14:solidFill>
                </w14:textFill>
              </w:rPr>
              <w:t>t/a</w:t>
            </w:r>
          </w:p>
        </w:tc>
        <w:tc>
          <w:tcPr>
            <w:tcW w:w="1770" w:type="dxa"/>
            <w:vAlign w:val="center"/>
          </w:tcPr>
          <w:p w14:paraId="7A36E684">
            <w:pPr>
              <w:spacing w:line="240" w:lineRule="auto"/>
              <w:ind w:firstLine="0" w:firstLineChars="0"/>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3.4343</w:t>
            </w:r>
            <w:r>
              <w:rPr>
                <w:rFonts w:hint="eastAsia" w:ascii="Times New Roman" w:hAnsi="Times New Roman" w:eastAsia="宋体" w:cs="Times New Roman"/>
                <w:snapToGrid w:val="0"/>
                <w:color w:val="000000" w:themeColor="text1"/>
                <w:kern w:val="21"/>
                <w:sz w:val="21"/>
                <w:szCs w:val="21"/>
                <w:lang w:val="en-US" w:eastAsia="zh-CN"/>
                <w14:textFill>
                  <w14:solidFill>
                    <w14:schemeClr w14:val="tx1"/>
                  </w14:solidFill>
                </w14:textFill>
              </w:rPr>
              <w:t>t/a</w:t>
            </w:r>
          </w:p>
        </w:tc>
        <w:tc>
          <w:tcPr>
            <w:tcW w:w="1558" w:type="dxa"/>
            <w:vAlign w:val="center"/>
          </w:tcPr>
          <w:p w14:paraId="43F85E47">
            <w:pPr>
              <w:spacing w:line="240" w:lineRule="auto"/>
              <w:ind w:firstLine="0" w:firstLineChars="0"/>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0.0494</w:t>
            </w:r>
            <w:r>
              <w:rPr>
                <w:rFonts w:hint="eastAsia" w:ascii="Times New Roman" w:hAnsi="Times New Roman" w:eastAsia="宋体" w:cs="Times New Roman"/>
                <w:snapToGrid w:val="0"/>
                <w:color w:val="000000" w:themeColor="text1"/>
                <w:kern w:val="21"/>
                <w:sz w:val="21"/>
                <w:szCs w:val="21"/>
                <w:lang w:val="en-US" w:eastAsia="zh-CN"/>
                <w14:textFill>
                  <w14:solidFill>
                    <w14:schemeClr w14:val="tx1"/>
                  </w14:solidFill>
                </w14:textFill>
              </w:rPr>
              <w:t>t/a</w:t>
            </w:r>
          </w:p>
        </w:tc>
        <w:tc>
          <w:tcPr>
            <w:tcW w:w="1443" w:type="dxa"/>
            <w:vAlign w:val="center"/>
          </w:tcPr>
          <w:p w14:paraId="2A1C17D9">
            <w:pPr>
              <w:spacing w:line="240" w:lineRule="auto"/>
              <w:ind w:firstLine="0" w:firstLineChars="0"/>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-3.3849</w:t>
            </w:r>
            <w:r>
              <w:rPr>
                <w:rFonts w:hint="eastAsia" w:ascii="Times New Roman" w:hAnsi="Times New Roman" w:eastAsia="宋体" w:cs="Times New Roman"/>
                <w:snapToGrid w:val="0"/>
                <w:color w:val="000000" w:themeColor="text1"/>
                <w:kern w:val="21"/>
                <w:sz w:val="21"/>
                <w:szCs w:val="21"/>
                <w:lang w:val="en-US" w:eastAsia="zh-CN"/>
                <w14:textFill>
                  <w14:solidFill>
                    <w14:schemeClr w14:val="tx1"/>
                  </w14:solidFill>
                </w14:textFill>
              </w:rPr>
              <w:t>t/a</w:t>
            </w:r>
          </w:p>
        </w:tc>
      </w:tr>
      <w:tr w14:paraId="171749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52" w:type="dxa"/>
            <w:vMerge w:val="continue"/>
            <w:vAlign w:val="center"/>
          </w:tcPr>
          <w:p w14:paraId="09CEDCFF">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0"/>
                <w:szCs w:val="20"/>
                <w14:textFill>
                  <w14:solidFill>
                    <w14:schemeClr w14:val="tx1"/>
                  </w14:solidFill>
                </w14:textFill>
              </w:rPr>
            </w:pPr>
          </w:p>
        </w:tc>
        <w:tc>
          <w:tcPr>
            <w:tcW w:w="1813" w:type="dxa"/>
            <w:gridSpan w:val="2"/>
            <w:vAlign w:val="center"/>
          </w:tcPr>
          <w:p w14:paraId="7FCA2C21">
            <w:pPr>
              <w:jc w:val="center"/>
              <w:rPr>
                <w:rFonts w:hint="default" w:ascii="Times New Roman" w:hAnsi="Times New Roman" w:eastAsia="宋体" w:cs="Times New Roman"/>
                <w:snapToGrid w:val="0"/>
                <w:color w:val="000000" w:themeColor="text1"/>
                <w:kern w:val="21"/>
                <w:sz w:val="20"/>
                <w:szCs w:val="20"/>
                <w:lang w:eastAsia="zh-CN"/>
                <w14:textFill>
                  <w14:solidFill>
                    <w14:schemeClr w14:val="tx1"/>
                  </w14:solidFill>
                </w14:textFill>
              </w:rPr>
            </w:pPr>
            <w:r>
              <w:rPr>
                <w:rFonts w:hint="default" w:ascii="Times New Roman" w:hAnsi="Times New Roman" w:cs="Times New Roman"/>
                <w:color w:val="000000" w:themeColor="text1"/>
                <w:sz w:val="20"/>
                <w:szCs w:val="20"/>
                <w:lang w:eastAsia="zh-CN"/>
                <w14:textFill>
                  <w14:solidFill>
                    <w14:schemeClr w14:val="tx1"/>
                  </w14:solidFill>
                </w14:textFill>
              </w:rPr>
              <w:t>二氧化硫</w:t>
            </w:r>
          </w:p>
        </w:tc>
        <w:tc>
          <w:tcPr>
            <w:tcW w:w="1455" w:type="dxa"/>
            <w:vAlign w:val="center"/>
          </w:tcPr>
          <w:p w14:paraId="6920DAFC">
            <w:pPr>
              <w:spacing w:line="240" w:lineRule="auto"/>
              <w:ind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0.828</w:t>
            </w:r>
            <w:r>
              <w:rPr>
                <w:rFonts w:hint="eastAsia" w:ascii="Times New Roman" w:hAnsi="Times New Roman" w:eastAsia="宋体" w:cs="Times New Roman"/>
                <w:snapToGrid w:val="0"/>
                <w:color w:val="000000" w:themeColor="text1"/>
                <w:kern w:val="21"/>
                <w:sz w:val="21"/>
                <w:szCs w:val="21"/>
                <w:lang w:val="en-US" w:eastAsia="zh-CN"/>
                <w14:textFill>
                  <w14:solidFill>
                    <w14:schemeClr w14:val="tx1"/>
                  </w14:solidFill>
                </w14:textFill>
              </w:rPr>
              <w:t>t/a</w:t>
            </w:r>
          </w:p>
        </w:tc>
        <w:tc>
          <w:tcPr>
            <w:tcW w:w="1052" w:type="dxa"/>
            <w:vAlign w:val="center"/>
          </w:tcPr>
          <w:p w14:paraId="2FFF62A8">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14:textFill>
                  <w14:solidFill>
                    <w14:schemeClr w14:val="tx1"/>
                  </w14:solidFill>
                </w14:textFill>
              </w:rPr>
              <w:t>/</w:t>
            </w:r>
          </w:p>
        </w:tc>
        <w:tc>
          <w:tcPr>
            <w:tcW w:w="1680" w:type="dxa"/>
            <w:vAlign w:val="center"/>
          </w:tcPr>
          <w:p w14:paraId="6BC3FC00">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14:textFill>
                  <w14:solidFill>
                    <w14:schemeClr w14:val="tx1"/>
                  </w14:solidFill>
                </w14:textFill>
              </w:rPr>
              <w:t>/</w:t>
            </w:r>
          </w:p>
        </w:tc>
        <w:tc>
          <w:tcPr>
            <w:tcW w:w="1665" w:type="dxa"/>
            <w:vAlign w:val="center"/>
          </w:tcPr>
          <w:p w14:paraId="6A1738F5">
            <w:pPr>
              <w:spacing w:line="240" w:lineRule="auto"/>
              <w:ind w:firstLine="0" w:firstLineChars="0"/>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0.2104</w:t>
            </w:r>
            <w:r>
              <w:rPr>
                <w:rFonts w:hint="eastAsia" w:ascii="Times New Roman" w:hAnsi="Times New Roman" w:eastAsia="宋体" w:cs="Times New Roman"/>
                <w:snapToGrid w:val="0"/>
                <w:color w:val="000000" w:themeColor="text1"/>
                <w:kern w:val="21"/>
                <w:sz w:val="21"/>
                <w:szCs w:val="21"/>
                <w:lang w:val="en-US" w:eastAsia="zh-CN"/>
                <w14:textFill>
                  <w14:solidFill>
                    <w14:schemeClr w14:val="tx1"/>
                  </w14:solidFill>
                </w14:textFill>
              </w:rPr>
              <w:t>t/a</w:t>
            </w:r>
          </w:p>
        </w:tc>
        <w:tc>
          <w:tcPr>
            <w:tcW w:w="1770" w:type="dxa"/>
            <w:vAlign w:val="center"/>
          </w:tcPr>
          <w:p w14:paraId="0B5A022A">
            <w:pPr>
              <w:spacing w:line="240" w:lineRule="auto"/>
              <w:ind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0.828</w:t>
            </w:r>
            <w:r>
              <w:rPr>
                <w:rFonts w:hint="eastAsia" w:ascii="Times New Roman" w:hAnsi="Times New Roman" w:eastAsia="宋体" w:cs="Times New Roman"/>
                <w:snapToGrid w:val="0"/>
                <w:color w:val="000000" w:themeColor="text1"/>
                <w:kern w:val="21"/>
                <w:sz w:val="21"/>
                <w:szCs w:val="21"/>
                <w:lang w:val="en-US" w:eastAsia="zh-CN"/>
                <w14:textFill>
                  <w14:solidFill>
                    <w14:schemeClr w14:val="tx1"/>
                  </w14:solidFill>
                </w14:textFill>
              </w:rPr>
              <w:t>t/a</w:t>
            </w:r>
          </w:p>
        </w:tc>
        <w:tc>
          <w:tcPr>
            <w:tcW w:w="1558" w:type="dxa"/>
            <w:vAlign w:val="center"/>
          </w:tcPr>
          <w:p w14:paraId="4A639CBA">
            <w:pPr>
              <w:spacing w:line="240" w:lineRule="auto"/>
              <w:ind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0.2104</w:t>
            </w:r>
            <w:r>
              <w:rPr>
                <w:rFonts w:hint="eastAsia" w:ascii="Times New Roman" w:hAnsi="Times New Roman" w:eastAsia="宋体" w:cs="Times New Roman"/>
                <w:snapToGrid w:val="0"/>
                <w:color w:val="000000" w:themeColor="text1"/>
                <w:kern w:val="21"/>
                <w:sz w:val="21"/>
                <w:szCs w:val="21"/>
                <w:lang w:val="en-US" w:eastAsia="zh-CN"/>
                <w14:textFill>
                  <w14:solidFill>
                    <w14:schemeClr w14:val="tx1"/>
                  </w14:solidFill>
                </w14:textFill>
              </w:rPr>
              <w:t>t/a</w:t>
            </w:r>
          </w:p>
        </w:tc>
        <w:tc>
          <w:tcPr>
            <w:tcW w:w="1443" w:type="dxa"/>
            <w:vAlign w:val="center"/>
          </w:tcPr>
          <w:p w14:paraId="6AC15DAB">
            <w:pPr>
              <w:spacing w:line="240" w:lineRule="auto"/>
              <w:ind w:firstLine="0" w:firstLineChars="0"/>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r>
              <w:rPr>
                <w:rFonts w:hint="default"/>
                <w:color w:val="000000" w:themeColor="text1"/>
                <w:sz w:val="21"/>
                <w:szCs w:val="21"/>
                <w:lang w:val="en-US" w:eastAsia="zh-CN"/>
                <w14:textFill>
                  <w14:solidFill>
                    <w14:schemeClr w14:val="tx1"/>
                  </w14:solidFill>
                </w14:textFill>
              </w:rPr>
              <w:t>0.6176</w:t>
            </w:r>
            <w:r>
              <w:rPr>
                <w:rFonts w:hint="eastAsia" w:ascii="Times New Roman" w:hAnsi="Times New Roman" w:eastAsia="宋体" w:cs="Times New Roman"/>
                <w:snapToGrid w:val="0"/>
                <w:color w:val="000000" w:themeColor="text1"/>
                <w:kern w:val="21"/>
                <w:sz w:val="21"/>
                <w:szCs w:val="21"/>
                <w:lang w:val="en-US" w:eastAsia="zh-CN"/>
                <w14:textFill>
                  <w14:solidFill>
                    <w14:schemeClr w14:val="tx1"/>
                  </w14:solidFill>
                </w14:textFill>
              </w:rPr>
              <w:t>t/a</w:t>
            </w:r>
          </w:p>
        </w:tc>
      </w:tr>
      <w:tr w14:paraId="6FC000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52" w:type="dxa"/>
            <w:vMerge w:val="continue"/>
            <w:vAlign w:val="center"/>
          </w:tcPr>
          <w:p w14:paraId="20E1592E">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0"/>
                <w:szCs w:val="20"/>
                <w14:textFill>
                  <w14:solidFill>
                    <w14:schemeClr w14:val="tx1"/>
                  </w14:solidFill>
                </w14:textFill>
              </w:rPr>
            </w:pPr>
          </w:p>
        </w:tc>
        <w:tc>
          <w:tcPr>
            <w:tcW w:w="1813" w:type="dxa"/>
            <w:gridSpan w:val="2"/>
            <w:vAlign w:val="center"/>
          </w:tcPr>
          <w:p w14:paraId="6830C8AA">
            <w:pPr>
              <w:jc w:val="center"/>
              <w:rPr>
                <w:rFonts w:hint="default" w:ascii="Times New Roman" w:hAnsi="Times New Roman" w:eastAsia="宋体" w:cs="Times New Roman"/>
                <w:snapToGrid w:val="0"/>
                <w:color w:val="000000" w:themeColor="text1"/>
                <w:kern w:val="21"/>
                <w:sz w:val="20"/>
                <w:szCs w:val="20"/>
                <w:lang w:eastAsia="zh-CN"/>
                <w14:textFill>
                  <w14:solidFill>
                    <w14:schemeClr w14:val="tx1"/>
                  </w14:solidFill>
                </w14:textFill>
              </w:rPr>
            </w:pPr>
            <w:r>
              <w:rPr>
                <w:rFonts w:hint="default" w:ascii="Times New Roman" w:hAnsi="Times New Roman" w:cs="Times New Roman"/>
                <w:color w:val="000000" w:themeColor="text1"/>
                <w:sz w:val="20"/>
                <w:szCs w:val="20"/>
                <w:lang w:eastAsia="zh-CN"/>
                <w14:textFill>
                  <w14:solidFill>
                    <w14:schemeClr w14:val="tx1"/>
                  </w14:solidFill>
                </w14:textFill>
              </w:rPr>
              <w:t>氮氧化物</w:t>
            </w:r>
          </w:p>
        </w:tc>
        <w:tc>
          <w:tcPr>
            <w:tcW w:w="1455" w:type="dxa"/>
            <w:vAlign w:val="center"/>
          </w:tcPr>
          <w:p w14:paraId="0BB9C718">
            <w:pPr>
              <w:spacing w:line="240" w:lineRule="auto"/>
              <w:ind w:firstLine="0" w:firstLineChars="0"/>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1.9196</w:t>
            </w:r>
            <w:r>
              <w:rPr>
                <w:rFonts w:hint="eastAsia" w:ascii="Times New Roman" w:hAnsi="Times New Roman" w:eastAsia="宋体" w:cs="Times New Roman"/>
                <w:snapToGrid w:val="0"/>
                <w:color w:val="000000" w:themeColor="text1"/>
                <w:kern w:val="21"/>
                <w:sz w:val="21"/>
                <w:szCs w:val="21"/>
                <w:lang w:val="en-US" w:eastAsia="zh-CN"/>
                <w14:textFill>
                  <w14:solidFill>
                    <w14:schemeClr w14:val="tx1"/>
                  </w14:solidFill>
                </w14:textFill>
              </w:rPr>
              <w:t>t/a</w:t>
            </w:r>
          </w:p>
        </w:tc>
        <w:tc>
          <w:tcPr>
            <w:tcW w:w="1052" w:type="dxa"/>
            <w:vAlign w:val="center"/>
          </w:tcPr>
          <w:p w14:paraId="414D7909">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w:t>
            </w:r>
          </w:p>
        </w:tc>
        <w:tc>
          <w:tcPr>
            <w:tcW w:w="1680" w:type="dxa"/>
            <w:vAlign w:val="center"/>
          </w:tcPr>
          <w:p w14:paraId="6E954415">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t>/</w:t>
            </w:r>
          </w:p>
        </w:tc>
        <w:tc>
          <w:tcPr>
            <w:tcW w:w="1665" w:type="dxa"/>
            <w:vAlign w:val="center"/>
          </w:tcPr>
          <w:p w14:paraId="5F5990D6">
            <w:pPr>
              <w:spacing w:line="240" w:lineRule="auto"/>
              <w:ind w:firstLine="0" w:firstLineChars="0"/>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0.9733</w:t>
            </w:r>
            <w:r>
              <w:rPr>
                <w:rFonts w:hint="eastAsia" w:ascii="Times New Roman" w:hAnsi="Times New Roman" w:eastAsia="宋体" w:cs="Times New Roman"/>
                <w:snapToGrid w:val="0"/>
                <w:color w:val="000000" w:themeColor="text1"/>
                <w:kern w:val="21"/>
                <w:sz w:val="21"/>
                <w:szCs w:val="21"/>
                <w:lang w:val="en-US" w:eastAsia="zh-CN"/>
                <w14:textFill>
                  <w14:solidFill>
                    <w14:schemeClr w14:val="tx1"/>
                  </w14:solidFill>
                </w14:textFill>
              </w:rPr>
              <w:t>t/a</w:t>
            </w:r>
          </w:p>
        </w:tc>
        <w:tc>
          <w:tcPr>
            <w:tcW w:w="1770" w:type="dxa"/>
            <w:vAlign w:val="center"/>
          </w:tcPr>
          <w:p w14:paraId="50BC8166">
            <w:pPr>
              <w:spacing w:line="240" w:lineRule="auto"/>
              <w:ind w:firstLine="0" w:firstLineChars="0"/>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1.9196</w:t>
            </w:r>
            <w:r>
              <w:rPr>
                <w:rFonts w:hint="eastAsia" w:ascii="Times New Roman" w:hAnsi="Times New Roman" w:eastAsia="宋体" w:cs="Times New Roman"/>
                <w:snapToGrid w:val="0"/>
                <w:color w:val="000000" w:themeColor="text1"/>
                <w:kern w:val="21"/>
                <w:sz w:val="21"/>
                <w:szCs w:val="21"/>
                <w:lang w:val="en-US" w:eastAsia="zh-CN"/>
                <w14:textFill>
                  <w14:solidFill>
                    <w14:schemeClr w14:val="tx1"/>
                  </w14:solidFill>
                </w14:textFill>
              </w:rPr>
              <w:t>t/a</w:t>
            </w:r>
          </w:p>
        </w:tc>
        <w:tc>
          <w:tcPr>
            <w:tcW w:w="1558" w:type="dxa"/>
            <w:vAlign w:val="center"/>
          </w:tcPr>
          <w:p w14:paraId="557D3B83">
            <w:pPr>
              <w:spacing w:line="240" w:lineRule="auto"/>
              <w:ind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0.9733</w:t>
            </w:r>
            <w:r>
              <w:rPr>
                <w:rFonts w:hint="eastAsia" w:ascii="Times New Roman" w:hAnsi="Times New Roman" w:eastAsia="宋体" w:cs="Times New Roman"/>
                <w:snapToGrid w:val="0"/>
                <w:color w:val="000000" w:themeColor="text1"/>
                <w:kern w:val="21"/>
                <w:sz w:val="21"/>
                <w:szCs w:val="21"/>
                <w:lang w:val="en-US" w:eastAsia="zh-CN"/>
                <w14:textFill>
                  <w14:solidFill>
                    <w14:schemeClr w14:val="tx1"/>
                  </w14:solidFill>
                </w14:textFill>
              </w:rPr>
              <w:t>t/a</w:t>
            </w:r>
          </w:p>
        </w:tc>
        <w:tc>
          <w:tcPr>
            <w:tcW w:w="1443" w:type="dxa"/>
            <w:vAlign w:val="center"/>
          </w:tcPr>
          <w:p w14:paraId="67656CF5">
            <w:pPr>
              <w:spacing w:line="240" w:lineRule="auto"/>
              <w:ind w:firstLine="0" w:firstLineChars="0"/>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-0.9463</w:t>
            </w:r>
            <w:r>
              <w:rPr>
                <w:rFonts w:hint="eastAsia" w:ascii="Times New Roman" w:hAnsi="Times New Roman" w:eastAsia="宋体" w:cs="Times New Roman"/>
                <w:snapToGrid w:val="0"/>
                <w:color w:val="000000" w:themeColor="text1"/>
                <w:kern w:val="21"/>
                <w:sz w:val="21"/>
                <w:szCs w:val="21"/>
                <w:lang w:val="en-US" w:eastAsia="zh-CN"/>
                <w14:textFill>
                  <w14:solidFill>
                    <w14:schemeClr w14:val="tx1"/>
                  </w14:solidFill>
                </w14:textFill>
              </w:rPr>
              <w:t>t/a</w:t>
            </w:r>
          </w:p>
        </w:tc>
      </w:tr>
      <w:tr w14:paraId="3B75E5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52" w:type="dxa"/>
            <w:vMerge w:val="continue"/>
            <w:vAlign w:val="center"/>
          </w:tcPr>
          <w:p w14:paraId="1A817988">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0"/>
                <w:szCs w:val="20"/>
                <w14:textFill>
                  <w14:solidFill>
                    <w14:schemeClr w14:val="tx1"/>
                  </w14:solidFill>
                </w14:textFill>
              </w:rPr>
            </w:pPr>
          </w:p>
        </w:tc>
        <w:tc>
          <w:tcPr>
            <w:tcW w:w="1813" w:type="dxa"/>
            <w:gridSpan w:val="2"/>
            <w:vAlign w:val="center"/>
          </w:tcPr>
          <w:p w14:paraId="36124831">
            <w:pPr>
              <w:jc w:val="center"/>
              <w:rPr>
                <w:rFonts w:hint="default" w:ascii="Times New Roman" w:hAnsi="Times New Roman" w:cs="Times New Roman"/>
                <w:snapToGrid w:val="0"/>
                <w:color w:val="000000" w:themeColor="text1"/>
                <w:kern w:val="21"/>
                <w:sz w:val="20"/>
                <w:szCs w:val="20"/>
                <w:lang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汞及其化合物</w:t>
            </w:r>
          </w:p>
        </w:tc>
        <w:tc>
          <w:tcPr>
            <w:tcW w:w="1455" w:type="dxa"/>
            <w:vAlign w:val="center"/>
          </w:tcPr>
          <w:p w14:paraId="0DAF6131">
            <w:pPr>
              <w:spacing w:line="240" w:lineRule="auto"/>
              <w:ind w:firstLine="0" w:firstLineChars="0"/>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0.0001478</w:t>
            </w:r>
            <w:r>
              <w:rPr>
                <w:rFonts w:hint="eastAsia" w:ascii="Times New Roman" w:hAnsi="Times New Roman" w:eastAsia="宋体" w:cs="Times New Roman"/>
                <w:snapToGrid w:val="0"/>
                <w:color w:val="000000" w:themeColor="text1"/>
                <w:kern w:val="21"/>
                <w:sz w:val="21"/>
                <w:szCs w:val="21"/>
                <w:lang w:val="en-US" w:eastAsia="zh-CN"/>
                <w14:textFill>
                  <w14:solidFill>
                    <w14:schemeClr w14:val="tx1"/>
                  </w14:solidFill>
                </w14:textFill>
              </w:rPr>
              <w:t>t/a</w:t>
            </w:r>
          </w:p>
        </w:tc>
        <w:tc>
          <w:tcPr>
            <w:tcW w:w="1052" w:type="dxa"/>
            <w:vAlign w:val="center"/>
          </w:tcPr>
          <w:p w14:paraId="556396F3">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14:textFill>
                  <w14:solidFill>
                    <w14:schemeClr w14:val="tx1"/>
                  </w14:solidFill>
                </w14:textFill>
              </w:rPr>
              <w:t>/</w:t>
            </w:r>
          </w:p>
        </w:tc>
        <w:tc>
          <w:tcPr>
            <w:tcW w:w="1680" w:type="dxa"/>
            <w:vAlign w:val="center"/>
          </w:tcPr>
          <w:p w14:paraId="55DACB7A">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14:textFill>
                  <w14:solidFill>
                    <w14:schemeClr w14:val="tx1"/>
                  </w14:solidFill>
                </w14:textFill>
              </w:rPr>
              <w:t>/</w:t>
            </w:r>
          </w:p>
        </w:tc>
        <w:tc>
          <w:tcPr>
            <w:tcW w:w="1665" w:type="dxa"/>
            <w:vAlign w:val="center"/>
          </w:tcPr>
          <w:p w14:paraId="3F614153">
            <w:pPr>
              <w:pStyle w:val="57"/>
              <w:spacing w:before="31" w:after="31" w:line="240" w:lineRule="auto"/>
              <w:ind w:firstLine="0" w:firstLineChars="0"/>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w:t>
            </w:r>
          </w:p>
        </w:tc>
        <w:tc>
          <w:tcPr>
            <w:tcW w:w="1770" w:type="dxa"/>
            <w:vAlign w:val="center"/>
          </w:tcPr>
          <w:p w14:paraId="0524F0C4">
            <w:pPr>
              <w:spacing w:line="240" w:lineRule="auto"/>
              <w:ind w:firstLine="0" w:firstLineChars="0"/>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0.0001478</w:t>
            </w:r>
            <w:r>
              <w:rPr>
                <w:rFonts w:hint="eastAsia" w:ascii="Times New Roman" w:hAnsi="Times New Roman" w:eastAsia="宋体" w:cs="Times New Roman"/>
                <w:snapToGrid w:val="0"/>
                <w:color w:val="000000" w:themeColor="text1"/>
                <w:kern w:val="21"/>
                <w:sz w:val="21"/>
                <w:szCs w:val="21"/>
                <w:lang w:val="en-US" w:eastAsia="zh-CN"/>
                <w14:textFill>
                  <w14:solidFill>
                    <w14:schemeClr w14:val="tx1"/>
                  </w14:solidFill>
                </w14:textFill>
              </w:rPr>
              <w:t>t/a</w:t>
            </w:r>
          </w:p>
        </w:tc>
        <w:tc>
          <w:tcPr>
            <w:tcW w:w="1558" w:type="dxa"/>
            <w:vAlign w:val="center"/>
          </w:tcPr>
          <w:p w14:paraId="74E67E32">
            <w:pPr>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1443" w:type="dxa"/>
            <w:vAlign w:val="center"/>
          </w:tcPr>
          <w:p w14:paraId="59A595F6">
            <w:pPr>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-0.0001478</w:t>
            </w:r>
            <w:r>
              <w:rPr>
                <w:rFonts w:hint="eastAsia" w:ascii="Times New Roman" w:hAnsi="Times New Roman" w:eastAsia="宋体" w:cs="Times New Roman"/>
                <w:snapToGrid w:val="0"/>
                <w:color w:val="000000" w:themeColor="text1"/>
                <w:kern w:val="21"/>
                <w:sz w:val="21"/>
                <w:szCs w:val="21"/>
                <w:lang w:val="en-US" w:eastAsia="zh-CN"/>
                <w14:textFill>
                  <w14:solidFill>
                    <w14:schemeClr w14:val="tx1"/>
                  </w14:solidFill>
                </w14:textFill>
              </w:rPr>
              <w:t>t/a</w:t>
            </w:r>
          </w:p>
        </w:tc>
      </w:tr>
      <w:tr w14:paraId="120FEF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52" w:type="dxa"/>
            <w:vMerge w:val="continue"/>
            <w:vAlign w:val="center"/>
          </w:tcPr>
          <w:p w14:paraId="0223B5DE">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0"/>
                <w:szCs w:val="20"/>
                <w14:textFill>
                  <w14:solidFill>
                    <w14:schemeClr w14:val="tx1"/>
                  </w14:solidFill>
                </w14:textFill>
              </w:rPr>
            </w:pPr>
          </w:p>
        </w:tc>
        <w:tc>
          <w:tcPr>
            <w:tcW w:w="1813" w:type="dxa"/>
            <w:gridSpan w:val="2"/>
            <w:vAlign w:val="center"/>
          </w:tcPr>
          <w:p w14:paraId="23702DAC">
            <w:pPr>
              <w:jc w:val="center"/>
              <w:rPr>
                <w:rFonts w:hint="default" w:ascii="Times New Roman" w:hAnsi="Times New Roman" w:cs="Times New Roman"/>
                <w:snapToGrid w:val="0"/>
                <w:color w:val="000000" w:themeColor="text1"/>
                <w:kern w:val="21"/>
                <w:sz w:val="20"/>
                <w:szCs w:val="20"/>
                <w:lang w:eastAsia="zh-CN"/>
                <w14:textFill>
                  <w14:solidFill>
                    <w14:schemeClr w14:val="tx1"/>
                  </w14:solidFill>
                </w14:textFill>
              </w:rPr>
            </w:pPr>
            <w:r>
              <w:rPr>
                <w:rFonts w:hint="default" w:ascii="Times New Roman" w:hAnsi="Times New Roman" w:cs="Times New Roman"/>
                <w:color w:val="000000" w:themeColor="text1"/>
                <w:sz w:val="20"/>
                <w:szCs w:val="20"/>
                <w:lang w:eastAsia="zh-CN"/>
                <w14:textFill>
                  <w14:solidFill>
                    <w14:schemeClr w14:val="tx1"/>
                  </w14:solidFill>
                </w14:textFill>
              </w:rPr>
              <w:t>食堂油烟</w:t>
            </w:r>
          </w:p>
        </w:tc>
        <w:tc>
          <w:tcPr>
            <w:tcW w:w="1455" w:type="dxa"/>
            <w:vAlign w:val="center"/>
          </w:tcPr>
          <w:p w14:paraId="79529445">
            <w:pPr>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0.00306</w:t>
            </w:r>
            <w:r>
              <w:rPr>
                <w:rFonts w:hint="eastAsia" w:ascii="Times New Roman" w:hAnsi="Times New Roman" w:eastAsia="宋体" w:cs="Times New Roman"/>
                <w:snapToGrid w:val="0"/>
                <w:color w:val="000000" w:themeColor="text1"/>
                <w:kern w:val="21"/>
                <w:sz w:val="21"/>
                <w:szCs w:val="21"/>
                <w:lang w:val="en-US" w:eastAsia="zh-CN"/>
                <w14:textFill>
                  <w14:solidFill>
                    <w14:schemeClr w14:val="tx1"/>
                  </w14:solidFill>
                </w14:textFill>
              </w:rPr>
              <w:t>t/a</w:t>
            </w:r>
          </w:p>
        </w:tc>
        <w:tc>
          <w:tcPr>
            <w:tcW w:w="1052" w:type="dxa"/>
            <w:vAlign w:val="center"/>
          </w:tcPr>
          <w:p w14:paraId="3C31D0C6">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14:textFill>
                  <w14:solidFill>
                    <w14:schemeClr w14:val="tx1"/>
                  </w14:solidFill>
                </w14:textFill>
              </w:rPr>
              <w:t>/</w:t>
            </w:r>
          </w:p>
        </w:tc>
        <w:tc>
          <w:tcPr>
            <w:tcW w:w="1680" w:type="dxa"/>
            <w:vAlign w:val="center"/>
          </w:tcPr>
          <w:p w14:paraId="61D7EE64">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14:textFill>
                  <w14:solidFill>
                    <w14:schemeClr w14:val="tx1"/>
                  </w14:solidFill>
                </w14:textFill>
              </w:rPr>
              <w:t>/</w:t>
            </w:r>
          </w:p>
        </w:tc>
        <w:tc>
          <w:tcPr>
            <w:tcW w:w="1665" w:type="dxa"/>
            <w:vAlign w:val="center"/>
          </w:tcPr>
          <w:p w14:paraId="0A875F36">
            <w:pPr>
              <w:pStyle w:val="57"/>
              <w:spacing w:before="31" w:after="31" w:line="240" w:lineRule="auto"/>
              <w:ind w:firstLine="0" w:firstLineChars="0"/>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0.00107</w:t>
            </w:r>
            <w:r>
              <w:rPr>
                <w:rFonts w:hint="eastAsia" w:ascii="Times New Roman" w:hAnsi="Times New Roman" w:eastAsia="宋体" w:cs="Times New Roman"/>
                <w:snapToGrid w:val="0"/>
                <w:color w:val="000000" w:themeColor="text1"/>
                <w:kern w:val="21"/>
                <w:sz w:val="21"/>
                <w:szCs w:val="21"/>
                <w:lang w:val="en-US" w:eastAsia="zh-CN"/>
                <w14:textFill>
                  <w14:solidFill>
                    <w14:schemeClr w14:val="tx1"/>
                  </w14:solidFill>
                </w14:textFill>
              </w:rPr>
              <w:t>t/a</w:t>
            </w:r>
          </w:p>
        </w:tc>
        <w:tc>
          <w:tcPr>
            <w:tcW w:w="1770" w:type="dxa"/>
            <w:vAlign w:val="center"/>
          </w:tcPr>
          <w:p w14:paraId="4C47EFFD">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0.00306</w:t>
            </w:r>
            <w:r>
              <w:rPr>
                <w:rFonts w:hint="eastAsia" w:ascii="Times New Roman" w:hAnsi="Times New Roman" w:eastAsia="宋体" w:cs="Times New Roman"/>
                <w:snapToGrid w:val="0"/>
                <w:color w:val="000000" w:themeColor="text1"/>
                <w:kern w:val="21"/>
                <w:sz w:val="21"/>
                <w:szCs w:val="21"/>
                <w:lang w:val="en-US" w:eastAsia="zh-CN"/>
                <w14:textFill>
                  <w14:solidFill>
                    <w14:schemeClr w14:val="tx1"/>
                  </w14:solidFill>
                </w14:textFill>
              </w:rPr>
              <w:t>t/a</w:t>
            </w:r>
          </w:p>
        </w:tc>
        <w:tc>
          <w:tcPr>
            <w:tcW w:w="1558" w:type="dxa"/>
            <w:vAlign w:val="center"/>
          </w:tcPr>
          <w:p w14:paraId="4A762E8C">
            <w:pPr>
              <w:pStyle w:val="57"/>
              <w:spacing w:before="31" w:after="31" w:line="240" w:lineRule="auto"/>
              <w:ind w:firstLine="0" w:firstLineChars="0"/>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0.00107</w:t>
            </w:r>
            <w:r>
              <w:rPr>
                <w:rFonts w:hint="eastAsia" w:ascii="Times New Roman" w:hAnsi="Times New Roman" w:eastAsia="宋体" w:cs="Times New Roman"/>
                <w:snapToGrid w:val="0"/>
                <w:color w:val="000000" w:themeColor="text1"/>
                <w:kern w:val="21"/>
                <w:sz w:val="21"/>
                <w:szCs w:val="21"/>
                <w:lang w:val="en-US" w:eastAsia="zh-CN"/>
                <w14:textFill>
                  <w14:solidFill>
                    <w14:schemeClr w14:val="tx1"/>
                  </w14:solidFill>
                </w14:textFill>
              </w:rPr>
              <w:t>t/a</w:t>
            </w:r>
          </w:p>
        </w:tc>
        <w:tc>
          <w:tcPr>
            <w:tcW w:w="1443" w:type="dxa"/>
            <w:vAlign w:val="center"/>
          </w:tcPr>
          <w:p w14:paraId="086A3660">
            <w:pPr>
              <w:pStyle w:val="57"/>
              <w:spacing w:before="31" w:after="31" w:line="240" w:lineRule="auto"/>
              <w:ind w:firstLine="0" w:firstLineChars="0"/>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-0.00199</w:t>
            </w:r>
            <w:r>
              <w:rPr>
                <w:rFonts w:hint="eastAsia" w:ascii="Times New Roman" w:hAnsi="Times New Roman" w:eastAsia="宋体" w:cs="Times New Roman"/>
                <w:snapToGrid w:val="0"/>
                <w:color w:val="000000" w:themeColor="text1"/>
                <w:kern w:val="21"/>
                <w:sz w:val="21"/>
                <w:szCs w:val="21"/>
                <w:lang w:val="en-US" w:eastAsia="zh-CN"/>
                <w14:textFill>
                  <w14:solidFill>
                    <w14:schemeClr w14:val="tx1"/>
                  </w14:solidFill>
                </w14:textFill>
              </w:rPr>
              <w:t>t/a</w:t>
            </w:r>
          </w:p>
        </w:tc>
      </w:tr>
      <w:tr w14:paraId="7E3143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52" w:type="dxa"/>
            <w:vMerge w:val="restart"/>
            <w:vAlign w:val="center"/>
          </w:tcPr>
          <w:p w14:paraId="03CFE7B4">
            <w:pPr>
              <w:pStyle w:val="57"/>
              <w:spacing w:before="31" w:after="31" w:line="240" w:lineRule="auto"/>
              <w:ind w:firstLine="0" w:firstLineChars="0"/>
              <w:rPr>
                <w:rFonts w:hint="default" w:ascii="Times New Roman" w:hAnsi="Times New Roman" w:cs="Times New Roman"/>
                <w:snapToGrid w:val="0"/>
                <w:color w:val="000000" w:themeColor="text1"/>
                <w:kern w:val="21"/>
                <w:sz w:val="20"/>
                <w:szCs w:val="20"/>
                <w14:textFill>
                  <w14:solidFill>
                    <w14:schemeClr w14:val="tx1"/>
                  </w14:solidFill>
                </w14:textFill>
              </w:rPr>
            </w:pPr>
            <w:r>
              <w:rPr>
                <w:rFonts w:hint="default" w:ascii="Times New Roman" w:hAnsi="Times New Roman" w:cs="Times New Roman"/>
                <w:snapToGrid w:val="0"/>
                <w:color w:val="000000" w:themeColor="text1"/>
                <w:kern w:val="21"/>
                <w:sz w:val="20"/>
                <w:szCs w:val="20"/>
                <w14:textFill>
                  <w14:solidFill>
                    <w14:schemeClr w14:val="tx1"/>
                  </w14:solidFill>
                </w14:textFill>
              </w:rPr>
              <w:t>废水</w:t>
            </w:r>
          </w:p>
        </w:tc>
        <w:tc>
          <w:tcPr>
            <w:tcW w:w="1813" w:type="dxa"/>
            <w:gridSpan w:val="2"/>
            <w:vAlign w:val="center"/>
          </w:tcPr>
          <w:p w14:paraId="34261347">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0"/>
                <w:szCs w:val="20"/>
                <w:lang w:eastAsia="zh-CN"/>
                <w14:textFill>
                  <w14:solidFill>
                    <w14:schemeClr w14:val="tx1"/>
                  </w14:solidFill>
                </w14:textFill>
              </w:rPr>
            </w:pPr>
            <w:r>
              <w:rPr>
                <w:rFonts w:hint="default" w:ascii="Times New Roman" w:hAnsi="Times New Roman" w:cs="Times New Roman"/>
                <w:snapToGrid w:val="0"/>
                <w:color w:val="000000" w:themeColor="text1"/>
                <w:kern w:val="21"/>
                <w:sz w:val="20"/>
                <w:szCs w:val="20"/>
                <w:lang w:eastAsia="zh-CN"/>
                <w14:textFill>
                  <w14:solidFill>
                    <w14:schemeClr w14:val="tx1"/>
                  </w14:solidFill>
                </w14:textFill>
              </w:rPr>
              <w:t>生产废水</w:t>
            </w:r>
          </w:p>
        </w:tc>
        <w:tc>
          <w:tcPr>
            <w:tcW w:w="1455" w:type="dxa"/>
            <w:vAlign w:val="center"/>
          </w:tcPr>
          <w:p w14:paraId="496675E5">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lang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w:t>
            </w:r>
          </w:p>
        </w:tc>
        <w:tc>
          <w:tcPr>
            <w:tcW w:w="1052" w:type="dxa"/>
            <w:vAlign w:val="center"/>
          </w:tcPr>
          <w:p w14:paraId="16523A01">
            <w:pPr>
              <w:pStyle w:val="57"/>
              <w:spacing w:before="31" w:after="31" w:line="240" w:lineRule="auto"/>
              <w:ind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w:t>
            </w:r>
          </w:p>
        </w:tc>
        <w:tc>
          <w:tcPr>
            <w:tcW w:w="1680" w:type="dxa"/>
            <w:vAlign w:val="center"/>
          </w:tcPr>
          <w:p w14:paraId="2533DC2A">
            <w:pPr>
              <w:pStyle w:val="57"/>
              <w:spacing w:before="31" w:after="31" w:line="240" w:lineRule="auto"/>
              <w:ind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w:t>
            </w:r>
          </w:p>
        </w:tc>
        <w:tc>
          <w:tcPr>
            <w:tcW w:w="1665" w:type="dxa"/>
            <w:vAlign w:val="center"/>
          </w:tcPr>
          <w:p w14:paraId="53C77E1B">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w:t>
            </w:r>
          </w:p>
        </w:tc>
        <w:tc>
          <w:tcPr>
            <w:tcW w:w="1770" w:type="dxa"/>
            <w:vAlign w:val="center"/>
          </w:tcPr>
          <w:p w14:paraId="7F5E2307">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lang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eastAsia="zh-CN"/>
                <w14:textFill>
                  <w14:solidFill>
                    <w14:schemeClr w14:val="tx1"/>
                  </w14:solidFill>
                </w14:textFill>
              </w:rPr>
              <w:t>0</w:t>
            </w:r>
          </w:p>
        </w:tc>
        <w:tc>
          <w:tcPr>
            <w:tcW w:w="1558" w:type="dxa"/>
            <w:vAlign w:val="center"/>
          </w:tcPr>
          <w:p w14:paraId="1C597305">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w:t>
            </w:r>
          </w:p>
        </w:tc>
        <w:tc>
          <w:tcPr>
            <w:tcW w:w="1443" w:type="dxa"/>
            <w:vAlign w:val="center"/>
          </w:tcPr>
          <w:p w14:paraId="1B6D6781">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w:t>
            </w:r>
          </w:p>
        </w:tc>
      </w:tr>
      <w:tr w14:paraId="0448DB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52" w:type="dxa"/>
            <w:vMerge w:val="continue"/>
            <w:vAlign w:val="center"/>
          </w:tcPr>
          <w:p w14:paraId="68CAF357">
            <w:pPr>
              <w:pStyle w:val="57"/>
              <w:spacing w:before="31" w:after="31" w:line="240" w:lineRule="auto"/>
              <w:ind w:firstLine="0" w:firstLineChars="0"/>
              <w:rPr>
                <w:rFonts w:hint="default" w:ascii="Times New Roman" w:hAnsi="Times New Roman" w:cs="Times New Roman"/>
                <w:snapToGrid w:val="0"/>
                <w:color w:val="000000" w:themeColor="text1"/>
                <w:kern w:val="21"/>
                <w:sz w:val="20"/>
                <w:szCs w:val="20"/>
                <w14:textFill>
                  <w14:solidFill>
                    <w14:schemeClr w14:val="tx1"/>
                  </w14:solidFill>
                </w14:textFill>
              </w:rPr>
            </w:pPr>
          </w:p>
        </w:tc>
        <w:tc>
          <w:tcPr>
            <w:tcW w:w="1813" w:type="dxa"/>
            <w:gridSpan w:val="2"/>
            <w:vAlign w:val="center"/>
          </w:tcPr>
          <w:p w14:paraId="69CA0683">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0"/>
                <w:szCs w:val="20"/>
                <w:lang w:eastAsia="zh-CN"/>
                <w14:textFill>
                  <w14:solidFill>
                    <w14:schemeClr w14:val="tx1"/>
                  </w14:solidFill>
                </w14:textFill>
              </w:rPr>
            </w:pPr>
            <w:r>
              <w:rPr>
                <w:rFonts w:hint="default" w:ascii="Times New Roman" w:hAnsi="Times New Roman" w:cs="Times New Roman"/>
                <w:snapToGrid w:val="0"/>
                <w:color w:val="000000" w:themeColor="text1"/>
                <w:kern w:val="21"/>
                <w:sz w:val="20"/>
                <w:szCs w:val="20"/>
                <w:lang w:eastAsia="zh-CN"/>
                <w14:textFill>
                  <w14:solidFill>
                    <w14:schemeClr w14:val="tx1"/>
                  </w14:solidFill>
                </w14:textFill>
              </w:rPr>
              <w:t>生活污水</w:t>
            </w:r>
          </w:p>
        </w:tc>
        <w:tc>
          <w:tcPr>
            <w:tcW w:w="1455" w:type="dxa"/>
            <w:vAlign w:val="center"/>
          </w:tcPr>
          <w:p w14:paraId="4BFFBC99">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lang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w:t>
            </w:r>
          </w:p>
        </w:tc>
        <w:tc>
          <w:tcPr>
            <w:tcW w:w="1052" w:type="dxa"/>
            <w:vAlign w:val="center"/>
          </w:tcPr>
          <w:p w14:paraId="5C0EFAD9">
            <w:pPr>
              <w:pStyle w:val="57"/>
              <w:spacing w:before="31" w:after="31" w:line="240" w:lineRule="auto"/>
              <w:ind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w:t>
            </w:r>
          </w:p>
        </w:tc>
        <w:tc>
          <w:tcPr>
            <w:tcW w:w="1680" w:type="dxa"/>
            <w:vAlign w:val="center"/>
          </w:tcPr>
          <w:p w14:paraId="50AB6E5A">
            <w:pPr>
              <w:pStyle w:val="57"/>
              <w:spacing w:before="31" w:after="31" w:line="240" w:lineRule="auto"/>
              <w:ind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w:t>
            </w:r>
          </w:p>
        </w:tc>
        <w:tc>
          <w:tcPr>
            <w:tcW w:w="1665" w:type="dxa"/>
            <w:vAlign w:val="center"/>
          </w:tcPr>
          <w:p w14:paraId="0924FEBC">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w:t>
            </w:r>
          </w:p>
        </w:tc>
        <w:tc>
          <w:tcPr>
            <w:tcW w:w="1770" w:type="dxa"/>
            <w:vAlign w:val="center"/>
          </w:tcPr>
          <w:p w14:paraId="765EB6D8">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w:t>
            </w:r>
          </w:p>
        </w:tc>
        <w:tc>
          <w:tcPr>
            <w:tcW w:w="1558" w:type="dxa"/>
            <w:vAlign w:val="center"/>
          </w:tcPr>
          <w:p w14:paraId="3EBC5341">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w:t>
            </w:r>
          </w:p>
        </w:tc>
        <w:tc>
          <w:tcPr>
            <w:tcW w:w="1443" w:type="dxa"/>
            <w:vAlign w:val="center"/>
          </w:tcPr>
          <w:p w14:paraId="444ADA01">
            <w:pPr>
              <w:pStyle w:val="57"/>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w:t>
            </w:r>
          </w:p>
        </w:tc>
      </w:tr>
      <w:tr w14:paraId="0EE07E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52" w:type="dxa"/>
            <w:vMerge w:val="restart"/>
            <w:vAlign w:val="center"/>
          </w:tcPr>
          <w:p w14:paraId="7CCA6F94">
            <w:pPr>
              <w:pStyle w:val="57"/>
              <w:spacing w:before="31" w:after="31" w:line="240" w:lineRule="auto"/>
              <w:ind w:firstLine="0" w:firstLineChars="0"/>
              <w:rPr>
                <w:rFonts w:hint="default" w:ascii="Times New Roman" w:hAnsi="Times New Roman" w:cs="Times New Roman"/>
                <w:snapToGrid w:val="0"/>
                <w:color w:val="000000" w:themeColor="text1"/>
                <w:kern w:val="21"/>
                <w:sz w:val="20"/>
                <w:szCs w:val="20"/>
                <w:highlight w:val="none"/>
                <w14:textFill>
                  <w14:solidFill>
                    <w14:schemeClr w14:val="tx1"/>
                  </w14:solidFill>
                </w14:textFill>
              </w:rPr>
            </w:pPr>
            <w:r>
              <w:rPr>
                <w:rFonts w:hint="default" w:ascii="Times New Roman" w:hAnsi="Times New Roman" w:cs="Times New Roman"/>
                <w:snapToGrid w:val="0"/>
                <w:color w:val="000000" w:themeColor="text1"/>
                <w:kern w:val="21"/>
                <w:sz w:val="20"/>
                <w:szCs w:val="20"/>
                <w:highlight w:val="none"/>
                <w14:textFill>
                  <w14:solidFill>
                    <w14:schemeClr w14:val="tx1"/>
                  </w14:solidFill>
                </w14:textFill>
              </w:rPr>
              <w:t>一般工业</w:t>
            </w:r>
          </w:p>
          <w:p w14:paraId="33181D08">
            <w:pPr>
              <w:pStyle w:val="57"/>
              <w:spacing w:before="31" w:after="31" w:line="240" w:lineRule="auto"/>
              <w:ind w:firstLine="0" w:firstLineChars="0"/>
              <w:rPr>
                <w:rFonts w:hint="default" w:ascii="Times New Roman" w:hAnsi="Times New Roman" w:cs="Times New Roman"/>
                <w:snapToGrid w:val="0"/>
                <w:color w:val="000000" w:themeColor="text1"/>
                <w:kern w:val="21"/>
                <w:sz w:val="20"/>
                <w:szCs w:val="20"/>
                <w:highlight w:val="none"/>
                <w14:textFill>
                  <w14:solidFill>
                    <w14:schemeClr w14:val="tx1"/>
                  </w14:solidFill>
                </w14:textFill>
              </w:rPr>
            </w:pPr>
            <w:r>
              <w:rPr>
                <w:rFonts w:hint="default" w:ascii="Times New Roman" w:hAnsi="Times New Roman" w:cs="Times New Roman"/>
                <w:snapToGrid w:val="0"/>
                <w:color w:val="000000" w:themeColor="text1"/>
                <w:kern w:val="21"/>
                <w:sz w:val="20"/>
                <w:szCs w:val="20"/>
                <w:highlight w:val="none"/>
                <w14:textFill>
                  <w14:solidFill>
                    <w14:schemeClr w14:val="tx1"/>
                  </w14:solidFill>
                </w14:textFill>
              </w:rPr>
              <w:t>固体废物</w:t>
            </w:r>
          </w:p>
        </w:tc>
        <w:tc>
          <w:tcPr>
            <w:tcW w:w="1813" w:type="dxa"/>
            <w:gridSpan w:val="2"/>
            <w:vAlign w:val="center"/>
          </w:tcPr>
          <w:p w14:paraId="6E4C34C3">
            <w:pPr>
              <w:jc w:val="center"/>
              <w:rPr>
                <w:rFonts w:hint="default" w:ascii="Times New Roman" w:hAnsi="Times New Roman" w:cs="Times New Roman"/>
                <w:b w:val="0"/>
                <w:bCs/>
                <w:snapToGrid w:val="0"/>
                <w:color w:val="000000" w:themeColor="text1"/>
                <w:kern w:val="21"/>
                <w:sz w:val="20"/>
                <w:szCs w:val="20"/>
                <w:highlight w:val="none"/>
                <w14:textFill>
                  <w14:solidFill>
                    <w14:schemeClr w14:val="tx1"/>
                  </w14:solidFill>
                </w14:textFill>
              </w:rPr>
            </w:pPr>
            <w:r>
              <w:rPr>
                <w:rFonts w:hint="default" w:ascii="Times New Roman" w:hAnsi="Times New Roman" w:cs="Times New Roman"/>
                <w:b w:val="0"/>
                <w:bCs/>
                <w:color w:val="000000" w:themeColor="text1"/>
                <w:sz w:val="20"/>
                <w:szCs w:val="20"/>
                <w:lang w:eastAsia="zh-CN"/>
                <w14:textFill>
                  <w14:solidFill>
                    <w14:schemeClr w14:val="tx1"/>
                  </w14:solidFill>
                </w14:textFill>
              </w:rPr>
              <w:t>废弃包装物</w:t>
            </w:r>
          </w:p>
        </w:tc>
        <w:tc>
          <w:tcPr>
            <w:tcW w:w="1455" w:type="dxa"/>
            <w:vAlign w:val="center"/>
          </w:tcPr>
          <w:p w14:paraId="5E4F7314">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b w:val="0"/>
                <w:bCs/>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0.8</w:t>
            </w:r>
            <w:r>
              <w:rPr>
                <w:rFonts w:hint="default" w:ascii="Times New Roman" w:hAnsi="Times New Roman" w:cs="Times New Roman"/>
                <w:b w:val="0"/>
                <w:bCs/>
                <w:color w:val="000000" w:themeColor="text1"/>
                <w:sz w:val="21"/>
                <w:szCs w:val="21"/>
                <w14:textFill>
                  <w14:solidFill>
                    <w14:schemeClr w14:val="tx1"/>
                  </w14:solidFill>
                </w14:textFill>
              </w:rPr>
              <w:t>t/a</w:t>
            </w:r>
          </w:p>
        </w:tc>
        <w:tc>
          <w:tcPr>
            <w:tcW w:w="1052" w:type="dxa"/>
            <w:vAlign w:val="center"/>
          </w:tcPr>
          <w:p w14:paraId="5C74250F">
            <w:pPr>
              <w:pStyle w:val="57"/>
              <w:spacing w:before="31" w:after="31" w:line="240" w:lineRule="auto"/>
              <w:ind w:firstLine="0" w:firstLineChars="0"/>
              <w:rPr>
                <w:rFonts w:hint="default" w:ascii="Times New Roman" w:hAnsi="Times New Roman" w:cs="Times New Roman"/>
                <w:b w:val="0"/>
                <w:bCs/>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b w:val="0"/>
                <w:bCs/>
                <w:snapToGrid w:val="0"/>
                <w:color w:val="000000" w:themeColor="text1"/>
                <w:kern w:val="21"/>
                <w:sz w:val="21"/>
                <w:szCs w:val="21"/>
                <w:highlight w:val="none"/>
                <w14:textFill>
                  <w14:solidFill>
                    <w14:schemeClr w14:val="tx1"/>
                  </w14:solidFill>
                </w14:textFill>
              </w:rPr>
              <w:t>/</w:t>
            </w:r>
          </w:p>
        </w:tc>
        <w:tc>
          <w:tcPr>
            <w:tcW w:w="1680" w:type="dxa"/>
            <w:vAlign w:val="center"/>
          </w:tcPr>
          <w:p w14:paraId="2109C850">
            <w:pPr>
              <w:pStyle w:val="57"/>
              <w:spacing w:before="31" w:after="31" w:line="240" w:lineRule="auto"/>
              <w:ind w:firstLine="0" w:firstLineChars="0"/>
              <w:rPr>
                <w:rFonts w:hint="default" w:ascii="Times New Roman" w:hAnsi="Times New Roman" w:cs="Times New Roman"/>
                <w:b w:val="0"/>
                <w:bCs/>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b w:val="0"/>
                <w:bCs/>
                <w:snapToGrid w:val="0"/>
                <w:color w:val="000000" w:themeColor="text1"/>
                <w:kern w:val="21"/>
                <w:sz w:val="21"/>
                <w:szCs w:val="21"/>
                <w:highlight w:val="none"/>
                <w14:textFill>
                  <w14:solidFill>
                    <w14:schemeClr w14:val="tx1"/>
                  </w14:solidFill>
                </w14:textFill>
              </w:rPr>
              <w:t>/</w:t>
            </w:r>
          </w:p>
        </w:tc>
        <w:tc>
          <w:tcPr>
            <w:tcW w:w="1665" w:type="dxa"/>
            <w:vAlign w:val="center"/>
          </w:tcPr>
          <w:p w14:paraId="75B5F82B">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b w:val="0"/>
                <w:bCs/>
                <w:snapToGrid w:val="0"/>
                <w:color w:val="000000" w:themeColor="text1"/>
                <w:kern w:val="2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0</w:t>
            </w:r>
          </w:p>
        </w:tc>
        <w:tc>
          <w:tcPr>
            <w:tcW w:w="1770" w:type="dxa"/>
            <w:vAlign w:val="center"/>
          </w:tcPr>
          <w:p w14:paraId="3846AC07">
            <w:pPr>
              <w:jc w:val="center"/>
              <w:rPr>
                <w:rFonts w:hint="default" w:ascii="Times New Roman" w:hAnsi="Times New Roman" w:cs="Times New Roman"/>
                <w:b w:val="0"/>
                <w:bCs/>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0</w:t>
            </w:r>
          </w:p>
        </w:tc>
        <w:tc>
          <w:tcPr>
            <w:tcW w:w="1558" w:type="dxa"/>
            <w:vAlign w:val="center"/>
          </w:tcPr>
          <w:p w14:paraId="45E36804">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b w:val="0"/>
                <w:bCs/>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0.8</w:t>
            </w:r>
            <w:r>
              <w:rPr>
                <w:rFonts w:hint="default" w:ascii="Times New Roman" w:hAnsi="Times New Roman" w:cs="Times New Roman"/>
                <w:b w:val="0"/>
                <w:bCs/>
                <w:color w:val="000000" w:themeColor="text1"/>
                <w:sz w:val="21"/>
                <w:szCs w:val="21"/>
                <w14:textFill>
                  <w14:solidFill>
                    <w14:schemeClr w14:val="tx1"/>
                  </w14:solidFill>
                </w14:textFill>
              </w:rPr>
              <w:t>t/a</w:t>
            </w:r>
          </w:p>
        </w:tc>
        <w:tc>
          <w:tcPr>
            <w:tcW w:w="1443" w:type="dxa"/>
            <w:vAlign w:val="center"/>
          </w:tcPr>
          <w:p w14:paraId="4AA0297D">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b w:val="0"/>
                <w:bCs/>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0</w:t>
            </w:r>
          </w:p>
        </w:tc>
      </w:tr>
      <w:tr w14:paraId="235051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52" w:type="dxa"/>
            <w:vMerge w:val="continue"/>
            <w:vAlign w:val="center"/>
          </w:tcPr>
          <w:p w14:paraId="3231A200">
            <w:pPr>
              <w:pStyle w:val="57"/>
              <w:spacing w:before="31" w:after="31" w:line="240" w:lineRule="auto"/>
              <w:ind w:firstLine="0" w:firstLineChars="0"/>
              <w:rPr>
                <w:rFonts w:hint="default" w:ascii="Times New Roman" w:hAnsi="Times New Roman" w:cs="Times New Roman"/>
                <w:snapToGrid w:val="0"/>
                <w:color w:val="000000" w:themeColor="text1"/>
                <w:kern w:val="21"/>
                <w:sz w:val="20"/>
                <w:szCs w:val="20"/>
                <w:highlight w:val="none"/>
                <w14:textFill>
                  <w14:solidFill>
                    <w14:schemeClr w14:val="tx1"/>
                  </w14:solidFill>
                </w14:textFill>
              </w:rPr>
            </w:pPr>
          </w:p>
        </w:tc>
        <w:tc>
          <w:tcPr>
            <w:tcW w:w="1813" w:type="dxa"/>
            <w:gridSpan w:val="2"/>
            <w:vAlign w:val="center"/>
          </w:tcPr>
          <w:p w14:paraId="5F418211">
            <w:pPr>
              <w:jc w:val="center"/>
              <w:rPr>
                <w:rFonts w:hint="default" w:ascii="Times New Roman" w:hAnsi="Times New Roman" w:cs="Times New Roman"/>
                <w:b w:val="0"/>
                <w:bCs/>
                <w:snapToGrid w:val="0"/>
                <w:color w:val="000000" w:themeColor="text1"/>
                <w:kern w:val="21"/>
                <w:sz w:val="20"/>
                <w:szCs w:val="20"/>
                <w:highlight w:val="none"/>
                <w14:textFill>
                  <w14:solidFill>
                    <w14:schemeClr w14:val="tx1"/>
                  </w14:solidFill>
                </w14:textFill>
              </w:rPr>
            </w:pPr>
            <w:r>
              <w:rPr>
                <w:rFonts w:hint="default" w:ascii="Times New Roman" w:hAnsi="Times New Roman" w:cs="Times New Roman"/>
                <w:b w:val="0"/>
                <w:bCs/>
                <w:color w:val="000000" w:themeColor="text1"/>
                <w:sz w:val="20"/>
                <w:szCs w:val="20"/>
                <w:lang w:eastAsia="zh-CN"/>
                <w14:textFill>
                  <w14:solidFill>
                    <w14:schemeClr w14:val="tx1"/>
                  </w14:solidFill>
                </w14:textFill>
              </w:rPr>
              <w:t>不合格品</w:t>
            </w:r>
          </w:p>
        </w:tc>
        <w:tc>
          <w:tcPr>
            <w:tcW w:w="1455" w:type="dxa"/>
            <w:vAlign w:val="center"/>
          </w:tcPr>
          <w:p w14:paraId="01475E7C">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b w:val="0"/>
                <w:bCs/>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0.75</w:t>
            </w:r>
            <w:r>
              <w:rPr>
                <w:rFonts w:hint="default" w:ascii="Times New Roman" w:hAnsi="Times New Roman" w:cs="Times New Roman"/>
                <w:b w:val="0"/>
                <w:bCs/>
                <w:color w:val="000000" w:themeColor="text1"/>
                <w:sz w:val="21"/>
                <w:szCs w:val="21"/>
                <w14:textFill>
                  <w14:solidFill>
                    <w14:schemeClr w14:val="tx1"/>
                  </w14:solidFill>
                </w14:textFill>
              </w:rPr>
              <w:t>t/a</w:t>
            </w:r>
          </w:p>
        </w:tc>
        <w:tc>
          <w:tcPr>
            <w:tcW w:w="1052" w:type="dxa"/>
            <w:vAlign w:val="center"/>
          </w:tcPr>
          <w:p w14:paraId="7423342F">
            <w:pPr>
              <w:pStyle w:val="57"/>
              <w:spacing w:before="31" w:after="31" w:line="240" w:lineRule="auto"/>
              <w:ind w:firstLine="0" w:firstLineChars="0"/>
              <w:rPr>
                <w:rFonts w:hint="default" w:ascii="Times New Roman" w:hAnsi="Times New Roman" w:cs="Times New Roman"/>
                <w:b w:val="0"/>
                <w:bCs/>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b w:val="0"/>
                <w:bCs/>
                <w:snapToGrid w:val="0"/>
                <w:color w:val="000000" w:themeColor="text1"/>
                <w:kern w:val="21"/>
                <w:sz w:val="21"/>
                <w:szCs w:val="21"/>
                <w:highlight w:val="none"/>
                <w14:textFill>
                  <w14:solidFill>
                    <w14:schemeClr w14:val="tx1"/>
                  </w14:solidFill>
                </w14:textFill>
              </w:rPr>
              <w:t>/</w:t>
            </w:r>
          </w:p>
        </w:tc>
        <w:tc>
          <w:tcPr>
            <w:tcW w:w="1680" w:type="dxa"/>
            <w:vAlign w:val="center"/>
          </w:tcPr>
          <w:p w14:paraId="018A9D6D">
            <w:pPr>
              <w:pStyle w:val="57"/>
              <w:spacing w:before="31" w:after="31" w:line="240" w:lineRule="auto"/>
              <w:ind w:firstLine="0" w:firstLineChars="0"/>
              <w:rPr>
                <w:rFonts w:hint="default" w:ascii="Times New Roman" w:hAnsi="Times New Roman" w:cs="Times New Roman"/>
                <w:b w:val="0"/>
                <w:bCs/>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b w:val="0"/>
                <w:bCs/>
                <w:snapToGrid w:val="0"/>
                <w:color w:val="000000" w:themeColor="text1"/>
                <w:kern w:val="21"/>
                <w:sz w:val="21"/>
                <w:szCs w:val="21"/>
                <w:highlight w:val="none"/>
                <w14:textFill>
                  <w14:solidFill>
                    <w14:schemeClr w14:val="tx1"/>
                  </w14:solidFill>
                </w14:textFill>
              </w:rPr>
              <w:t>/</w:t>
            </w:r>
          </w:p>
        </w:tc>
        <w:tc>
          <w:tcPr>
            <w:tcW w:w="1665" w:type="dxa"/>
            <w:vAlign w:val="center"/>
          </w:tcPr>
          <w:p w14:paraId="18288DA2">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b w:val="0"/>
                <w:bCs/>
                <w:snapToGrid w:val="0"/>
                <w:color w:val="000000" w:themeColor="text1"/>
                <w:kern w:val="2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0</w:t>
            </w:r>
          </w:p>
        </w:tc>
        <w:tc>
          <w:tcPr>
            <w:tcW w:w="1770" w:type="dxa"/>
            <w:vAlign w:val="center"/>
          </w:tcPr>
          <w:p w14:paraId="61DACA98">
            <w:pPr>
              <w:jc w:val="center"/>
              <w:rPr>
                <w:rFonts w:hint="default" w:ascii="Times New Roman" w:hAnsi="Times New Roman" w:cs="Times New Roman"/>
                <w:b w:val="0"/>
                <w:bCs/>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0</w:t>
            </w:r>
          </w:p>
        </w:tc>
        <w:tc>
          <w:tcPr>
            <w:tcW w:w="1558" w:type="dxa"/>
            <w:vAlign w:val="center"/>
          </w:tcPr>
          <w:p w14:paraId="75F90B0C">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b w:val="0"/>
                <w:bCs/>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0.75</w:t>
            </w:r>
            <w:r>
              <w:rPr>
                <w:rFonts w:hint="default" w:ascii="Times New Roman" w:hAnsi="Times New Roman" w:cs="Times New Roman"/>
                <w:b w:val="0"/>
                <w:bCs/>
                <w:color w:val="000000" w:themeColor="text1"/>
                <w:sz w:val="21"/>
                <w:szCs w:val="21"/>
                <w14:textFill>
                  <w14:solidFill>
                    <w14:schemeClr w14:val="tx1"/>
                  </w14:solidFill>
                </w14:textFill>
              </w:rPr>
              <w:t>t/a</w:t>
            </w:r>
          </w:p>
        </w:tc>
        <w:tc>
          <w:tcPr>
            <w:tcW w:w="1443" w:type="dxa"/>
            <w:vAlign w:val="center"/>
          </w:tcPr>
          <w:p w14:paraId="51B763BC">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b w:val="0"/>
                <w:bCs/>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0</w:t>
            </w:r>
          </w:p>
        </w:tc>
      </w:tr>
      <w:tr w14:paraId="1A5F45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52" w:type="dxa"/>
            <w:vMerge w:val="continue"/>
            <w:vAlign w:val="center"/>
          </w:tcPr>
          <w:p w14:paraId="4A74B422">
            <w:pPr>
              <w:pStyle w:val="57"/>
              <w:spacing w:before="31" w:after="31" w:line="240" w:lineRule="auto"/>
              <w:ind w:firstLine="0" w:firstLineChars="0"/>
              <w:rPr>
                <w:rFonts w:hint="default" w:ascii="Times New Roman" w:hAnsi="Times New Roman" w:cs="Times New Roman"/>
                <w:snapToGrid w:val="0"/>
                <w:color w:val="000000" w:themeColor="text1"/>
                <w:kern w:val="21"/>
                <w:sz w:val="20"/>
                <w:szCs w:val="20"/>
                <w:highlight w:val="none"/>
                <w14:textFill>
                  <w14:solidFill>
                    <w14:schemeClr w14:val="tx1"/>
                  </w14:solidFill>
                </w14:textFill>
              </w:rPr>
            </w:pPr>
          </w:p>
        </w:tc>
        <w:tc>
          <w:tcPr>
            <w:tcW w:w="1813" w:type="dxa"/>
            <w:gridSpan w:val="2"/>
            <w:vAlign w:val="center"/>
          </w:tcPr>
          <w:p w14:paraId="112C00EF">
            <w:pPr>
              <w:autoSpaceDE w:val="0"/>
              <w:autoSpaceDN w:val="0"/>
              <w:jc w:val="cente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0"/>
                <w:szCs w:val="20"/>
                <w:lang w:eastAsia="zh-CN"/>
                <w14:textFill>
                  <w14:solidFill>
                    <w14:schemeClr w14:val="tx1"/>
                  </w14:solidFill>
                </w14:textFill>
              </w:rPr>
              <w:t>锅炉炉渣</w:t>
            </w:r>
          </w:p>
        </w:tc>
        <w:tc>
          <w:tcPr>
            <w:tcW w:w="1455" w:type="dxa"/>
            <w:vAlign w:val="center"/>
          </w:tcPr>
          <w:p w14:paraId="57265688">
            <w:pPr>
              <w:jc w:val="center"/>
              <w:rPr>
                <w:rFonts w:hint="default" w:ascii="Times New Roman" w:hAnsi="Times New Roman" w:cs="Times New Roman"/>
                <w:b w:val="0"/>
                <w:bCs/>
                <w:snapToGrid w:val="0"/>
                <w:color w:val="000000" w:themeColor="text1"/>
                <w:kern w:val="21"/>
                <w:sz w:val="21"/>
                <w:szCs w:val="21"/>
                <w:highlight w:val="none"/>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191.2458</w:t>
            </w:r>
            <w:r>
              <w:rPr>
                <w:rFonts w:hint="default" w:ascii="Times New Roman" w:hAnsi="Times New Roman" w:cs="Times New Roman"/>
                <w:b w:val="0"/>
                <w:bCs/>
                <w:color w:val="000000" w:themeColor="text1"/>
                <w:sz w:val="21"/>
                <w:szCs w:val="21"/>
                <w14:textFill>
                  <w14:solidFill>
                    <w14:schemeClr w14:val="tx1"/>
                  </w14:solidFill>
                </w14:textFill>
              </w:rPr>
              <w:t>t/a</w:t>
            </w:r>
          </w:p>
        </w:tc>
        <w:tc>
          <w:tcPr>
            <w:tcW w:w="1052" w:type="dxa"/>
            <w:vAlign w:val="center"/>
          </w:tcPr>
          <w:p w14:paraId="58516271">
            <w:pPr>
              <w:pStyle w:val="57"/>
              <w:spacing w:before="31" w:after="31" w:line="240" w:lineRule="auto"/>
              <w:ind w:firstLine="0" w:firstLineChars="0"/>
              <w:rPr>
                <w:rFonts w:hint="default" w:ascii="Times New Roman" w:hAnsi="Times New Roman" w:cs="Times New Roman"/>
                <w:b w:val="0"/>
                <w:bCs/>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b w:val="0"/>
                <w:bCs/>
                <w:snapToGrid w:val="0"/>
                <w:color w:val="000000" w:themeColor="text1"/>
                <w:kern w:val="21"/>
                <w:sz w:val="21"/>
                <w:szCs w:val="21"/>
                <w:highlight w:val="none"/>
                <w14:textFill>
                  <w14:solidFill>
                    <w14:schemeClr w14:val="tx1"/>
                  </w14:solidFill>
                </w14:textFill>
              </w:rPr>
              <w:t>/</w:t>
            </w:r>
          </w:p>
        </w:tc>
        <w:tc>
          <w:tcPr>
            <w:tcW w:w="1680" w:type="dxa"/>
            <w:vAlign w:val="center"/>
          </w:tcPr>
          <w:p w14:paraId="12382C76">
            <w:pPr>
              <w:pStyle w:val="57"/>
              <w:spacing w:before="31" w:after="31" w:line="240" w:lineRule="auto"/>
              <w:ind w:firstLine="0" w:firstLineChars="0"/>
              <w:rPr>
                <w:rFonts w:hint="default" w:ascii="Times New Roman" w:hAnsi="Times New Roman" w:cs="Times New Roman"/>
                <w:b w:val="0"/>
                <w:bCs/>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b w:val="0"/>
                <w:bCs/>
                <w:snapToGrid w:val="0"/>
                <w:color w:val="000000" w:themeColor="text1"/>
                <w:kern w:val="21"/>
                <w:sz w:val="21"/>
                <w:szCs w:val="21"/>
                <w:highlight w:val="none"/>
                <w14:textFill>
                  <w14:solidFill>
                    <w14:schemeClr w14:val="tx1"/>
                  </w14:solidFill>
                </w14:textFill>
              </w:rPr>
              <w:t>/</w:t>
            </w:r>
          </w:p>
        </w:tc>
        <w:tc>
          <w:tcPr>
            <w:tcW w:w="1665" w:type="dxa"/>
            <w:vAlign w:val="center"/>
          </w:tcPr>
          <w:p w14:paraId="76BC2291">
            <w:pPr>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b w:val="0"/>
                <w:bCs/>
                <w:snapToGrid w:val="0"/>
                <w:color w:val="000000" w:themeColor="text1"/>
                <w:kern w:val="2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8.374</w:t>
            </w:r>
            <w:r>
              <w:rPr>
                <w:rFonts w:hint="default" w:ascii="Times New Roman" w:hAnsi="Times New Roman" w:cs="Times New Roman"/>
                <w:b w:val="0"/>
                <w:bCs/>
                <w:color w:val="000000" w:themeColor="text1"/>
                <w:sz w:val="21"/>
                <w:szCs w:val="21"/>
                <w14:textFill>
                  <w14:solidFill>
                    <w14:schemeClr w14:val="tx1"/>
                  </w14:solidFill>
                </w14:textFill>
              </w:rPr>
              <w:t>t/a</w:t>
            </w:r>
          </w:p>
        </w:tc>
        <w:tc>
          <w:tcPr>
            <w:tcW w:w="1770" w:type="dxa"/>
            <w:vAlign w:val="center"/>
          </w:tcPr>
          <w:p w14:paraId="6727F691">
            <w:pPr>
              <w:jc w:val="center"/>
              <w:rPr>
                <w:rFonts w:hint="default" w:ascii="Times New Roman" w:hAnsi="Times New Roman" w:cs="Times New Roman"/>
                <w:b w:val="0"/>
                <w:bCs/>
                <w:snapToGrid w:val="0"/>
                <w:color w:val="000000" w:themeColor="text1"/>
                <w:kern w:val="2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191.2458</w:t>
            </w:r>
            <w:r>
              <w:rPr>
                <w:rFonts w:hint="default" w:ascii="Times New Roman" w:hAnsi="Times New Roman" w:cs="Times New Roman"/>
                <w:b w:val="0"/>
                <w:bCs/>
                <w:color w:val="000000" w:themeColor="text1"/>
                <w:sz w:val="21"/>
                <w:szCs w:val="21"/>
                <w14:textFill>
                  <w14:solidFill>
                    <w14:schemeClr w14:val="tx1"/>
                  </w14:solidFill>
                </w14:textFill>
              </w:rPr>
              <w:t>t/a</w:t>
            </w:r>
          </w:p>
        </w:tc>
        <w:tc>
          <w:tcPr>
            <w:tcW w:w="1558" w:type="dxa"/>
            <w:vAlign w:val="center"/>
          </w:tcPr>
          <w:p w14:paraId="3981A550">
            <w:pPr>
              <w:autoSpaceDE w:val="0"/>
              <w:autoSpaceDN w:val="0"/>
              <w:jc w:val="center"/>
              <w:rPr>
                <w:rFonts w:hint="default" w:ascii="Times New Roman" w:hAnsi="Times New Roman" w:cs="Times New Roman"/>
                <w:b w:val="0"/>
                <w:bCs/>
                <w:snapToGrid w:val="0"/>
                <w:color w:val="000000" w:themeColor="text1"/>
                <w:kern w:val="2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8.374</w:t>
            </w:r>
            <w:r>
              <w:rPr>
                <w:rFonts w:hint="default" w:ascii="Times New Roman" w:hAnsi="Times New Roman" w:cs="Times New Roman"/>
                <w:b w:val="0"/>
                <w:bCs/>
                <w:color w:val="000000" w:themeColor="text1"/>
                <w:sz w:val="21"/>
                <w:szCs w:val="21"/>
                <w14:textFill>
                  <w14:solidFill>
                    <w14:schemeClr w14:val="tx1"/>
                  </w14:solidFill>
                </w14:textFill>
              </w:rPr>
              <w:t>t/a</w:t>
            </w:r>
          </w:p>
        </w:tc>
        <w:tc>
          <w:tcPr>
            <w:tcW w:w="1443" w:type="dxa"/>
            <w:vAlign w:val="center"/>
          </w:tcPr>
          <w:p w14:paraId="059CCD8A">
            <w:pPr>
              <w:autoSpaceDE w:val="0"/>
              <w:autoSpaceDN w:val="0"/>
              <w:jc w:val="center"/>
              <w:rPr>
                <w:rFonts w:hint="default" w:ascii="Times New Roman" w:hAnsi="Times New Roman" w:cs="Times New Roman"/>
                <w:b w:val="0"/>
                <w:bCs/>
                <w:snapToGrid w:val="0"/>
                <w:color w:val="000000" w:themeColor="text1"/>
                <w:kern w:val="2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-182.8718</w:t>
            </w:r>
            <w:r>
              <w:rPr>
                <w:rFonts w:hint="default" w:ascii="Times New Roman" w:hAnsi="Times New Roman" w:cs="Times New Roman"/>
                <w:b w:val="0"/>
                <w:bCs/>
                <w:color w:val="000000" w:themeColor="text1"/>
                <w:sz w:val="21"/>
                <w:szCs w:val="21"/>
                <w14:textFill>
                  <w14:solidFill>
                    <w14:schemeClr w14:val="tx1"/>
                  </w14:solidFill>
                </w14:textFill>
              </w:rPr>
              <w:t>t/a</w:t>
            </w:r>
          </w:p>
        </w:tc>
      </w:tr>
      <w:tr w14:paraId="6DB01C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52" w:type="dxa"/>
            <w:vMerge w:val="continue"/>
            <w:vAlign w:val="center"/>
          </w:tcPr>
          <w:p w14:paraId="44DA1838">
            <w:pPr>
              <w:pStyle w:val="57"/>
              <w:spacing w:before="31" w:after="31" w:line="240" w:lineRule="auto"/>
              <w:ind w:firstLine="0" w:firstLineChars="0"/>
              <w:rPr>
                <w:rFonts w:hint="default" w:ascii="Times New Roman" w:hAnsi="Times New Roman" w:cs="Times New Roman"/>
                <w:snapToGrid w:val="0"/>
                <w:color w:val="000000" w:themeColor="text1"/>
                <w:kern w:val="21"/>
                <w:sz w:val="20"/>
                <w:szCs w:val="20"/>
                <w:highlight w:val="none"/>
                <w14:textFill>
                  <w14:solidFill>
                    <w14:schemeClr w14:val="tx1"/>
                  </w14:solidFill>
                </w14:textFill>
              </w:rPr>
            </w:pPr>
          </w:p>
        </w:tc>
        <w:tc>
          <w:tcPr>
            <w:tcW w:w="1813" w:type="dxa"/>
            <w:gridSpan w:val="2"/>
            <w:vAlign w:val="center"/>
          </w:tcPr>
          <w:p w14:paraId="592604FB">
            <w:pPr>
              <w:autoSpaceDE w:val="0"/>
              <w:autoSpaceDN w:val="0"/>
              <w:jc w:val="center"/>
              <w:rPr>
                <w:rFonts w:hint="default" w:ascii="Times New Roman" w:hAnsi="Times New Roman" w:cs="Times New Roman"/>
                <w:b w:val="0"/>
                <w:bCs/>
                <w:snapToGrid w:val="0"/>
                <w:color w:val="000000" w:themeColor="text1"/>
                <w:kern w:val="21"/>
                <w:sz w:val="20"/>
                <w:szCs w:val="20"/>
                <w:highlight w:val="none"/>
                <w14:textFill>
                  <w14:solidFill>
                    <w14:schemeClr w14:val="tx1"/>
                  </w14:solidFill>
                </w14:textFill>
              </w:rPr>
            </w:pPr>
            <w:r>
              <w:rPr>
                <w:rFonts w:hint="default" w:ascii="Times New Roman" w:hAnsi="Times New Roman" w:cs="Times New Roman"/>
                <w:b w:val="0"/>
                <w:bCs/>
                <w:color w:val="000000" w:themeColor="text1"/>
                <w:sz w:val="20"/>
                <w:szCs w:val="20"/>
                <w:lang w:eastAsia="zh-CN"/>
                <w14:textFill>
                  <w14:solidFill>
                    <w14:schemeClr w14:val="tx1"/>
                  </w14:solidFill>
                </w14:textFill>
              </w:rPr>
              <w:t>脱硫废渣</w:t>
            </w:r>
          </w:p>
        </w:tc>
        <w:tc>
          <w:tcPr>
            <w:tcW w:w="1455" w:type="dxa"/>
            <w:vAlign w:val="center"/>
          </w:tcPr>
          <w:p w14:paraId="1730F2C0">
            <w:pPr>
              <w:jc w:val="center"/>
              <w:rPr>
                <w:rFonts w:hint="default" w:ascii="Times New Roman" w:hAnsi="Times New Roman" w:cs="Times New Roman"/>
                <w:b w:val="0"/>
                <w:bCs/>
                <w:snapToGrid w:val="0"/>
                <w:color w:val="000000" w:themeColor="text1"/>
                <w:kern w:val="21"/>
                <w:sz w:val="21"/>
                <w:szCs w:val="21"/>
                <w:highlight w:val="none"/>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6.84</w:t>
            </w:r>
            <w:r>
              <w:rPr>
                <w:rFonts w:hint="default" w:ascii="Times New Roman" w:hAnsi="Times New Roman" w:cs="Times New Roman"/>
                <w:b w:val="0"/>
                <w:bCs/>
                <w:color w:val="000000" w:themeColor="text1"/>
                <w:sz w:val="21"/>
                <w:szCs w:val="21"/>
                <w14:textFill>
                  <w14:solidFill>
                    <w14:schemeClr w14:val="tx1"/>
                  </w14:solidFill>
                </w14:textFill>
              </w:rPr>
              <w:t>t/a</w:t>
            </w:r>
          </w:p>
        </w:tc>
        <w:tc>
          <w:tcPr>
            <w:tcW w:w="1052" w:type="dxa"/>
            <w:vAlign w:val="center"/>
          </w:tcPr>
          <w:p w14:paraId="03935949">
            <w:pPr>
              <w:pStyle w:val="57"/>
              <w:spacing w:before="31" w:after="31" w:line="240" w:lineRule="auto"/>
              <w:ind w:firstLine="0" w:firstLineChars="0"/>
              <w:rPr>
                <w:rFonts w:hint="default" w:ascii="Times New Roman" w:hAnsi="Times New Roman" w:cs="Times New Roman"/>
                <w:b w:val="0"/>
                <w:bCs/>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b w:val="0"/>
                <w:bCs/>
                <w:snapToGrid w:val="0"/>
                <w:color w:val="000000" w:themeColor="text1"/>
                <w:kern w:val="21"/>
                <w:sz w:val="21"/>
                <w:szCs w:val="21"/>
                <w:highlight w:val="none"/>
                <w14:textFill>
                  <w14:solidFill>
                    <w14:schemeClr w14:val="tx1"/>
                  </w14:solidFill>
                </w14:textFill>
              </w:rPr>
              <w:t>/</w:t>
            </w:r>
          </w:p>
        </w:tc>
        <w:tc>
          <w:tcPr>
            <w:tcW w:w="1680" w:type="dxa"/>
            <w:vAlign w:val="center"/>
          </w:tcPr>
          <w:p w14:paraId="1512D125">
            <w:pPr>
              <w:pStyle w:val="57"/>
              <w:spacing w:before="31" w:after="31" w:line="240" w:lineRule="auto"/>
              <w:ind w:firstLine="0" w:firstLineChars="0"/>
              <w:rPr>
                <w:rFonts w:hint="default" w:ascii="Times New Roman" w:hAnsi="Times New Roman" w:cs="Times New Roman"/>
                <w:b w:val="0"/>
                <w:bCs/>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b w:val="0"/>
                <w:bCs/>
                <w:snapToGrid w:val="0"/>
                <w:color w:val="000000" w:themeColor="text1"/>
                <w:kern w:val="21"/>
                <w:sz w:val="21"/>
                <w:szCs w:val="21"/>
                <w:highlight w:val="none"/>
                <w14:textFill>
                  <w14:solidFill>
                    <w14:schemeClr w14:val="tx1"/>
                  </w14:solidFill>
                </w14:textFill>
              </w:rPr>
              <w:t>/</w:t>
            </w:r>
          </w:p>
        </w:tc>
        <w:tc>
          <w:tcPr>
            <w:tcW w:w="1665" w:type="dxa"/>
            <w:vAlign w:val="center"/>
          </w:tcPr>
          <w:p w14:paraId="02D1AD75">
            <w:pPr>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b w:val="0"/>
                <w:bCs/>
                <w:snapToGrid w:val="0"/>
                <w:color w:val="000000" w:themeColor="text1"/>
                <w:kern w:val="21"/>
                <w:sz w:val="21"/>
                <w:szCs w:val="21"/>
                <w:highlight w:val="none"/>
                <w:lang w:val="en-US" w:eastAsia="zh-CN"/>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0</w:t>
            </w:r>
          </w:p>
        </w:tc>
        <w:tc>
          <w:tcPr>
            <w:tcW w:w="1770" w:type="dxa"/>
            <w:vAlign w:val="center"/>
          </w:tcPr>
          <w:p w14:paraId="6AD13070">
            <w:pPr>
              <w:jc w:val="center"/>
              <w:rPr>
                <w:rFonts w:hint="default" w:ascii="Times New Roman" w:hAnsi="Times New Roman" w:cs="Times New Roman"/>
                <w:b w:val="0"/>
                <w:bCs/>
                <w:snapToGrid w:val="0"/>
                <w:color w:val="000000" w:themeColor="text1"/>
                <w:kern w:val="2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6.84</w:t>
            </w:r>
            <w:r>
              <w:rPr>
                <w:rFonts w:hint="default" w:ascii="Times New Roman" w:hAnsi="Times New Roman" w:cs="Times New Roman"/>
                <w:b w:val="0"/>
                <w:bCs/>
                <w:color w:val="000000" w:themeColor="text1"/>
                <w:sz w:val="21"/>
                <w:szCs w:val="21"/>
                <w14:textFill>
                  <w14:solidFill>
                    <w14:schemeClr w14:val="tx1"/>
                  </w14:solidFill>
                </w14:textFill>
              </w:rPr>
              <w:t>t/a</w:t>
            </w:r>
          </w:p>
        </w:tc>
        <w:tc>
          <w:tcPr>
            <w:tcW w:w="1558" w:type="dxa"/>
            <w:vAlign w:val="center"/>
          </w:tcPr>
          <w:p w14:paraId="53E3B878">
            <w:pPr>
              <w:autoSpaceDE w:val="0"/>
              <w:autoSpaceDN w:val="0"/>
              <w:jc w:val="center"/>
              <w:rPr>
                <w:rFonts w:hint="default" w:ascii="Times New Roman" w:hAnsi="Times New Roman" w:cs="Times New Roman"/>
                <w:b w:val="0"/>
                <w:bCs/>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0</w:t>
            </w:r>
          </w:p>
        </w:tc>
        <w:tc>
          <w:tcPr>
            <w:tcW w:w="1443" w:type="dxa"/>
            <w:vAlign w:val="center"/>
          </w:tcPr>
          <w:p w14:paraId="412621ED">
            <w:pPr>
              <w:autoSpaceDE w:val="0"/>
              <w:autoSpaceDN w:val="0"/>
              <w:jc w:val="center"/>
              <w:rPr>
                <w:rFonts w:hint="default" w:ascii="Times New Roman" w:hAnsi="Times New Roman" w:cs="Times New Roman"/>
                <w:b w:val="0"/>
                <w:bCs/>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6.84</w:t>
            </w:r>
            <w:r>
              <w:rPr>
                <w:rFonts w:hint="default" w:ascii="Times New Roman" w:hAnsi="Times New Roman" w:cs="Times New Roman"/>
                <w:b w:val="0"/>
                <w:bCs/>
                <w:color w:val="000000" w:themeColor="text1"/>
                <w:sz w:val="21"/>
                <w:szCs w:val="21"/>
                <w14:textFill>
                  <w14:solidFill>
                    <w14:schemeClr w14:val="tx1"/>
                  </w14:solidFill>
                </w14:textFill>
              </w:rPr>
              <w:t>t/a</w:t>
            </w:r>
          </w:p>
        </w:tc>
      </w:tr>
      <w:tr w14:paraId="590F07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52" w:type="dxa"/>
            <w:vMerge w:val="continue"/>
            <w:vAlign w:val="center"/>
          </w:tcPr>
          <w:p w14:paraId="5C70B988">
            <w:pPr>
              <w:pStyle w:val="57"/>
              <w:spacing w:before="31" w:after="31" w:line="240" w:lineRule="auto"/>
              <w:ind w:firstLine="0" w:firstLineChars="0"/>
              <w:rPr>
                <w:rFonts w:hint="default" w:ascii="Times New Roman" w:hAnsi="Times New Roman" w:cs="Times New Roman"/>
                <w:snapToGrid w:val="0"/>
                <w:color w:val="000000" w:themeColor="text1"/>
                <w:kern w:val="21"/>
                <w:sz w:val="20"/>
                <w:szCs w:val="20"/>
                <w:highlight w:val="none"/>
                <w14:textFill>
                  <w14:solidFill>
                    <w14:schemeClr w14:val="tx1"/>
                  </w14:solidFill>
                </w14:textFill>
              </w:rPr>
            </w:pPr>
          </w:p>
        </w:tc>
        <w:tc>
          <w:tcPr>
            <w:tcW w:w="1813" w:type="dxa"/>
            <w:gridSpan w:val="2"/>
            <w:vAlign w:val="center"/>
          </w:tcPr>
          <w:p w14:paraId="46B35C4E">
            <w:pPr>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b w:val="0"/>
                <w:bCs/>
                <w:snapToGrid w:val="0"/>
                <w:color w:val="000000" w:themeColor="text1"/>
                <w:kern w:val="2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lang w:val="en-US" w:eastAsia="zh-CN"/>
                <w14:textFill>
                  <w14:solidFill>
                    <w14:schemeClr w14:val="tx1"/>
                  </w14:solidFill>
                </w14:textFill>
              </w:rPr>
              <w:t>除尘灰</w:t>
            </w:r>
          </w:p>
        </w:tc>
        <w:tc>
          <w:tcPr>
            <w:tcW w:w="1455" w:type="dxa"/>
            <w:vAlign w:val="center"/>
          </w:tcPr>
          <w:p w14:paraId="2287DA0D">
            <w:pPr>
              <w:autoSpaceDE w:val="0"/>
              <w:autoSpaceDN w:val="0"/>
              <w:jc w:val="center"/>
              <w:rPr>
                <w:rFonts w:hint="default" w:ascii="Times New Roman" w:hAnsi="Times New Roman" w:cs="Times New Roman"/>
                <w:b w:val="0"/>
                <w:bCs/>
                <w:snapToGrid w:val="0"/>
                <w:color w:val="000000" w:themeColor="text1"/>
                <w:kern w:val="21"/>
                <w:sz w:val="20"/>
                <w:szCs w:val="20"/>
                <w:highlight w:val="none"/>
                <w14:textFill>
                  <w14:solidFill>
                    <w14:schemeClr w14:val="tx1"/>
                  </w14:solidFill>
                </w14:textFill>
              </w:rPr>
            </w:pPr>
            <w:r>
              <w:rPr>
                <w:rFonts w:hint="default" w:ascii="Times New Roman" w:hAnsi="Times New Roman" w:cs="Times New Roman"/>
                <w:b w:val="0"/>
                <w:bCs/>
                <w:color w:val="000000" w:themeColor="text1"/>
                <w:sz w:val="20"/>
                <w:szCs w:val="20"/>
                <w:lang w:val="en-US" w:eastAsia="zh-CN"/>
                <w14:textFill>
                  <w14:solidFill>
                    <w14:schemeClr w14:val="tx1"/>
                  </w14:solidFill>
                </w14:textFill>
              </w:rPr>
              <w:t>/</w:t>
            </w:r>
          </w:p>
        </w:tc>
        <w:tc>
          <w:tcPr>
            <w:tcW w:w="1052" w:type="dxa"/>
            <w:vAlign w:val="center"/>
          </w:tcPr>
          <w:p w14:paraId="60903F33">
            <w:pPr>
              <w:pStyle w:val="57"/>
              <w:spacing w:before="31" w:after="31" w:line="240" w:lineRule="auto"/>
              <w:ind w:firstLine="0" w:firstLineChars="0"/>
              <w:rPr>
                <w:rFonts w:hint="default" w:ascii="Times New Roman" w:hAnsi="Times New Roman" w:cs="Times New Roman"/>
                <w:b w:val="0"/>
                <w:bCs/>
                <w:snapToGrid w:val="0"/>
                <w:color w:val="000000" w:themeColor="text1"/>
                <w:kern w:val="21"/>
                <w:sz w:val="20"/>
                <w:szCs w:val="20"/>
                <w:highlight w:val="none"/>
                <w14:textFill>
                  <w14:solidFill>
                    <w14:schemeClr w14:val="tx1"/>
                  </w14:solidFill>
                </w14:textFill>
              </w:rPr>
            </w:pPr>
            <w:r>
              <w:rPr>
                <w:rFonts w:hint="default" w:ascii="Times New Roman" w:hAnsi="Times New Roman" w:cs="Times New Roman"/>
                <w:b w:val="0"/>
                <w:bCs/>
                <w:snapToGrid w:val="0"/>
                <w:color w:val="000000" w:themeColor="text1"/>
                <w:kern w:val="21"/>
                <w:sz w:val="20"/>
                <w:szCs w:val="20"/>
                <w:highlight w:val="none"/>
                <w14:textFill>
                  <w14:solidFill>
                    <w14:schemeClr w14:val="tx1"/>
                  </w14:solidFill>
                </w14:textFill>
              </w:rPr>
              <w:t>/</w:t>
            </w:r>
          </w:p>
        </w:tc>
        <w:tc>
          <w:tcPr>
            <w:tcW w:w="1680" w:type="dxa"/>
            <w:vAlign w:val="center"/>
          </w:tcPr>
          <w:p w14:paraId="109CFA01">
            <w:pPr>
              <w:pStyle w:val="57"/>
              <w:spacing w:before="31" w:after="31" w:line="240" w:lineRule="auto"/>
              <w:ind w:firstLine="0" w:firstLineChars="0"/>
              <w:rPr>
                <w:rFonts w:hint="default" w:ascii="Times New Roman" w:hAnsi="Times New Roman" w:cs="Times New Roman"/>
                <w:b w:val="0"/>
                <w:bCs/>
                <w:snapToGrid w:val="0"/>
                <w:color w:val="000000" w:themeColor="text1"/>
                <w:kern w:val="21"/>
                <w:sz w:val="20"/>
                <w:szCs w:val="20"/>
                <w:highlight w:val="none"/>
                <w14:textFill>
                  <w14:solidFill>
                    <w14:schemeClr w14:val="tx1"/>
                  </w14:solidFill>
                </w14:textFill>
              </w:rPr>
            </w:pPr>
            <w:r>
              <w:rPr>
                <w:rFonts w:hint="default" w:ascii="Times New Roman" w:hAnsi="Times New Roman" w:cs="Times New Roman"/>
                <w:b w:val="0"/>
                <w:bCs/>
                <w:snapToGrid w:val="0"/>
                <w:color w:val="000000" w:themeColor="text1"/>
                <w:kern w:val="21"/>
                <w:sz w:val="20"/>
                <w:szCs w:val="20"/>
                <w:highlight w:val="none"/>
                <w14:textFill>
                  <w14:solidFill>
                    <w14:schemeClr w14:val="tx1"/>
                  </w14:solidFill>
                </w14:textFill>
              </w:rPr>
              <w:t>/</w:t>
            </w:r>
          </w:p>
        </w:tc>
        <w:tc>
          <w:tcPr>
            <w:tcW w:w="1665" w:type="dxa"/>
            <w:vAlign w:val="center"/>
          </w:tcPr>
          <w:p w14:paraId="4E290525">
            <w:pPr>
              <w:autoSpaceDE w:val="0"/>
              <w:autoSpaceDN w:val="0"/>
              <w:jc w:val="center"/>
              <w:rPr>
                <w:rFonts w:hint="default" w:ascii="Times New Roman" w:hAnsi="Times New Roman" w:cs="Times New Roman"/>
                <w:b w:val="0"/>
                <w:bCs/>
                <w:snapToGrid w:val="0"/>
                <w:color w:val="000000" w:themeColor="text1"/>
                <w:kern w:val="21"/>
                <w:sz w:val="20"/>
                <w:szCs w:val="20"/>
                <w:highlight w:val="none"/>
                <w:lang w:val="en-US" w:eastAsia="zh-CN"/>
                <w14:textFill>
                  <w14:solidFill>
                    <w14:schemeClr w14:val="tx1"/>
                  </w14:solidFill>
                </w14:textFill>
              </w:rPr>
            </w:pPr>
            <w:r>
              <w:rPr>
                <w:rFonts w:hint="eastAsia" w:cs="Times New Roman"/>
                <w:b w:val="0"/>
                <w:bCs/>
                <w:color w:val="000000" w:themeColor="text1"/>
                <w:sz w:val="20"/>
                <w:szCs w:val="20"/>
                <w:lang w:val="en-US" w:eastAsia="zh-CN"/>
                <w14:textFill>
                  <w14:solidFill>
                    <w14:schemeClr w14:val="tx1"/>
                  </w14:solidFill>
                </w14:textFill>
              </w:rPr>
              <w:t>4.8921</w:t>
            </w:r>
            <w:r>
              <w:rPr>
                <w:rFonts w:hint="default" w:ascii="Times New Roman" w:hAnsi="Times New Roman" w:cs="Times New Roman"/>
                <w:b w:val="0"/>
                <w:bCs/>
                <w:color w:val="000000" w:themeColor="text1"/>
                <w:sz w:val="20"/>
                <w:szCs w:val="20"/>
                <w14:textFill>
                  <w14:solidFill>
                    <w14:schemeClr w14:val="tx1"/>
                  </w14:solidFill>
                </w14:textFill>
              </w:rPr>
              <w:t>t/a</w:t>
            </w:r>
          </w:p>
        </w:tc>
        <w:tc>
          <w:tcPr>
            <w:tcW w:w="1770" w:type="dxa"/>
            <w:vAlign w:val="center"/>
          </w:tcPr>
          <w:p w14:paraId="4F5EAE28">
            <w:pPr>
              <w:jc w:val="center"/>
              <w:rPr>
                <w:rFonts w:hint="default" w:ascii="Times New Roman" w:hAnsi="Times New Roman" w:cs="Times New Roman"/>
                <w:b w:val="0"/>
                <w:bCs/>
                <w:snapToGrid w:val="0"/>
                <w:color w:val="000000" w:themeColor="text1"/>
                <w:kern w:val="21"/>
                <w:sz w:val="20"/>
                <w:szCs w:val="20"/>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0"/>
                <w:szCs w:val="20"/>
                <w:lang w:val="en-US" w:eastAsia="zh-CN"/>
                <w14:textFill>
                  <w14:solidFill>
                    <w14:schemeClr w14:val="tx1"/>
                  </w14:solidFill>
                </w14:textFill>
              </w:rPr>
              <w:t>0</w:t>
            </w:r>
          </w:p>
        </w:tc>
        <w:tc>
          <w:tcPr>
            <w:tcW w:w="1558" w:type="dxa"/>
            <w:vAlign w:val="center"/>
          </w:tcPr>
          <w:p w14:paraId="048192C2">
            <w:pPr>
              <w:autoSpaceDE w:val="0"/>
              <w:autoSpaceDN w:val="0"/>
              <w:jc w:val="center"/>
              <w:rPr>
                <w:rFonts w:hint="default" w:ascii="Times New Roman" w:hAnsi="Times New Roman" w:cs="Times New Roman"/>
                <w:b w:val="0"/>
                <w:bCs/>
                <w:snapToGrid w:val="0"/>
                <w:color w:val="000000" w:themeColor="text1"/>
                <w:kern w:val="21"/>
                <w:sz w:val="20"/>
                <w:szCs w:val="20"/>
                <w:highlight w:val="none"/>
                <w:lang w:val="en-US" w:eastAsia="zh-CN"/>
                <w14:textFill>
                  <w14:solidFill>
                    <w14:schemeClr w14:val="tx1"/>
                  </w14:solidFill>
                </w14:textFill>
              </w:rPr>
            </w:pPr>
            <w:r>
              <w:rPr>
                <w:rFonts w:hint="eastAsia" w:cs="Times New Roman"/>
                <w:b w:val="0"/>
                <w:bCs/>
                <w:color w:val="000000" w:themeColor="text1"/>
                <w:sz w:val="20"/>
                <w:szCs w:val="20"/>
                <w:lang w:val="en-US" w:eastAsia="zh-CN"/>
                <w14:textFill>
                  <w14:solidFill>
                    <w14:schemeClr w14:val="tx1"/>
                  </w14:solidFill>
                </w14:textFill>
              </w:rPr>
              <w:t>4.8921</w:t>
            </w:r>
            <w:r>
              <w:rPr>
                <w:rFonts w:hint="default" w:ascii="Times New Roman" w:hAnsi="Times New Roman" w:cs="Times New Roman"/>
                <w:b w:val="0"/>
                <w:bCs/>
                <w:color w:val="000000" w:themeColor="text1"/>
                <w:sz w:val="20"/>
                <w:szCs w:val="20"/>
                <w14:textFill>
                  <w14:solidFill>
                    <w14:schemeClr w14:val="tx1"/>
                  </w14:solidFill>
                </w14:textFill>
              </w:rPr>
              <w:t>t/a</w:t>
            </w:r>
          </w:p>
        </w:tc>
        <w:tc>
          <w:tcPr>
            <w:tcW w:w="1443" w:type="dxa"/>
            <w:vAlign w:val="center"/>
          </w:tcPr>
          <w:p w14:paraId="26E9949A">
            <w:pPr>
              <w:autoSpaceDE w:val="0"/>
              <w:autoSpaceDN w:val="0"/>
              <w:jc w:val="center"/>
              <w:rPr>
                <w:rFonts w:hint="default" w:ascii="Times New Roman" w:hAnsi="Times New Roman" w:cs="Times New Roman"/>
                <w:b w:val="0"/>
                <w:bCs/>
                <w:snapToGrid w:val="0"/>
                <w:color w:val="000000" w:themeColor="text1"/>
                <w:kern w:val="21"/>
                <w:sz w:val="20"/>
                <w:szCs w:val="20"/>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0"/>
                <w:szCs w:val="20"/>
                <w:lang w:val="en-US" w:eastAsia="zh-CN"/>
                <w14:textFill>
                  <w14:solidFill>
                    <w14:schemeClr w14:val="tx1"/>
                  </w14:solidFill>
                </w14:textFill>
              </w:rPr>
              <w:t>+</w:t>
            </w:r>
            <w:r>
              <w:rPr>
                <w:rFonts w:hint="eastAsia" w:cs="Times New Roman"/>
                <w:b w:val="0"/>
                <w:bCs/>
                <w:color w:val="000000" w:themeColor="text1"/>
                <w:sz w:val="20"/>
                <w:szCs w:val="20"/>
                <w:lang w:val="en-US" w:eastAsia="zh-CN"/>
                <w14:textFill>
                  <w14:solidFill>
                    <w14:schemeClr w14:val="tx1"/>
                  </w14:solidFill>
                </w14:textFill>
              </w:rPr>
              <w:t>4.8921</w:t>
            </w:r>
            <w:r>
              <w:rPr>
                <w:rFonts w:hint="default" w:ascii="Times New Roman" w:hAnsi="Times New Roman" w:cs="Times New Roman"/>
                <w:b w:val="0"/>
                <w:bCs/>
                <w:color w:val="000000" w:themeColor="text1"/>
                <w:sz w:val="20"/>
                <w:szCs w:val="20"/>
                <w14:textFill>
                  <w14:solidFill>
                    <w14:schemeClr w14:val="tx1"/>
                  </w14:solidFill>
                </w14:textFill>
              </w:rPr>
              <w:t>t/a</w:t>
            </w:r>
          </w:p>
        </w:tc>
      </w:tr>
      <w:tr w14:paraId="768827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52" w:type="dxa"/>
            <w:vMerge w:val="continue"/>
            <w:vAlign w:val="center"/>
          </w:tcPr>
          <w:p w14:paraId="0640CEE7">
            <w:pPr>
              <w:pStyle w:val="57"/>
              <w:spacing w:before="31" w:after="31" w:line="240" w:lineRule="auto"/>
              <w:ind w:firstLine="0" w:firstLineChars="0"/>
              <w:rPr>
                <w:rFonts w:hint="default" w:ascii="Times New Roman" w:hAnsi="Times New Roman" w:cs="Times New Roman"/>
                <w:snapToGrid w:val="0"/>
                <w:color w:val="000000" w:themeColor="text1"/>
                <w:kern w:val="21"/>
                <w:sz w:val="20"/>
                <w:szCs w:val="20"/>
                <w:highlight w:val="none"/>
                <w14:textFill>
                  <w14:solidFill>
                    <w14:schemeClr w14:val="tx1"/>
                  </w14:solidFill>
                </w14:textFill>
              </w:rPr>
            </w:pPr>
          </w:p>
        </w:tc>
        <w:tc>
          <w:tcPr>
            <w:tcW w:w="1813" w:type="dxa"/>
            <w:gridSpan w:val="2"/>
            <w:vAlign w:val="center"/>
          </w:tcPr>
          <w:p w14:paraId="39FD47D1">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b w:val="0"/>
                <w:bCs/>
                <w:snapToGrid w:val="0"/>
                <w:color w:val="000000" w:themeColor="text1"/>
                <w:kern w:val="2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lang w:val="en-US" w:eastAsia="zh-CN"/>
                <w14:textFill>
                  <w14:solidFill>
                    <w14:schemeClr w14:val="tx1"/>
                  </w14:solidFill>
                </w14:textFill>
              </w:rPr>
              <w:t>废布袋</w:t>
            </w:r>
          </w:p>
        </w:tc>
        <w:tc>
          <w:tcPr>
            <w:tcW w:w="1455" w:type="dxa"/>
            <w:vAlign w:val="center"/>
          </w:tcPr>
          <w:p w14:paraId="4F7066D3">
            <w:pPr>
              <w:autoSpaceDE w:val="0"/>
              <w:autoSpaceDN w:val="0"/>
              <w:jc w:val="center"/>
              <w:rPr>
                <w:rFonts w:hint="default" w:ascii="Times New Roman" w:hAnsi="Times New Roman" w:cs="Times New Roman"/>
                <w:b w:val="0"/>
                <w:bCs/>
                <w:snapToGrid w:val="0"/>
                <w:color w:val="000000" w:themeColor="text1"/>
                <w:kern w:val="21"/>
                <w:sz w:val="20"/>
                <w:szCs w:val="20"/>
                <w:highlight w:val="none"/>
                <w14:textFill>
                  <w14:solidFill>
                    <w14:schemeClr w14:val="tx1"/>
                  </w14:solidFill>
                </w14:textFill>
              </w:rPr>
            </w:pPr>
            <w:r>
              <w:rPr>
                <w:rFonts w:hint="default" w:ascii="Times New Roman" w:hAnsi="Times New Roman" w:cs="Times New Roman"/>
                <w:b w:val="0"/>
                <w:bCs/>
                <w:color w:val="000000" w:themeColor="text1"/>
                <w:sz w:val="20"/>
                <w:szCs w:val="20"/>
                <w:lang w:val="en-US" w:eastAsia="zh-CN"/>
                <w14:textFill>
                  <w14:solidFill>
                    <w14:schemeClr w14:val="tx1"/>
                  </w14:solidFill>
                </w14:textFill>
              </w:rPr>
              <w:t>/</w:t>
            </w:r>
          </w:p>
        </w:tc>
        <w:tc>
          <w:tcPr>
            <w:tcW w:w="1052" w:type="dxa"/>
            <w:vAlign w:val="center"/>
          </w:tcPr>
          <w:p w14:paraId="78BA54E7">
            <w:pPr>
              <w:pStyle w:val="57"/>
              <w:spacing w:before="31" w:after="31" w:line="240" w:lineRule="auto"/>
              <w:ind w:firstLine="0" w:firstLineChars="0"/>
              <w:rPr>
                <w:rFonts w:hint="default" w:ascii="Times New Roman" w:hAnsi="Times New Roman" w:eastAsia="宋体" w:cs="Times New Roman"/>
                <w:b w:val="0"/>
                <w:bCs/>
                <w:snapToGrid w:val="0"/>
                <w:color w:val="000000" w:themeColor="text1"/>
                <w:kern w:val="21"/>
                <w:sz w:val="20"/>
                <w:szCs w:val="20"/>
                <w:highlight w:val="none"/>
                <w:lang w:val="en-US" w:eastAsia="zh-CN"/>
                <w14:textFill>
                  <w14:solidFill>
                    <w14:schemeClr w14:val="tx1"/>
                  </w14:solidFill>
                </w14:textFill>
              </w:rPr>
            </w:pPr>
            <w:r>
              <w:rPr>
                <w:rFonts w:hint="default" w:ascii="Times New Roman" w:hAnsi="Times New Roman" w:cs="Times New Roman"/>
                <w:b w:val="0"/>
                <w:bCs/>
                <w:snapToGrid w:val="0"/>
                <w:color w:val="000000" w:themeColor="text1"/>
                <w:kern w:val="21"/>
                <w:sz w:val="20"/>
                <w:szCs w:val="20"/>
                <w:highlight w:val="none"/>
                <w:lang w:val="en-US" w:eastAsia="zh-CN"/>
                <w14:textFill>
                  <w14:solidFill>
                    <w14:schemeClr w14:val="tx1"/>
                  </w14:solidFill>
                </w14:textFill>
              </w:rPr>
              <w:t>/</w:t>
            </w:r>
          </w:p>
        </w:tc>
        <w:tc>
          <w:tcPr>
            <w:tcW w:w="1680" w:type="dxa"/>
            <w:vAlign w:val="center"/>
          </w:tcPr>
          <w:p w14:paraId="110E1BA3">
            <w:pPr>
              <w:jc w:val="center"/>
              <w:rPr>
                <w:rFonts w:hint="default" w:ascii="Times New Roman" w:hAnsi="Times New Roman" w:eastAsia="宋体" w:cs="Times New Roman"/>
                <w:b w:val="0"/>
                <w:bCs/>
                <w:snapToGrid w:val="0"/>
                <w:color w:val="000000" w:themeColor="text1"/>
                <w:kern w:val="21"/>
                <w:sz w:val="20"/>
                <w:szCs w:val="20"/>
                <w:highlight w:val="none"/>
                <w:lang w:val="en-US" w:eastAsia="zh-CN"/>
                <w14:textFill>
                  <w14:solidFill>
                    <w14:schemeClr w14:val="tx1"/>
                  </w14:solidFill>
                </w14:textFill>
              </w:rPr>
            </w:pPr>
            <w:r>
              <w:rPr>
                <w:rFonts w:hint="default" w:ascii="Times New Roman" w:hAnsi="Times New Roman" w:cs="Times New Roman"/>
                <w:b w:val="0"/>
                <w:bCs/>
                <w:snapToGrid w:val="0"/>
                <w:color w:val="000000" w:themeColor="text1"/>
                <w:kern w:val="21"/>
                <w:sz w:val="20"/>
                <w:szCs w:val="20"/>
                <w:highlight w:val="none"/>
                <w:lang w:val="en-US" w:eastAsia="zh-CN"/>
                <w14:textFill>
                  <w14:solidFill>
                    <w14:schemeClr w14:val="tx1"/>
                  </w14:solidFill>
                </w14:textFill>
              </w:rPr>
              <w:t>/</w:t>
            </w:r>
          </w:p>
        </w:tc>
        <w:tc>
          <w:tcPr>
            <w:tcW w:w="1665" w:type="dxa"/>
            <w:vAlign w:val="center"/>
          </w:tcPr>
          <w:p w14:paraId="1266E2E9">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b w:val="0"/>
                <w:bCs/>
                <w:color w:val="000000" w:themeColor="text1"/>
                <w:sz w:val="20"/>
                <w:szCs w:val="20"/>
                <w:lang w:val="en-US" w:eastAsia="zh-CN"/>
                <w14:textFill>
                  <w14:solidFill>
                    <w14:schemeClr w14:val="tx1"/>
                  </w14:solidFill>
                </w14:textFill>
              </w:rPr>
            </w:pPr>
            <w:r>
              <w:rPr>
                <w:rFonts w:hint="default" w:ascii="Times New Roman" w:hAnsi="Times New Roman" w:eastAsia="宋体" w:cs="Times New Roman"/>
                <w:b w:val="0"/>
                <w:bCs/>
                <w:color w:val="000000" w:themeColor="text1"/>
                <w:sz w:val="20"/>
                <w:szCs w:val="20"/>
                <w:lang w:val="en-US" w:eastAsia="zh-CN"/>
                <w14:textFill>
                  <w14:solidFill>
                    <w14:schemeClr w14:val="tx1"/>
                  </w14:solidFill>
                </w14:textFill>
              </w:rPr>
              <w:t>0.05</w:t>
            </w:r>
            <w:r>
              <w:rPr>
                <w:rFonts w:hint="default" w:ascii="Times New Roman" w:hAnsi="Times New Roman" w:cs="Times New Roman"/>
                <w:b w:val="0"/>
                <w:bCs/>
                <w:color w:val="000000" w:themeColor="text1"/>
                <w:sz w:val="20"/>
                <w:szCs w:val="20"/>
                <w14:textFill>
                  <w14:solidFill>
                    <w14:schemeClr w14:val="tx1"/>
                  </w14:solidFill>
                </w14:textFill>
              </w:rPr>
              <w:t>t/a</w:t>
            </w:r>
          </w:p>
        </w:tc>
        <w:tc>
          <w:tcPr>
            <w:tcW w:w="1770" w:type="dxa"/>
            <w:vAlign w:val="center"/>
          </w:tcPr>
          <w:p w14:paraId="1C550ACE">
            <w:pPr>
              <w:jc w:val="center"/>
              <w:rPr>
                <w:rFonts w:hint="default" w:ascii="Times New Roman" w:hAnsi="Times New Roman" w:cs="Times New Roman"/>
                <w:b w:val="0"/>
                <w:bCs/>
                <w:snapToGrid w:val="0"/>
                <w:color w:val="000000" w:themeColor="text1"/>
                <w:kern w:val="21"/>
                <w:sz w:val="20"/>
                <w:szCs w:val="20"/>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0"/>
                <w:szCs w:val="20"/>
                <w:lang w:val="en-US" w:eastAsia="zh-CN"/>
                <w14:textFill>
                  <w14:solidFill>
                    <w14:schemeClr w14:val="tx1"/>
                  </w14:solidFill>
                </w14:textFill>
              </w:rPr>
              <w:t>0</w:t>
            </w:r>
          </w:p>
        </w:tc>
        <w:tc>
          <w:tcPr>
            <w:tcW w:w="1558" w:type="dxa"/>
            <w:vAlign w:val="center"/>
          </w:tcPr>
          <w:p w14:paraId="06E6A729">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b w:val="0"/>
                <w:bCs/>
                <w:color w:val="000000" w:themeColor="text1"/>
                <w:sz w:val="20"/>
                <w:szCs w:val="20"/>
                <w:lang w:val="en-US" w:eastAsia="zh-CN"/>
                <w14:textFill>
                  <w14:solidFill>
                    <w14:schemeClr w14:val="tx1"/>
                  </w14:solidFill>
                </w14:textFill>
              </w:rPr>
            </w:pPr>
            <w:r>
              <w:rPr>
                <w:rFonts w:hint="default" w:ascii="Times New Roman" w:hAnsi="Times New Roman" w:eastAsia="宋体" w:cs="Times New Roman"/>
                <w:b w:val="0"/>
                <w:bCs/>
                <w:color w:val="000000" w:themeColor="text1"/>
                <w:sz w:val="20"/>
                <w:szCs w:val="20"/>
                <w:lang w:val="en-US" w:eastAsia="zh-CN"/>
                <w14:textFill>
                  <w14:solidFill>
                    <w14:schemeClr w14:val="tx1"/>
                  </w14:solidFill>
                </w14:textFill>
              </w:rPr>
              <w:t>0.05</w:t>
            </w:r>
            <w:r>
              <w:rPr>
                <w:rFonts w:hint="default" w:ascii="Times New Roman" w:hAnsi="Times New Roman" w:cs="Times New Roman"/>
                <w:b w:val="0"/>
                <w:bCs/>
                <w:color w:val="000000" w:themeColor="text1"/>
                <w:sz w:val="20"/>
                <w:szCs w:val="20"/>
                <w14:textFill>
                  <w14:solidFill>
                    <w14:schemeClr w14:val="tx1"/>
                  </w14:solidFill>
                </w14:textFill>
              </w:rPr>
              <w:t>t/a</w:t>
            </w:r>
          </w:p>
        </w:tc>
        <w:tc>
          <w:tcPr>
            <w:tcW w:w="1443" w:type="dxa"/>
            <w:vAlign w:val="center"/>
          </w:tcPr>
          <w:p w14:paraId="5C54625B">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b w:val="0"/>
                <w:bCs/>
                <w:color w:val="000000" w:themeColor="text1"/>
                <w:sz w:val="20"/>
                <w:szCs w:val="20"/>
                <w:lang w:val="en-US" w:eastAsia="zh-CN"/>
                <w14:textFill>
                  <w14:solidFill>
                    <w14:schemeClr w14:val="tx1"/>
                  </w14:solidFill>
                </w14:textFill>
              </w:rPr>
            </w:pPr>
            <w:r>
              <w:rPr>
                <w:rFonts w:hint="default" w:ascii="Times New Roman" w:hAnsi="Times New Roman" w:cs="Times New Roman"/>
                <w:b w:val="0"/>
                <w:bCs/>
                <w:color w:val="000000" w:themeColor="text1"/>
                <w:sz w:val="20"/>
                <w:szCs w:val="20"/>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0"/>
                <w:szCs w:val="20"/>
                <w:lang w:val="en-US" w:eastAsia="zh-CN"/>
                <w14:textFill>
                  <w14:solidFill>
                    <w14:schemeClr w14:val="tx1"/>
                  </w14:solidFill>
                </w14:textFill>
              </w:rPr>
              <w:t>0.05</w:t>
            </w:r>
            <w:r>
              <w:rPr>
                <w:rFonts w:hint="default" w:ascii="Times New Roman" w:hAnsi="Times New Roman" w:cs="Times New Roman"/>
                <w:b w:val="0"/>
                <w:bCs/>
                <w:color w:val="000000" w:themeColor="text1"/>
                <w:sz w:val="20"/>
                <w:szCs w:val="20"/>
                <w14:textFill>
                  <w14:solidFill>
                    <w14:schemeClr w14:val="tx1"/>
                  </w14:solidFill>
                </w14:textFill>
              </w:rPr>
              <w:t>t/a</w:t>
            </w:r>
          </w:p>
        </w:tc>
      </w:tr>
      <w:tr w14:paraId="47E85C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52" w:type="dxa"/>
            <w:vMerge w:val="continue"/>
            <w:vAlign w:val="center"/>
          </w:tcPr>
          <w:p w14:paraId="6BCCD7E8">
            <w:pPr>
              <w:pStyle w:val="57"/>
              <w:spacing w:before="31" w:after="31" w:line="240" w:lineRule="auto"/>
              <w:ind w:firstLine="0" w:firstLineChars="0"/>
              <w:rPr>
                <w:rFonts w:hint="default" w:ascii="Times New Roman" w:hAnsi="Times New Roman" w:cs="Times New Roman"/>
                <w:snapToGrid w:val="0"/>
                <w:color w:val="000000" w:themeColor="text1"/>
                <w:kern w:val="21"/>
                <w:sz w:val="20"/>
                <w:szCs w:val="20"/>
                <w:highlight w:val="none"/>
                <w14:textFill>
                  <w14:solidFill>
                    <w14:schemeClr w14:val="tx1"/>
                  </w14:solidFill>
                </w14:textFill>
              </w:rPr>
            </w:pPr>
          </w:p>
        </w:tc>
        <w:tc>
          <w:tcPr>
            <w:tcW w:w="1813" w:type="dxa"/>
            <w:gridSpan w:val="2"/>
            <w:vAlign w:val="center"/>
          </w:tcPr>
          <w:p w14:paraId="4F581560">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val="0"/>
                <w:bCs/>
                <w:color w:val="000000" w:themeColor="text1"/>
                <w:sz w:val="20"/>
                <w:szCs w:val="20"/>
                <w:lang w:eastAsia="zh-CN"/>
                <w14:textFill>
                  <w14:solidFill>
                    <w14:schemeClr w14:val="tx1"/>
                  </w14:solidFill>
                </w14:textFill>
              </w:rPr>
            </w:pPr>
            <w:r>
              <w:rPr>
                <w:rFonts w:hint="default" w:ascii="Times New Roman" w:hAnsi="Times New Roman" w:eastAsia="宋体" w:cs="Times New Roman"/>
                <w:b w:val="0"/>
                <w:bCs/>
                <w:color w:val="000000" w:themeColor="text1"/>
                <w:sz w:val="20"/>
                <w:szCs w:val="20"/>
                <w:lang w:eastAsia="zh-CN"/>
                <w14:textFill>
                  <w14:solidFill>
                    <w14:schemeClr w14:val="tx1"/>
                  </w14:solidFill>
                </w14:textFill>
              </w:rPr>
              <w:t>废离子交换树脂</w:t>
            </w:r>
          </w:p>
        </w:tc>
        <w:tc>
          <w:tcPr>
            <w:tcW w:w="1455" w:type="dxa"/>
            <w:vAlign w:val="center"/>
          </w:tcPr>
          <w:p w14:paraId="5C32E708">
            <w:pPr>
              <w:autoSpaceDE w:val="0"/>
              <w:autoSpaceDN w:val="0"/>
              <w:jc w:val="center"/>
              <w:rPr>
                <w:rFonts w:hint="default" w:ascii="Times New Roman" w:hAnsi="Times New Roman" w:cs="Times New Roman"/>
                <w:b w:val="0"/>
                <w:bCs/>
                <w:snapToGrid w:val="0"/>
                <w:color w:val="000000" w:themeColor="text1"/>
                <w:kern w:val="21"/>
                <w:sz w:val="20"/>
                <w:szCs w:val="20"/>
                <w:highlight w:val="none"/>
                <w14:textFill>
                  <w14:solidFill>
                    <w14:schemeClr w14:val="tx1"/>
                  </w14:solidFill>
                </w14:textFill>
              </w:rPr>
            </w:pPr>
            <w:r>
              <w:rPr>
                <w:rFonts w:hint="default" w:ascii="Times New Roman" w:hAnsi="Times New Roman" w:cs="Times New Roman"/>
                <w:b w:val="0"/>
                <w:bCs/>
                <w:color w:val="000000" w:themeColor="text1"/>
                <w:sz w:val="20"/>
                <w:szCs w:val="20"/>
                <w:lang w:val="en-US" w:eastAsia="zh-CN"/>
                <w14:textFill>
                  <w14:solidFill>
                    <w14:schemeClr w14:val="tx1"/>
                  </w14:solidFill>
                </w14:textFill>
              </w:rPr>
              <w:t>/</w:t>
            </w:r>
          </w:p>
        </w:tc>
        <w:tc>
          <w:tcPr>
            <w:tcW w:w="1052" w:type="dxa"/>
            <w:vAlign w:val="center"/>
          </w:tcPr>
          <w:p w14:paraId="6BCC78F4">
            <w:pPr>
              <w:pStyle w:val="57"/>
              <w:spacing w:before="31" w:after="31" w:line="240" w:lineRule="auto"/>
              <w:ind w:firstLine="0" w:firstLineChars="0"/>
              <w:rPr>
                <w:rFonts w:hint="default" w:ascii="Times New Roman" w:hAnsi="Times New Roman" w:eastAsia="宋体" w:cs="Times New Roman"/>
                <w:b w:val="0"/>
                <w:bCs/>
                <w:snapToGrid w:val="0"/>
                <w:color w:val="000000" w:themeColor="text1"/>
                <w:kern w:val="21"/>
                <w:sz w:val="20"/>
                <w:szCs w:val="20"/>
                <w:highlight w:val="none"/>
                <w:lang w:val="en-US" w:eastAsia="zh-CN"/>
                <w14:textFill>
                  <w14:solidFill>
                    <w14:schemeClr w14:val="tx1"/>
                  </w14:solidFill>
                </w14:textFill>
              </w:rPr>
            </w:pPr>
            <w:r>
              <w:rPr>
                <w:rFonts w:hint="default" w:ascii="Times New Roman" w:hAnsi="Times New Roman" w:cs="Times New Roman"/>
                <w:b w:val="0"/>
                <w:bCs/>
                <w:snapToGrid w:val="0"/>
                <w:color w:val="000000" w:themeColor="text1"/>
                <w:kern w:val="21"/>
                <w:sz w:val="20"/>
                <w:szCs w:val="20"/>
                <w:highlight w:val="none"/>
                <w:lang w:val="en-US" w:eastAsia="zh-CN"/>
                <w14:textFill>
                  <w14:solidFill>
                    <w14:schemeClr w14:val="tx1"/>
                  </w14:solidFill>
                </w14:textFill>
              </w:rPr>
              <w:t>/</w:t>
            </w:r>
          </w:p>
        </w:tc>
        <w:tc>
          <w:tcPr>
            <w:tcW w:w="1680" w:type="dxa"/>
            <w:vAlign w:val="center"/>
          </w:tcPr>
          <w:p w14:paraId="0529B42F">
            <w:pPr>
              <w:jc w:val="center"/>
              <w:rPr>
                <w:rFonts w:hint="default" w:ascii="Times New Roman" w:hAnsi="Times New Roman" w:eastAsia="宋体" w:cs="Times New Roman"/>
                <w:b w:val="0"/>
                <w:bCs/>
                <w:snapToGrid w:val="0"/>
                <w:color w:val="000000" w:themeColor="text1"/>
                <w:kern w:val="21"/>
                <w:sz w:val="20"/>
                <w:szCs w:val="20"/>
                <w:highlight w:val="none"/>
                <w:lang w:val="en-US" w:eastAsia="zh-CN"/>
                <w14:textFill>
                  <w14:solidFill>
                    <w14:schemeClr w14:val="tx1"/>
                  </w14:solidFill>
                </w14:textFill>
              </w:rPr>
            </w:pPr>
            <w:r>
              <w:rPr>
                <w:rFonts w:hint="default" w:ascii="Times New Roman" w:hAnsi="Times New Roman" w:cs="Times New Roman"/>
                <w:b w:val="0"/>
                <w:bCs/>
                <w:snapToGrid w:val="0"/>
                <w:color w:val="000000" w:themeColor="text1"/>
                <w:kern w:val="21"/>
                <w:sz w:val="20"/>
                <w:szCs w:val="20"/>
                <w:highlight w:val="none"/>
                <w:lang w:val="en-US" w:eastAsia="zh-CN"/>
                <w14:textFill>
                  <w14:solidFill>
                    <w14:schemeClr w14:val="tx1"/>
                  </w14:solidFill>
                </w14:textFill>
              </w:rPr>
              <w:t>/</w:t>
            </w:r>
          </w:p>
        </w:tc>
        <w:tc>
          <w:tcPr>
            <w:tcW w:w="1665" w:type="dxa"/>
            <w:vAlign w:val="center"/>
          </w:tcPr>
          <w:p w14:paraId="0EF48919">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b w:val="0"/>
                <w:bCs/>
                <w:color w:val="000000" w:themeColor="text1"/>
                <w:sz w:val="20"/>
                <w:szCs w:val="20"/>
                <w:lang w:val="en-US" w:eastAsia="zh-CN"/>
                <w14:textFill>
                  <w14:solidFill>
                    <w14:schemeClr w14:val="tx1"/>
                  </w14:solidFill>
                </w14:textFill>
              </w:rPr>
            </w:pPr>
            <w:r>
              <w:rPr>
                <w:rFonts w:hint="default" w:ascii="Times New Roman" w:hAnsi="Times New Roman" w:eastAsia="宋体" w:cs="Times New Roman"/>
                <w:b w:val="0"/>
                <w:bCs/>
                <w:color w:val="000000" w:themeColor="text1"/>
                <w:sz w:val="20"/>
                <w:szCs w:val="20"/>
                <w:lang w:val="en-US" w:eastAsia="zh-CN"/>
                <w14:textFill>
                  <w14:solidFill>
                    <w14:schemeClr w14:val="tx1"/>
                  </w14:solidFill>
                </w14:textFill>
              </w:rPr>
              <w:t>0.1</w:t>
            </w:r>
            <w:r>
              <w:rPr>
                <w:rFonts w:hint="default" w:ascii="Times New Roman" w:hAnsi="Times New Roman" w:cs="Times New Roman"/>
                <w:b w:val="0"/>
                <w:bCs/>
                <w:color w:val="000000" w:themeColor="text1"/>
                <w:sz w:val="20"/>
                <w:szCs w:val="20"/>
                <w14:textFill>
                  <w14:solidFill>
                    <w14:schemeClr w14:val="tx1"/>
                  </w14:solidFill>
                </w14:textFill>
              </w:rPr>
              <w:t>t/a</w:t>
            </w:r>
          </w:p>
        </w:tc>
        <w:tc>
          <w:tcPr>
            <w:tcW w:w="1770" w:type="dxa"/>
            <w:vAlign w:val="center"/>
          </w:tcPr>
          <w:p w14:paraId="23A7A1B8">
            <w:pPr>
              <w:jc w:val="center"/>
              <w:rPr>
                <w:rFonts w:hint="default" w:ascii="Times New Roman" w:hAnsi="Times New Roman" w:cs="Times New Roman"/>
                <w:b w:val="0"/>
                <w:bCs/>
                <w:snapToGrid w:val="0"/>
                <w:color w:val="000000" w:themeColor="text1"/>
                <w:kern w:val="21"/>
                <w:sz w:val="20"/>
                <w:szCs w:val="20"/>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0"/>
                <w:szCs w:val="20"/>
                <w:lang w:val="en-US" w:eastAsia="zh-CN"/>
                <w14:textFill>
                  <w14:solidFill>
                    <w14:schemeClr w14:val="tx1"/>
                  </w14:solidFill>
                </w14:textFill>
              </w:rPr>
              <w:t>0</w:t>
            </w:r>
          </w:p>
        </w:tc>
        <w:tc>
          <w:tcPr>
            <w:tcW w:w="1558" w:type="dxa"/>
            <w:vAlign w:val="center"/>
          </w:tcPr>
          <w:p w14:paraId="5047BC53">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b w:val="0"/>
                <w:bCs/>
                <w:color w:val="000000" w:themeColor="text1"/>
                <w:sz w:val="20"/>
                <w:szCs w:val="20"/>
                <w:lang w:val="en-US" w:eastAsia="zh-CN"/>
                <w14:textFill>
                  <w14:solidFill>
                    <w14:schemeClr w14:val="tx1"/>
                  </w14:solidFill>
                </w14:textFill>
              </w:rPr>
            </w:pPr>
            <w:r>
              <w:rPr>
                <w:rFonts w:hint="default" w:ascii="Times New Roman" w:hAnsi="Times New Roman" w:eastAsia="宋体" w:cs="Times New Roman"/>
                <w:b w:val="0"/>
                <w:bCs/>
                <w:color w:val="000000" w:themeColor="text1"/>
                <w:sz w:val="20"/>
                <w:szCs w:val="20"/>
                <w:lang w:val="en-US" w:eastAsia="zh-CN"/>
                <w14:textFill>
                  <w14:solidFill>
                    <w14:schemeClr w14:val="tx1"/>
                  </w14:solidFill>
                </w14:textFill>
              </w:rPr>
              <w:t>0.1</w:t>
            </w:r>
            <w:r>
              <w:rPr>
                <w:rFonts w:hint="default" w:ascii="Times New Roman" w:hAnsi="Times New Roman" w:cs="Times New Roman"/>
                <w:b w:val="0"/>
                <w:bCs/>
                <w:color w:val="000000" w:themeColor="text1"/>
                <w:sz w:val="20"/>
                <w:szCs w:val="20"/>
                <w14:textFill>
                  <w14:solidFill>
                    <w14:schemeClr w14:val="tx1"/>
                  </w14:solidFill>
                </w14:textFill>
              </w:rPr>
              <w:t>t/a</w:t>
            </w:r>
          </w:p>
        </w:tc>
        <w:tc>
          <w:tcPr>
            <w:tcW w:w="1443" w:type="dxa"/>
            <w:vAlign w:val="center"/>
          </w:tcPr>
          <w:p w14:paraId="3C9D24E0">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b w:val="0"/>
                <w:bCs/>
                <w:color w:val="000000" w:themeColor="text1"/>
                <w:sz w:val="20"/>
                <w:szCs w:val="20"/>
                <w:lang w:val="en-US" w:eastAsia="zh-CN"/>
                <w14:textFill>
                  <w14:solidFill>
                    <w14:schemeClr w14:val="tx1"/>
                  </w14:solidFill>
                </w14:textFill>
              </w:rPr>
            </w:pPr>
            <w:r>
              <w:rPr>
                <w:rFonts w:hint="default" w:ascii="Times New Roman" w:hAnsi="Times New Roman" w:cs="Times New Roman"/>
                <w:b w:val="0"/>
                <w:bCs/>
                <w:color w:val="000000" w:themeColor="text1"/>
                <w:sz w:val="20"/>
                <w:szCs w:val="20"/>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0"/>
                <w:szCs w:val="20"/>
                <w:lang w:val="en-US" w:eastAsia="zh-CN"/>
                <w14:textFill>
                  <w14:solidFill>
                    <w14:schemeClr w14:val="tx1"/>
                  </w14:solidFill>
                </w14:textFill>
              </w:rPr>
              <w:t>0.1</w:t>
            </w:r>
            <w:r>
              <w:rPr>
                <w:rFonts w:hint="default" w:ascii="Times New Roman" w:hAnsi="Times New Roman" w:cs="Times New Roman"/>
                <w:b w:val="0"/>
                <w:bCs/>
                <w:color w:val="000000" w:themeColor="text1"/>
                <w:sz w:val="20"/>
                <w:szCs w:val="20"/>
                <w14:textFill>
                  <w14:solidFill>
                    <w14:schemeClr w14:val="tx1"/>
                  </w14:solidFill>
                </w14:textFill>
              </w:rPr>
              <w:t>t/a</w:t>
            </w:r>
          </w:p>
        </w:tc>
      </w:tr>
      <w:tr w14:paraId="21E2AF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52" w:type="dxa"/>
            <w:vMerge w:val="restart"/>
            <w:vAlign w:val="center"/>
          </w:tcPr>
          <w:p w14:paraId="2724F8A8">
            <w:pPr>
              <w:pStyle w:val="57"/>
              <w:spacing w:before="31" w:after="31" w:line="240" w:lineRule="auto"/>
              <w:ind w:firstLine="0" w:firstLineChars="0"/>
              <w:rPr>
                <w:rFonts w:hint="default" w:ascii="Times New Roman" w:hAnsi="Times New Roman" w:cs="Times New Roman"/>
                <w:snapToGrid w:val="0"/>
                <w:color w:val="000000" w:themeColor="text1"/>
                <w:kern w:val="21"/>
                <w:sz w:val="20"/>
                <w:szCs w:val="20"/>
                <w:highlight w:val="none"/>
                <w14:textFill>
                  <w14:solidFill>
                    <w14:schemeClr w14:val="tx1"/>
                  </w14:solidFill>
                </w14:textFill>
              </w:rPr>
            </w:pPr>
            <w:r>
              <w:rPr>
                <w:rFonts w:hint="default" w:ascii="Times New Roman" w:hAnsi="Times New Roman" w:cs="Times New Roman"/>
                <w:snapToGrid w:val="0"/>
                <w:color w:val="000000" w:themeColor="text1"/>
                <w:kern w:val="21"/>
                <w:sz w:val="20"/>
                <w:szCs w:val="20"/>
                <w:highlight w:val="none"/>
                <w14:textFill>
                  <w14:solidFill>
                    <w14:schemeClr w14:val="tx1"/>
                  </w14:solidFill>
                </w14:textFill>
              </w:rPr>
              <w:t>危险废物</w:t>
            </w:r>
          </w:p>
        </w:tc>
        <w:tc>
          <w:tcPr>
            <w:tcW w:w="1813" w:type="dxa"/>
            <w:gridSpan w:val="2"/>
            <w:vAlign w:val="center"/>
          </w:tcPr>
          <w:p w14:paraId="7AB460A7">
            <w:pPr>
              <w:jc w:val="center"/>
              <w:rPr>
                <w:rFonts w:hint="default" w:ascii="Times New Roman" w:hAnsi="Times New Roman" w:cs="Times New Roman"/>
                <w:b w:val="0"/>
                <w:bCs/>
                <w:snapToGrid w:val="0"/>
                <w:color w:val="000000" w:themeColor="text1"/>
                <w:kern w:val="21"/>
                <w:sz w:val="20"/>
                <w:szCs w:val="20"/>
                <w:highlight w:val="none"/>
                <w14:textFill>
                  <w14:solidFill>
                    <w14:schemeClr w14:val="tx1"/>
                  </w14:solidFill>
                </w14:textFill>
              </w:rPr>
            </w:pPr>
            <w:r>
              <w:rPr>
                <w:color w:val="000000" w:themeColor="text1"/>
                <w:szCs w:val="21"/>
                <w14:textFill>
                  <w14:solidFill>
                    <w14:schemeClr w14:val="tx1"/>
                  </w14:solidFill>
                </w14:textFill>
              </w:rPr>
              <w:t>废矿物油</w:t>
            </w:r>
          </w:p>
        </w:tc>
        <w:tc>
          <w:tcPr>
            <w:tcW w:w="1455" w:type="dxa"/>
            <w:vAlign w:val="center"/>
          </w:tcPr>
          <w:p w14:paraId="5BE1869A">
            <w:pPr>
              <w:jc w:val="center"/>
              <w:rPr>
                <w:rFonts w:hint="default" w:ascii="Times New Roman" w:hAnsi="Times New Roman" w:cs="Times New Roman"/>
                <w:b w:val="0"/>
                <w:bCs/>
                <w:snapToGrid w:val="0"/>
                <w:color w:val="000000" w:themeColor="text1"/>
                <w:kern w:val="21"/>
                <w:sz w:val="20"/>
                <w:szCs w:val="20"/>
                <w:highlight w:val="none"/>
                <w14:textFill>
                  <w14:solidFill>
                    <w14:schemeClr w14:val="tx1"/>
                  </w14:solidFill>
                </w14:textFill>
              </w:rPr>
            </w:pPr>
            <w:r>
              <w:rPr>
                <w:rFonts w:hint="default" w:ascii="Times New Roman" w:hAnsi="Times New Roman" w:cs="Times New Roman"/>
                <w:b w:val="0"/>
                <w:bCs/>
                <w:color w:val="000000" w:themeColor="text1"/>
                <w:sz w:val="20"/>
                <w:szCs w:val="20"/>
                <w:lang w:val="en-US" w:eastAsia="zh-CN"/>
                <w14:textFill>
                  <w14:solidFill>
                    <w14:schemeClr w14:val="tx1"/>
                  </w14:solidFill>
                </w14:textFill>
              </w:rPr>
              <w:t>0.05</w:t>
            </w:r>
            <w:r>
              <w:rPr>
                <w:rFonts w:hint="default" w:ascii="Times New Roman" w:hAnsi="Times New Roman" w:cs="Times New Roman"/>
                <w:b w:val="0"/>
                <w:bCs/>
                <w:color w:val="000000" w:themeColor="text1"/>
                <w:sz w:val="20"/>
                <w:szCs w:val="20"/>
                <w14:textFill>
                  <w14:solidFill>
                    <w14:schemeClr w14:val="tx1"/>
                  </w14:solidFill>
                </w14:textFill>
              </w:rPr>
              <w:t>t/a</w:t>
            </w:r>
          </w:p>
        </w:tc>
        <w:tc>
          <w:tcPr>
            <w:tcW w:w="1052" w:type="dxa"/>
            <w:vAlign w:val="center"/>
          </w:tcPr>
          <w:p w14:paraId="3A73B607">
            <w:pPr>
              <w:pStyle w:val="57"/>
              <w:spacing w:before="31" w:after="31" w:line="240" w:lineRule="auto"/>
              <w:ind w:firstLine="0" w:firstLineChars="0"/>
              <w:rPr>
                <w:rFonts w:hint="default" w:ascii="Times New Roman" w:hAnsi="Times New Roman" w:cs="Times New Roman"/>
                <w:b w:val="0"/>
                <w:bCs/>
                <w:snapToGrid w:val="0"/>
                <w:color w:val="000000" w:themeColor="text1"/>
                <w:kern w:val="21"/>
                <w:sz w:val="20"/>
                <w:szCs w:val="20"/>
                <w:highlight w:val="none"/>
                <w14:textFill>
                  <w14:solidFill>
                    <w14:schemeClr w14:val="tx1"/>
                  </w14:solidFill>
                </w14:textFill>
              </w:rPr>
            </w:pPr>
            <w:r>
              <w:rPr>
                <w:rFonts w:hint="default" w:ascii="Times New Roman" w:hAnsi="Times New Roman" w:cs="Times New Roman"/>
                <w:b w:val="0"/>
                <w:bCs/>
                <w:snapToGrid w:val="0"/>
                <w:color w:val="000000" w:themeColor="text1"/>
                <w:kern w:val="21"/>
                <w:sz w:val="20"/>
                <w:szCs w:val="20"/>
                <w:highlight w:val="none"/>
                <w14:textFill>
                  <w14:solidFill>
                    <w14:schemeClr w14:val="tx1"/>
                  </w14:solidFill>
                </w14:textFill>
              </w:rPr>
              <w:t>/</w:t>
            </w:r>
          </w:p>
        </w:tc>
        <w:tc>
          <w:tcPr>
            <w:tcW w:w="1680" w:type="dxa"/>
            <w:vAlign w:val="center"/>
          </w:tcPr>
          <w:p w14:paraId="0B79E723">
            <w:pPr>
              <w:pStyle w:val="57"/>
              <w:spacing w:before="31" w:after="31" w:line="240" w:lineRule="auto"/>
              <w:ind w:firstLine="0" w:firstLineChars="0"/>
              <w:rPr>
                <w:rFonts w:hint="default" w:ascii="Times New Roman" w:hAnsi="Times New Roman" w:cs="Times New Roman"/>
                <w:b w:val="0"/>
                <w:bCs/>
                <w:snapToGrid w:val="0"/>
                <w:color w:val="000000" w:themeColor="text1"/>
                <w:kern w:val="21"/>
                <w:sz w:val="20"/>
                <w:szCs w:val="20"/>
                <w:highlight w:val="none"/>
                <w14:textFill>
                  <w14:solidFill>
                    <w14:schemeClr w14:val="tx1"/>
                  </w14:solidFill>
                </w14:textFill>
              </w:rPr>
            </w:pPr>
            <w:r>
              <w:rPr>
                <w:rFonts w:hint="default" w:ascii="Times New Roman" w:hAnsi="Times New Roman" w:cs="Times New Roman"/>
                <w:b w:val="0"/>
                <w:bCs/>
                <w:snapToGrid w:val="0"/>
                <w:color w:val="000000" w:themeColor="text1"/>
                <w:kern w:val="21"/>
                <w:sz w:val="20"/>
                <w:szCs w:val="20"/>
                <w:highlight w:val="none"/>
                <w14:textFill>
                  <w14:solidFill>
                    <w14:schemeClr w14:val="tx1"/>
                  </w14:solidFill>
                </w14:textFill>
              </w:rPr>
              <w:t>/</w:t>
            </w:r>
          </w:p>
        </w:tc>
        <w:tc>
          <w:tcPr>
            <w:tcW w:w="1665" w:type="dxa"/>
            <w:vAlign w:val="center"/>
          </w:tcPr>
          <w:p w14:paraId="45A48A2E">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b w:val="0"/>
                <w:bCs/>
                <w:snapToGrid w:val="0"/>
                <w:color w:val="000000" w:themeColor="text1"/>
                <w:kern w:val="21"/>
                <w:sz w:val="20"/>
                <w:szCs w:val="20"/>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0"/>
                <w:szCs w:val="20"/>
                <w:lang w:val="en-US" w:eastAsia="zh-CN"/>
                <w14:textFill>
                  <w14:solidFill>
                    <w14:schemeClr w14:val="tx1"/>
                  </w14:solidFill>
                </w14:textFill>
              </w:rPr>
              <w:t>0.</w:t>
            </w:r>
            <w:r>
              <w:rPr>
                <w:rFonts w:hint="default" w:ascii="Times New Roman" w:hAnsi="Times New Roman" w:cs="Times New Roman"/>
                <w:b w:val="0"/>
                <w:bCs/>
                <w:color w:val="000000" w:themeColor="text1"/>
                <w:sz w:val="20"/>
                <w:szCs w:val="20"/>
                <w:lang w:val="en-US" w:eastAsia="zh-CN"/>
                <w14:textFill>
                  <w14:solidFill>
                    <w14:schemeClr w14:val="tx1"/>
                  </w14:solidFill>
                </w14:textFill>
              </w:rPr>
              <w:t>0</w:t>
            </w:r>
            <w:r>
              <w:rPr>
                <w:rFonts w:hint="eastAsia" w:cs="Times New Roman"/>
                <w:b w:val="0"/>
                <w:bCs/>
                <w:color w:val="000000" w:themeColor="text1"/>
                <w:sz w:val="20"/>
                <w:szCs w:val="20"/>
                <w:lang w:val="en-US" w:eastAsia="zh-CN"/>
                <w14:textFill>
                  <w14:solidFill>
                    <w14:schemeClr w14:val="tx1"/>
                  </w14:solidFill>
                </w14:textFill>
              </w:rPr>
              <w:t>1</w:t>
            </w:r>
            <w:r>
              <w:rPr>
                <w:rFonts w:hint="default" w:ascii="Times New Roman" w:hAnsi="Times New Roman" w:cs="Times New Roman"/>
                <w:b w:val="0"/>
                <w:bCs/>
                <w:color w:val="000000" w:themeColor="text1"/>
                <w:sz w:val="20"/>
                <w:szCs w:val="20"/>
                <w14:textFill>
                  <w14:solidFill>
                    <w14:schemeClr w14:val="tx1"/>
                  </w14:solidFill>
                </w14:textFill>
              </w:rPr>
              <w:t>t/a</w:t>
            </w:r>
          </w:p>
        </w:tc>
        <w:tc>
          <w:tcPr>
            <w:tcW w:w="1770" w:type="dxa"/>
            <w:vAlign w:val="center"/>
          </w:tcPr>
          <w:p w14:paraId="127E516C">
            <w:pPr>
              <w:jc w:val="center"/>
              <w:rPr>
                <w:rFonts w:hint="default" w:ascii="Times New Roman" w:hAnsi="Times New Roman" w:cs="Times New Roman"/>
                <w:b w:val="0"/>
                <w:bCs/>
                <w:snapToGrid w:val="0"/>
                <w:color w:val="000000" w:themeColor="text1"/>
                <w:kern w:val="21"/>
                <w:sz w:val="20"/>
                <w:szCs w:val="20"/>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0"/>
                <w:szCs w:val="20"/>
                <w:lang w:val="en-US" w:eastAsia="zh-CN"/>
                <w14:textFill>
                  <w14:solidFill>
                    <w14:schemeClr w14:val="tx1"/>
                  </w14:solidFill>
                </w14:textFill>
              </w:rPr>
              <w:t>0</w:t>
            </w:r>
          </w:p>
        </w:tc>
        <w:tc>
          <w:tcPr>
            <w:tcW w:w="1558" w:type="dxa"/>
            <w:vAlign w:val="center"/>
          </w:tcPr>
          <w:p w14:paraId="27BC4338">
            <w:pPr>
              <w:jc w:val="center"/>
              <w:rPr>
                <w:rFonts w:hint="default" w:ascii="Times New Roman" w:hAnsi="Times New Roman" w:cs="Times New Roman"/>
                <w:b w:val="0"/>
                <w:bCs/>
                <w:snapToGrid w:val="0"/>
                <w:color w:val="000000" w:themeColor="text1"/>
                <w:kern w:val="21"/>
                <w:sz w:val="20"/>
                <w:szCs w:val="20"/>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0"/>
                <w:szCs w:val="20"/>
                <w:lang w:val="en-US" w:eastAsia="zh-CN"/>
                <w14:textFill>
                  <w14:solidFill>
                    <w14:schemeClr w14:val="tx1"/>
                  </w14:solidFill>
                </w14:textFill>
              </w:rPr>
              <w:t>0.</w:t>
            </w:r>
            <w:r>
              <w:rPr>
                <w:rFonts w:hint="eastAsia" w:cs="Times New Roman"/>
                <w:b w:val="0"/>
                <w:bCs/>
                <w:color w:val="000000" w:themeColor="text1"/>
                <w:sz w:val="20"/>
                <w:szCs w:val="20"/>
                <w:lang w:val="en-US" w:eastAsia="zh-CN"/>
                <w14:textFill>
                  <w14:solidFill>
                    <w14:schemeClr w14:val="tx1"/>
                  </w14:solidFill>
                </w14:textFill>
              </w:rPr>
              <w:t>06</w:t>
            </w:r>
            <w:r>
              <w:rPr>
                <w:rFonts w:hint="default" w:ascii="Times New Roman" w:hAnsi="Times New Roman" w:cs="Times New Roman"/>
                <w:b w:val="0"/>
                <w:bCs/>
                <w:color w:val="000000" w:themeColor="text1"/>
                <w:sz w:val="20"/>
                <w:szCs w:val="20"/>
                <w14:textFill>
                  <w14:solidFill>
                    <w14:schemeClr w14:val="tx1"/>
                  </w14:solidFill>
                </w14:textFill>
              </w:rPr>
              <w:t>t/a</w:t>
            </w:r>
          </w:p>
        </w:tc>
        <w:tc>
          <w:tcPr>
            <w:tcW w:w="1443" w:type="dxa"/>
            <w:vAlign w:val="center"/>
          </w:tcPr>
          <w:p w14:paraId="3A144D65">
            <w:pPr>
              <w:jc w:val="center"/>
              <w:rPr>
                <w:rFonts w:hint="default" w:ascii="Times New Roman" w:hAnsi="Times New Roman" w:cs="Times New Roman"/>
                <w:b w:val="0"/>
                <w:bCs/>
                <w:snapToGrid w:val="0"/>
                <w:color w:val="000000" w:themeColor="text1"/>
                <w:kern w:val="21"/>
                <w:sz w:val="20"/>
                <w:szCs w:val="20"/>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0"/>
                <w:szCs w:val="20"/>
                <w:lang w:val="en-US" w:eastAsia="zh-CN"/>
                <w14:textFill>
                  <w14:solidFill>
                    <w14:schemeClr w14:val="tx1"/>
                  </w14:solidFill>
                </w14:textFill>
              </w:rPr>
              <w:t>+0.0</w:t>
            </w:r>
            <w:r>
              <w:rPr>
                <w:rFonts w:hint="eastAsia" w:cs="Times New Roman"/>
                <w:b w:val="0"/>
                <w:bCs/>
                <w:color w:val="000000" w:themeColor="text1"/>
                <w:sz w:val="20"/>
                <w:szCs w:val="20"/>
                <w:lang w:val="en-US" w:eastAsia="zh-CN"/>
                <w14:textFill>
                  <w14:solidFill>
                    <w14:schemeClr w14:val="tx1"/>
                  </w14:solidFill>
                </w14:textFill>
              </w:rPr>
              <w:t>1</w:t>
            </w:r>
            <w:r>
              <w:rPr>
                <w:rFonts w:hint="default" w:ascii="Times New Roman" w:hAnsi="Times New Roman" w:cs="Times New Roman"/>
                <w:b w:val="0"/>
                <w:bCs/>
                <w:color w:val="000000" w:themeColor="text1"/>
                <w:sz w:val="20"/>
                <w:szCs w:val="20"/>
                <w14:textFill>
                  <w14:solidFill>
                    <w14:schemeClr w14:val="tx1"/>
                  </w14:solidFill>
                </w14:textFill>
              </w:rPr>
              <w:t>t/a</w:t>
            </w:r>
          </w:p>
        </w:tc>
      </w:tr>
      <w:tr w14:paraId="0DC23B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52" w:type="dxa"/>
            <w:vMerge w:val="continue"/>
            <w:vAlign w:val="center"/>
          </w:tcPr>
          <w:p w14:paraId="0B208997">
            <w:pPr>
              <w:pStyle w:val="57"/>
              <w:spacing w:before="31" w:after="31" w:line="240" w:lineRule="auto"/>
              <w:ind w:firstLine="0" w:firstLineChars="0"/>
              <w:rPr>
                <w:rFonts w:hint="default" w:ascii="Times New Roman" w:hAnsi="Times New Roman" w:cs="Times New Roman"/>
                <w:snapToGrid w:val="0"/>
                <w:color w:val="000000" w:themeColor="text1"/>
                <w:kern w:val="21"/>
                <w:sz w:val="20"/>
                <w:szCs w:val="20"/>
                <w:highlight w:val="none"/>
                <w14:textFill>
                  <w14:solidFill>
                    <w14:schemeClr w14:val="tx1"/>
                  </w14:solidFill>
                </w14:textFill>
              </w:rPr>
            </w:pPr>
          </w:p>
        </w:tc>
        <w:tc>
          <w:tcPr>
            <w:tcW w:w="1813" w:type="dxa"/>
            <w:gridSpan w:val="2"/>
            <w:vAlign w:val="center"/>
          </w:tcPr>
          <w:p w14:paraId="74D9A842">
            <w:pPr>
              <w:jc w:val="cente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废活性炭</w:t>
            </w:r>
          </w:p>
        </w:tc>
        <w:tc>
          <w:tcPr>
            <w:tcW w:w="1455" w:type="dxa"/>
            <w:vAlign w:val="center"/>
          </w:tcPr>
          <w:p w14:paraId="48197202">
            <w:pPr>
              <w:jc w:val="center"/>
              <w:rPr>
                <w:rFonts w:hint="default" w:ascii="Times New Roman" w:hAnsi="Times New Roman" w:eastAsia="宋体" w:cs="Times New Roman"/>
                <w:b w:val="0"/>
                <w:bCs/>
                <w:snapToGrid w:val="0"/>
                <w:color w:val="000000" w:themeColor="text1"/>
                <w:kern w:val="21"/>
                <w:sz w:val="20"/>
                <w:szCs w:val="20"/>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0"/>
                <w:szCs w:val="20"/>
                <w:lang w:val="en-US" w:eastAsia="zh-CN"/>
                <w14:textFill>
                  <w14:solidFill>
                    <w14:schemeClr w14:val="tx1"/>
                  </w14:solidFill>
                </w14:textFill>
              </w:rPr>
              <w:t>/</w:t>
            </w:r>
          </w:p>
        </w:tc>
        <w:tc>
          <w:tcPr>
            <w:tcW w:w="1052" w:type="dxa"/>
            <w:vAlign w:val="center"/>
          </w:tcPr>
          <w:p w14:paraId="46A9A32A">
            <w:pPr>
              <w:pStyle w:val="57"/>
              <w:spacing w:before="31" w:after="31" w:line="240" w:lineRule="auto"/>
              <w:ind w:firstLine="0" w:firstLineChars="0"/>
              <w:rPr>
                <w:rFonts w:hint="default" w:ascii="Times New Roman" w:hAnsi="Times New Roman" w:eastAsia="宋体" w:cs="Times New Roman"/>
                <w:b w:val="0"/>
                <w:bCs/>
                <w:snapToGrid w:val="0"/>
                <w:color w:val="000000" w:themeColor="text1"/>
                <w:kern w:val="21"/>
                <w:sz w:val="20"/>
                <w:szCs w:val="20"/>
                <w:highlight w:val="none"/>
                <w:lang w:val="en-US" w:eastAsia="zh-CN"/>
                <w14:textFill>
                  <w14:solidFill>
                    <w14:schemeClr w14:val="tx1"/>
                  </w14:solidFill>
                </w14:textFill>
              </w:rPr>
            </w:pPr>
            <w:r>
              <w:rPr>
                <w:rFonts w:hint="default" w:ascii="Times New Roman" w:hAnsi="Times New Roman" w:cs="Times New Roman"/>
                <w:b w:val="0"/>
                <w:bCs/>
                <w:snapToGrid w:val="0"/>
                <w:color w:val="000000" w:themeColor="text1"/>
                <w:kern w:val="21"/>
                <w:sz w:val="20"/>
                <w:szCs w:val="20"/>
                <w:highlight w:val="none"/>
                <w:lang w:val="en-US" w:eastAsia="zh-CN"/>
                <w14:textFill>
                  <w14:solidFill>
                    <w14:schemeClr w14:val="tx1"/>
                  </w14:solidFill>
                </w14:textFill>
              </w:rPr>
              <w:t>/</w:t>
            </w:r>
          </w:p>
        </w:tc>
        <w:tc>
          <w:tcPr>
            <w:tcW w:w="1680" w:type="dxa"/>
            <w:vAlign w:val="center"/>
          </w:tcPr>
          <w:p w14:paraId="5A8567FD">
            <w:pPr>
              <w:pStyle w:val="57"/>
              <w:spacing w:before="31" w:after="31" w:line="240" w:lineRule="auto"/>
              <w:ind w:firstLine="0" w:firstLineChars="0"/>
              <w:rPr>
                <w:rFonts w:hint="default" w:ascii="Times New Roman" w:hAnsi="Times New Roman" w:eastAsia="宋体" w:cs="Times New Roman"/>
                <w:b w:val="0"/>
                <w:bCs/>
                <w:snapToGrid w:val="0"/>
                <w:color w:val="000000" w:themeColor="text1"/>
                <w:kern w:val="21"/>
                <w:sz w:val="20"/>
                <w:szCs w:val="20"/>
                <w:highlight w:val="none"/>
                <w:lang w:val="en-US" w:eastAsia="zh-CN"/>
                <w14:textFill>
                  <w14:solidFill>
                    <w14:schemeClr w14:val="tx1"/>
                  </w14:solidFill>
                </w14:textFill>
              </w:rPr>
            </w:pPr>
            <w:r>
              <w:rPr>
                <w:rFonts w:hint="default" w:ascii="Times New Roman" w:hAnsi="Times New Roman" w:cs="Times New Roman"/>
                <w:b w:val="0"/>
                <w:bCs/>
                <w:snapToGrid w:val="0"/>
                <w:color w:val="000000" w:themeColor="text1"/>
                <w:kern w:val="21"/>
                <w:sz w:val="20"/>
                <w:szCs w:val="20"/>
                <w:highlight w:val="none"/>
                <w:lang w:val="en-US" w:eastAsia="zh-CN"/>
                <w14:textFill>
                  <w14:solidFill>
                    <w14:schemeClr w14:val="tx1"/>
                  </w14:solidFill>
                </w14:textFill>
              </w:rPr>
              <w:t>/</w:t>
            </w:r>
          </w:p>
        </w:tc>
        <w:tc>
          <w:tcPr>
            <w:tcW w:w="1665" w:type="dxa"/>
            <w:vAlign w:val="center"/>
          </w:tcPr>
          <w:p w14:paraId="0A3B8F01">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b w:val="0"/>
                <w:bCs/>
                <w:snapToGrid w:val="0"/>
                <w:color w:val="000000" w:themeColor="text1"/>
                <w:kern w:val="21"/>
                <w:sz w:val="20"/>
                <w:szCs w:val="20"/>
                <w:highlight w:val="none"/>
                <w:lang w:val="en-US" w:eastAsia="zh-CN"/>
                <w14:textFill>
                  <w14:solidFill>
                    <w14:schemeClr w14:val="tx1"/>
                  </w14:solidFill>
                </w14:textFill>
              </w:rPr>
            </w:pPr>
            <w:r>
              <w:rPr>
                <w:rFonts w:hint="eastAsia" w:cs="Times New Roman"/>
                <w:b w:val="0"/>
                <w:bCs/>
                <w:color w:val="000000" w:themeColor="text1"/>
                <w:sz w:val="20"/>
                <w:szCs w:val="20"/>
                <w:lang w:val="en-US" w:eastAsia="zh-CN"/>
                <w14:textFill>
                  <w14:solidFill>
                    <w14:schemeClr w14:val="tx1"/>
                  </w14:solidFill>
                </w14:textFill>
              </w:rPr>
              <w:t>1.4424</w:t>
            </w:r>
            <w:r>
              <w:rPr>
                <w:rFonts w:hint="default" w:ascii="Times New Roman" w:hAnsi="Times New Roman" w:cs="Times New Roman"/>
                <w:b w:val="0"/>
                <w:bCs/>
                <w:color w:val="000000" w:themeColor="text1"/>
                <w:sz w:val="20"/>
                <w:szCs w:val="20"/>
                <w14:textFill>
                  <w14:solidFill>
                    <w14:schemeClr w14:val="tx1"/>
                  </w14:solidFill>
                </w14:textFill>
              </w:rPr>
              <w:t>t/a</w:t>
            </w:r>
          </w:p>
        </w:tc>
        <w:tc>
          <w:tcPr>
            <w:tcW w:w="1770" w:type="dxa"/>
            <w:vAlign w:val="center"/>
          </w:tcPr>
          <w:p w14:paraId="1FC16145">
            <w:pPr>
              <w:jc w:val="center"/>
              <w:rPr>
                <w:rFonts w:hint="default" w:ascii="Times New Roman" w:hAnsi="Times New Roman" w:cs="Times New Roman"/>
                <w:b w:val="0"/>
                <w:bCs/>
                <w:snapToGrid w:val="0"/>
                <w:color w:val="000000" w:themeColor="text1"/>
                <w:kern w:val="21"/>
                <w:sz w:val="20"/>
                <w:szCs w:val="20"/>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0"/>
                <w:szCs w:val="20"/>
                <w:lang w:val="en-US" w:eastAsia="zh-CN"/>
                <w14:textFill>
                  <w14:solidFill>
                    <w14:schemeClr w14:val="tx1"/>
                  </w14:solidFill>
                </w14:textFill>
              </w:rPr>
              <w:t>0</w:t>
            </w:r>
          </w:p>
        </w:tc>
        <w:tc>
          <w:tcPr>
            <w:tcW w:w="1558" w:type="dxa"/>
            <w:vAlign w:val="center"/>
          </w:tcPr>
          <w:p w14:paraId="47D75237">
            <w:pPr>
              <w:jc w:val="center"/>
              <w:rPr>
                <w:rFonts w:hint="default" w:ascii="Times New Roman" w:hAnsi="Times New Roman" w:cs="Times New Roman"/>
                <w:b w:val="0"/>
                <w:bCs/>
                <w:snapToGrid w:val="0"/>
                <w:color w:val="000000" w:themeColor="text1"/>
                <w:kern w:val="21"/>
                <w:sz w:val="20"/>
                <w:szCs w:val="20"/>
                <w:highlight w:val="none"/>
                <w:lang w:val="en-US" w:eastAsia="zh-CN"/>
                <w14:textFill>
                  <w14:solidFill>
                    <w14:schemeClr w14:val="tx1"/>
                  </w14:solidFill>
                </w14:textFill>
              </w:rPr>
            </w:pPr>
            <w:r>
              <w:rPr>
                <w:rFonts w:hint="eastAsia" w:cs="Times New Roman"/>
                <w:b w:val="0"/>
                <w:bCs/>
                <w:color w:val="000000" w:themeColor="text1"/>
                <w:sz w:val="20"/>
                <w:szCs w:val="20"/>
                <w:lang w:val="en-US" w:eastAsia="zh-CN"/>
                <w14:textFill>
                  <w14:solidFill>
                    <w14:schemeClr w14:val="tx1"/>
                  </w14:solidFill>
                </w14:textFill>
              </w:rPr>
              <w:t>1.4424</w:t>
            </w:r>
            <w:r>
              <w:rPr>
                <w:rFonts w:hint="default" w:ascii="Times New Roman" w:hAnsi="Times New Roman" w:cs="Times New Roman"/>
                <w:b w:val="0"/>
                <w:bCs/>
                <w:color w:val="000000" w:themeColor="text1"/>
                <w:sz w:val="20"/>
                <w:szCs w:val="20"/>
                <w14:textFill>
                  <w14:solidFill>
                    <w14:schemeClr w14:val="tx1"/>
                  </w14:solidFill>
                </w14:textFill>
              </w:rPr>
              <w:t>t/a</w:t>
            </w:r>
          </w:p>
        </w:tc>
        <w:tc>
          <w:tcPr>
            <w:tcW w:w="1443" w:type="dxa"/>
            <w:vAlign w:val="center"/>
          </w:tcPr>
          <w:p w14:paraId="3B12205D">
            <w:pPr>
              <w:jc w:val="center"/>
              <w:rPr>
                <w:rFonts w:hint="default" w:ascii="Times New Roman" w:hAnsi="Times New Roman" w:cs="Times New Roman"/>
                <w:b w:val="0"/>
                <w:bCs/>
                <w:snapToGrid w:val="0"/>
                <w:color w:val="000000" w:themeColor="text1"/>
                <w:kern w:val="21"/>
                <w:sz w:val="20"/>
                <w:szCs w:val="20"/>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0"/>
                <w:szCs w:val="20"/>
                <w:lang w:val="en-US" w:eastAsia="zh-CN"/>
                <w14:textFill>
                  <w14:solidFill>
                    <w14:schemeClr w14:val="tx1"/>
                  </w14:solidFill>
                </w14:textFill>
              </w:rPr>
              <w:t>+</w:t>
            </w:r>
            <w:r>
              <w:rPr>
                <w:rFonts w:hint="eastAsia" w:cs="Times New Roman"/>
                <w:b w:val="0"/>
                <w:bCs/>
                <w:color w:val="000000" w:themeColor="text1"/>
                <w:sz w:val="20"/>
                <w:szCs w:val="20"/>
                <w:lang w:val="en-US" w:eastAsia="zh-CN"/>
                <w14:textFill>
                  <w14:solidFill>
                    <w14:schemeClr w14:val="tx1"/>
                  </w14:solidFill>
                </w14:textFill>
              </w:rPr>
              <w:t>1.4424</w:t>
            </w:r>
            <w:r>
              <w:rPr>
                <w:rFonts w:hint="default" w:ascii="Times New Roman" w:hAnsi="Times New Roman" w:cs="Times New Roman"/>
                <w:b w:val="0"/>
                <w:bCs/>
                <w:color w:val="000000" w:themeColor="text1"/>
                <w:sz w:val="20"/>
                <w:szCs w:val="20"/>
                <w14:textFill>
                  <w14:solidFill>
                    <w14:schemeClr w14:val="tx1"/>
                  </w14:solidFill>
                </w14:textFill>
              </w:rPr>
              <w:t>t/a</w:t>
            </w:r>
          </w:p>
        </w:tc>
      </w:tr>
    </w:tbl>
    <w:p w14:paraId="03C2EAD8">
      <w:pPr>
        <w:ind w:firstLine="0" w:firstLineChars="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注：⑥=①+③+④-⑤；⑦=⑥-①</w:t>
      </w:r>
    </w:p>
    <w:sectPr>
      <w:pgSz w:w="16838" w:h="11906" w:orient="landscape"/>
      <w:pgMar w:top="1417" w:right="1440" w:bottom="1417" w:left="1440" w:header="851" w:footer="992" w:gutter="0"/>
      <w:pgBorders>
        <w:top w:val="none" w:sz="0" w:space="0"/>
        <w:left w:val="none" w:sz="0" w:space="0"/>
        <w:bottom w:val="none" w:sz="0" w:space="0"/>
        <w:right w:val="none" w:sz="0" w:space="0"/>
      </w:pgBorders>
      <w:pgNumType w:fmt="decimal"/>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swiss"/>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3A5860D-6B9E-4B3B-8C6E-F9DD5674F2EE}"/>
  </w:font>
  <w:font w:name="黑体">
    <w:panose1 w:val="02010609060101010101"/>
    <w:charset w:val="86"/>
    <w:family w:val="auto"/>
    <w:pitch w:val="default"/>
    <w:sig w:usb0="800002BF" w:usb1="38CF7CFA" w:usb2="00000016" w:usb3="00000000" w:csb0="00040001" w:csb1="00000000"/>
    <w:embedRegular r:id="rId2" w:fontKey="{2DC4AD96-506F-4604-89F9-0F3B2686AF52}"/>
  </w:font>
  <w:font w:name="Courier New">
    <w:panose1 w:val="02070309020205020404"/>
    <w:charset w:val="01"/>
    <w:family w:val="modern"/>
    <w:pitch w:val="default"/>
    <w:sig w:usb0="E0002EFF" w:usb1="C0007843" w:usb2="00000009" w:usb3="00000000" w:csb0="400001FF" w:csb1="FFFF0000"/>
    <w:embedRegular r:id="rId3" w:fontKey="{E7204E3F-E5C7-4826-A064-353A0F9E4D2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auto"/>
    <w:pitch w:val="default"/>
    <w:sig w:usb0="E00006FF" w:usb1="0000FCFF" w:usb2="00000001" w:usb3="00000000" w:csb0="6000019F" w:csb1="DFD70000"/>
  </w:font>
  <w:font w:name="楷体_GB2312">
    <w:altName w:val="楷体"/>
    <w:panose1 w:val="02010609030101010101"/>
    <w:charset w:val="86"/>
    <w:family w:val="modern"/>
    <w:pitch w:val="default"/>
    <w:sig w:usb0="00000000" w:usb1="00000000" w:usb2="00000000" w:usb3="00000000" w:csb0="00040000" w:csb1="00000000"/>
    <w:embedRegular r:id="rId4" w:fontKey="{A3D16989-AAF1-4BB4-938E-0F4B11F64C14}"/>
  </w:font>
  <w:font w:name="Geneva">
    <w:altName w:val="Arial"/>
    <w:panose1 w:val="00000000000000000000"/>
    <w:charset w:val="00"/>
    <w:family w:val="swiss"/>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603F01FF" w:csb1="FFFF0000"/>
  </w:font>
  <w:font w:name="PMingLiU">
    <w:altName w:val="PMingLiU-ExtB"/>
    <w:panose1 w:val="02020500000000000000"/>
    <w:charset w:val="88"/>
    <w:family w:val="roman"/>
    <w:pitch w:val="default"/>
    <w:sig w:usb0="00000000" w:usb1="00000000" w:usb2="00000016" w:usb3="00000000" w:csb0="00100001" w:csb1="00000000"/>
  </w:font>
  <w:font w:name="Impact">
    <w:panose1 w:val="020B0806030902050204"/>
    <w:charset w:val="00"/>
    <w:family w:val="swiss"/>
    <w:pitch w:val="default"/>
    <w:sig w:usb0="00000287" w:usb1="00000000" w:usb2="00000000" w:usb3="00000000" w:csb0="2000009F" w:csb1="DFD70000"/>
  </w:font>
  <w:font w:name="仿宋_GB2312">
    <w:altName w:val="仿宋"/>
    <w:panose1 w:val="02010609030101010101"/>
    <w:charset w:val="86"/>
    <w:family w:val="modern"/>
    <w:pitch w:val="default"/>
    <w:sig w:usb0="00000000" w:usb1="00000000" w:usb2="00000000" w:usb3="00000000" w:csb0="00040000" w:csb1="00000000"/>
    <w:embedRegular r:id="rId5" w:fontKey="{6FC0CF7C-57DA-4C9D-9CE5-B4A7CB39C88A}"/>
  </w:font>
  <w:font w:name="MingLiU">
    <w:altName w:val="PMingLiU-ExtB"/>
    <w:panose1 w:val="02020509000000000000"/>
    <w:charset w:val="88"/>
    <w:family w:val="modern"/>
    <w:pitch w:val="default"/>
    <w:sig w:usb0="00000000" w:usb1="00000000" w:usb2="00000016" w:usb3="00000000" w:csb0="00100001" w:csb1="00000000"/>
  </w:font>
  <w:font w:name="TimesNewRomanPSMT">
    <w:altName w:val="Times New Roman"/>
    <w:panose1 w:val="00000000000000000000"/>
    <w:charset w:val="00"/>
    <w:family w:val="auto"/>
    <w:pitch w:val="default"/>
    <w:sig w:usb0="00000000" w:usb1="00000000" w:usb2="00000000" w:usb3="00000000" w:csb0="00040001" w:csb1="00000000"/>
  </w:font>
  <w:font w:name="FontAwesome">
    <w:altName w:val="Segoe Print"/>
    <w:panose1 w:val="00000000000000000000"/>
    <w:charset w:val="00"/>
    <w:family w:val="auto"/>
    <w:pitch w:val="default"/>
    <w:sig w:usb0="00000000" w:usb1="00000000" w:usb2="00000000" w:usb3="00000000" w:csb0="00000000" w:csb1="00000000"/>
  </w:font>
  <w:font w:name="方正小标宋_GBK">
    <w:panose1 w:val="03000509000000000000"/>
    <w:charset w:val="86"/>
    <w:family w:val="auto"/>
    <w:pitch w:val="default"/>
    <w:sig w:usb0="00000001" w:usb1="080E0000" w:usb2="00000000" w:usb3="00000000" w:csb0="00040000" w:csb1="00000000"/>
    <w:embedRegular r:id="rId6" w:fontKey="{76BB8B12-8697-446F-B724-074B7A6F2707}"/>
  </w:font>
  <w:font w:name="仿宋">
    <w:panose1 w:val="02010609060101010101"/>
    <w:charset w:val="86"/>
    <w:family w:val="auto"/>
    <w:pitch w:val="default"/>
    <w:sig w:usb0="800002BF" w:usb1="38CF7CFA" w:usb2="00000016" w:usb3="00000000" w:csb0="00040001" w:csb1="00000000"/>
    <w:embedRegular r:id="rId7" w:fontKey="{B5D896E0-AADF-4149-987B-28020C195F16}"/>
  </w:font>
  <w:font w:name="Wingdings 2">
    <w:panose1 w:val="05020102010507070707"/>
    <w:charset w:val="02"/>
    <w:family w:val="roman"/>
    <w:pitch w:val="default"/>
    <w:sig w:usb0="00000000" w:usb1="00000000" w:usb2="00000000" w:usb3="00000000" w:csb0="80000000" w:csb1="00000000"/>
    <w:embedRegular r:id="rId8" w:fontKey="{C10200C5-17A7-4437-B069-B9F5777C4167}"/>
  </w:font>
  <w:font w:name="新宋体">
    <w:panose1 w:val="02010609030101010101"/>
    <w:charset w:val="86"/>
    <w:family w:val="modern"/>
    <w:pitch w:val="default"/>
    <w:sig w:usb0="00000203" w:usb1="288F0000" w:usb2="00000006" w:usb3="00000000" w:csb0="00040001" w:csb1="00000000"/>
    <w:embedRegular r:id="rId9" w:fontKey="{198FCA34-2BD6-4D08-A419-41437365743D}"/>
  </w:font>
  <w:font w:name="微软雅黑">
    <w:panose1 w:val="020B0503020204020204"/>
    <w:charset w:val="86"/>
    <w:family w:val="auto"/>
    <w:pitch w:val="default"/>
    <w:sig w:usb0="80000287" w:usb1="2ACF3C50" w:usb2="00000016" w:usb3="00000000" w:csb0="0004001F" w:csb1="00000000"/>
    <w:embedRegular r:id="rId10" w:fontKey="{E36FEF3D-BAEF-4F8D-8646-D3369B03353A}"/>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C9DA7">
    <w:pPr>
      <w:pStyle w:val="2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56EBE">
    <w:pPr>
      <w:pStyle w:val="23"/>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30166">
                          <w:pPr>
                            <w:pStyle w:val="2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3EA30166">
                    <w:pPr>
                      <w:pStyle w:val="23"/>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699B6E"/>
    <w:multiLevelType w:val="multilevel"/>
    <w:tmpl w:val="5A699B6E"/>
    <w:lvl w:ilvl="0" w:tentative="0">
      <w:start w:val="1"/>
      <w:numFmt w:val="decimal"/>
      <w:suff w:val="space"/>
      <w:lvlText w:val="第%1章  "/>
      <w:lvlJc w:val="center"/>
      <w:pPr>
        <w:tabs>
          <w:tab w:val="left" w:pos="420"/>
        </w:tabs>
        <w:ind w:left="0" w:firstLine="0"/>
      </w:pPr>
      <w:rPr>
        <w:rFonts w:hint="default" w:ascii="Times New Roman" w:hAnsi="Times New Roman" w:eastAsia="黑体" w:cs="Times New Roman"/>
        <w:b/>
        <w:bCs/>
        <w:sz w:val="30"/>
        <w:szCs w:val="30"/>
      </w:rPr>
    </w:lvl>
    <w:lvl w:ilvl="1" w:tentative="0">
      <w:start w:val="1"/>
      <w:numFmt w:val="decimal"/>
      <w:suff w:val="nothing"/>
      <w:lvlText w:val="%1.%2 "/>
      <w:lvlJc w:val="left"/>
      <w:pPr>
        <w:tabs>
          <w:tab w:val="left" w:pos="0"/>
        </w:tabs>
        <w:ind w:left="575" w:hanging="575"/>
      </w:pPr>
      <w:rPr>
        <w:rFonts w:hint="default" w:ascii="Times New Roman" w:hAnsi="Times New Roman" w:eastAsia="黑体" w:cs="Times New Roman"/>
        <w:b/>
        <w:bCs/>
        <w:sz w:val="28"/>
        <w:szCs w:val="28"/>
      </w:rPr>
    </w:lvl>
    <w:lvl w:ilvl="2" w:tentative="0">
      <w:start w:val="1"/>
      <w:numFmt w:val="decimal"/>
      <w:suff w:val="nothing"/>
      <w:lvlText w:val="%1.%2.%3 "/>
      <w:lvlJc w:val="left"/>
      <w:pPr>
        <w:tabs>
          <w:tab w:val="left" w:pos="0"/>
        </w:tabs>
        <w:ind w:left="720" w:hanging="720"/>
      </w:pPr>
      <w:rPr>
        <w:rFonts w:hint="default" w:ascii="Times New Roman" w:hAnsi="Times New Roman" w:eastAsia="宋体" w:cs="Times New Roman"/>
        <w:b/>
        <w:bCs/>
        <w:sz w:val="24"/>
        <w:szCs w:val="24"/>
      </w:rPr>
    </w:lvl>
    <w:lvl w:ilvl="3" w:tentative="0">
      <w:start w:val="1"/>
      <w:numFmt w:val="decimal"/>
      <w:suff w:val="nothing"/>
      <w:lvlText w:val="%1.%2.%3.%4 "/>
      <w:lvlJc w:val="left"/>
      <w:pPr>
        <w:tabs>
          <w:tab w:val="left" w:pos="0"/>
        </w:tabs>
        <w:ind w:left="864" w:hanging="864"/>
      </w:pPr>
      <w:rPr>
        <w:rFonts w:hint="default" w:ascii="Times New Roman" w:hAnsi="Times New Roman" w:eastAsia="宋体" w:cs="Times New Roman"/>
        <w:b/>
        <w:bCs/>
        <w:sz w:val="24"/>
        <w:szCs w:val="24"/>
      </w:rPr>
    </w:lvl>
    <w:lvl w:ilvl="4" w:tentative="0">
      <w:start w:val="1"/>
      <w:numFmt w:val="decimal"/>
      <w:lvlRestart w:val="2"/>
      <w:pStyle w:val="70"/>
      <w:suff w:val="nothing"/>
      <w:lvlText w:val="表%1.%2-%5  "/>
      <w:lvlJc w:val="left"/>
      <w:pPr>
        <w:tabs>
          <w:tab w:val="left" w:pos="0"/>
        </w:tabs>
        <w:ind w:left="1008" w:hanging="1008"/>
      </w:pPr>
      <w:rPr>
        <w:rFonts w:hint="default" w:ascii="Times New Roman" w:hAnsi="Times New Roman" w:eastAsia="宋体" w:cs="Times New Roman"/>
        <w:b/>
        <w:bCs/>
        <w:sz w:val="24"/>
        <w:szCs w:val="24"/>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zYTA3ZDg3NWNhYmVjODc3YmJjMjQ4MDkyZDc1NmMifQ=="/>
  </w:docVars>
  <w:rsids>
    <w:rsidRoot w:val="00172A27"/>
    <w:rsid w:val="00003504"/>
    <w:rsid w:val="00051995"/>
    <w:rsid w:val="000F6956"/>
    <w:rsid w:val="00172A27"/>
    <w:rsid w:val="0017738F"/>
    <w:rsid w:val="00195B31"/>
    <w:rsid w:val="001A2968"/>
    <w:rsid w:val="001A2B41"/>
    <w:rsid w:val="001F7E1F"/>
    <w:rsid w:val="00205621"/>
    <w:rsid w:val="00224C7A"/>
    <w:rsid w:val="002D269B"/>
    <w:rsid w:val="002F4511"/>
    <w:rsid w:val="00327CB1"/>
    <w:rsid w:val="00340FEF"/>
    <w:rsid w:val="003B3B30"/>
    <w:rsid w:val="003C28DE"/>
    <w:rsid w:val="003C3010"/>
    <w:rsid w:val="004B1561"/>
    <w:rsid w:val="00551409"/>
    <w:rsid w:val="0056472A"/>
    <w:rsid w:val="005C6ADC"/>
    <w:rsid w:val="006360BD"/>
    <w:rsid w:val="00675306"/>
    <w:rsid w:val="00692FA7"/>
    <w:rsid w:val="006A623D"/>
    <w:rsid w:val="006C1441"/>
    <w:rsid w:val="006D6F3B"/>
    <w:rsid w:val="006E177F"/>
    <w:rsid w:val="0077621C"/>
    <w:rsid w:val="007D2923"/>
    <w:rsid w:val="007E4E77"/>
    <w:rsid w:val="00884CAE"/>
    <w:rsid w:val="0089189B"/>
    <w:rsid w:val="008E2A0E"/>
    <w:rsid w:val="008E40E1"/>
    <w:rsid w:val="00942F86"/>
    <w:rsid w:val="00980EC9"/>
    <w:rsid w:val="0099335E"/>
    <w:rsid w:val="00A10993"/>
    <w:rsid w:val="00A124D7"/>
    <w:rsid w:val="00A43F55"/>
    <w:rsid w:val="00A86FB1"/>
    <w:rsid w:val="00B431AC"/>
    <w:rsid w:val="00B52CB1"/>
    <w:rsid w:val="00BA691D"/>
    <w:rsid w:val="00C46918"/>
    <w:rsid w:val="00C74E44"/>
    <w:rsid w:val="00C823C4"/>
    <w:rsid w:val="00CA1B74"/>
    <w:rsid w:val="00CC0524"/>
    <w:rsid w:val="00CD79DA"/>
    <w:rsid w:val="00D5761F"/>
    <w:rsid w:val="00D91EDB"/>
    <w:rsid w:val="00DD0448"/>
    <w:rsid w:val="00DF37DF"/>
    <w:rsid w:val="00E865C2"/>
    <w:rsid w:val="00E87809"/>
    <w:rsid w:val="00EA40E8"/>
    <w:rsid w:val="00F02A19"/>
    <w:rsid w:val="01022F84"/>
    <w:rsid w:val="01064671"/>
    <w:rsid w:val="010A79CD"/>
    <w:rsid w:val="010D3364"/>
    <w:rsid w:val="010F5955"/>
    <w:rsid w:val="01115B19"/>
    <w:rsid w:val="01167F7D"/>
    <w:rsid w:val="01233A9E"/>
    <w:rsid w:val="012C34B7"/>
    <w:rsid w:val="013378DB"/>
    <w:rsid w:val="0136518B"/>
    <w:rsid w:val="01381441"/>
    <w:rsid w:val="013A432D"/>
    <w:rsid w:val="01413E0E"/>
    <w:rsid w:val="01431C2E"/>
    <w:rsid w:val="01472C04"/>
    <w:rsid w:val="0163340B"/>
    <w:rsid w:val="017023A7"/>
    <w:rsid w:val="01940A17"/>
    <w:rsid w:val="019450FA"/>
    <w:rsid w:val="0198234B"/>
    <w:rsid w:val="01991C4C"/>
    <w:rsid w:val="01A2544F"/>
    <w:rsid w:val="01A37B56"/>
    <w:rsid w:val="01A7022B"/>
    <w:rsid w:val="01AB3D5E"/>
    <w:rsid w:val="01AF1275"/>
    <w:rsid w:val="01B131E0"/>
    <w:rsid w:val="01BE7323"/>
    <w:rsid w:val="01C74429"/>
    <w:rsid w:val="01CE02A5"/>
    <w:rsid w:val="01CF66BA"/>
    <w:rsid w:val="01D227E9"/>
    <w:rsid w:val="01D51CEF"/>
    <w:rsid w:val="01D52DEE"/>
    <w:rsid w:val="01E07FB3"/>
    <w:rsid w:val="01E274B5"/>
    <w:rsid w:val="01E54191"/>
    <w:rsid w:val="01EA3F2D"/>
    <w:rsid w:val="01F013C1"/>
    <w:rsid w:val="01F568EE"/>
    <w:rsid w:val="01F677A7"/>
    <w:rsid w:val="01FE5971"/>
    <w:rsid w:val="02023F4B"/>
    <w:rsid w:val="020D3724"/>
    <w:rsid w:val="02104022"/>
    <w:rsid w:val="02117558"/>
    <w:rsid w:val="02160608"/>
    <w:rsid w:val="021805A0"/>
    <w:rsid w:val="021826DA"/>
    <w:rsid w:val="021C1C2C"/>
    <w:rsid w:val="021F6013"/>
    <w:rsid w:val="022A49B8"/>
    <w:rsid w:val="023000CF"/>
    <w:rsid w:val="0234328A"/>
    <w:rsid w:val="023831E6"/>
    <w:rsid w:val="024737BC"/>
    <w:rsid w:val="024A4B13"/>
    <w:rsid w:val="024B0EA1"/>
    <w:rsid w:val="024C35ED"/>
    <w:rsid w:val="024C492F"/>
    <w:rsid w:val="024C63F3"/>
    <w:rsid w:val="024E20A3"/>
    <w:rsid w:val="02503F29"/>
    <w:rsid w:val="0250441F"/>
    <w:rsid w:val="025817C9"/>
    <w:rsid w:val="02725808"/>
    <w:rsid w:val="02730CBD"/>
    <w:rsid w:val="0274114F"/>
    <w:rsid w:val="027B0375"/>
    <w:rsid w:val="027B5F7F"/>
    <w:rsid w:val="027F637D"/>
    <w:rsid w:val="028203C5"/>
    <w:rsid w:val="0284056C"/>
    <w:rsid w:val="028D7421"/>
    <w:rsid w:val="029213A5"/>
    <w:rsid w:val="02955AF6"/>
    <w:rsid w:val="029562D6"/>
    <w:rsid w:val="029C3C73"/>
    <w:rsid w:val="029C58B6"/>
    <w:rsid w:val="029E7C2F"/>
    <w:rsid w:val="02A1631F"/>
    <w:rsid w:val="02A53D13"/>
    <w:rsid w:val="02A66735"/>
    <w:rsid w:val="02B50098"/>
    <w:rsid w:val="02B76EA0"/>
    <w:rsid w:val="02C72207"/>
    <w:rsid w:val="02CB1CF7"/>
    <w:rsid w:val="02E078A9"/>
    <w:rsid w:val="02E1776D"/>
    <w:rsid w:val="02E94EF6"/>
    <w:rsid w:val="02EC30BD"/>
    <w:rsid w:val="02F23758"/>
    <w:rsid w:val="02FF23DD"/>
    <w:rsid w:val="030C6E5A"/>
    <w:rsid w:val="031170FD"/>
    <w:rsid w:val="03153BB5"/>
    <w:rsid w:val="03172975"/>
    <w:rsid w:val="032B47D4"/>
    <w:rsid w:val="032E299E"/>
    <w:rsid w:val="033905F3"/>
    <w:rsid w:val="033B50CF"/>
    <w:rsid w:val="03477077"/>
    <w:rsid w:val="03477A8E"/>
    <w:rsid w:val="0348159A"/>
    <w:rsid w:val="034D4E02"/>
    <w:rsid w:val="034E2BCA"/>
    <w:rsid w:val="034F70C4"/>
    <w:rsid w:val="03524A72"/>
    <w:rsid w:val="03550A4B"/>
    <w:rsid w:val="035703B8"/>
    <w:rsid w:val="03591C06"/>
    <w:rsid w:val="035E4CED"/>
    <w:rsid w:val="036A5AAA"/>
    <w:rsid w:val="036F4ACF"/>
    <w:rsid w:val="037567E0"/>
    <w:rsid w:val="03786668"/>
    <w:rsid w:val="037C09BB"/>
    <w:rsid w:val="03870314"/>
    <w:rsid w:val="0397607D"/>
    <w:rsid w:val="039B3DC0"/>
    <w:rsid w:val="03A73E08"/>
    <w:rsid w:val="03A92761"/>
    <w:rsid w:val="03A9365C"/>
    <w:rsid w:val="03AC1B29"/>
    <w:rsid w:val="03AE1559"/>
    <w:rsid w:val="03C055D4"/>
    <w:rsid w:val="03C427E7"/>
    <w:rsid w:val="03CA70C9"/>
    <w:rsid w:val="03D33559"/>
    <w:rsid w:val="03DF20E6"/>
    <w:rsid w:val="03E84AD5"/>
    <w:rsid w:val="03EA75CC"/>
    <w:rsid w:val="03FB485E"/>
    <w:rsid w:val="03FC7FF0"/>
    <w:rsid w:val="03FD436B"/>
    <w:rsid w:val="041365C4"/>
    <w:rsid w:val="04172478"/>
    <w:rsid w:val="04180F6C"/>
    <w:rsid w:val="04182BE0"/>
    <w:rsid w:val="041B5520"/>
    <w:rsid w:val="041D2A27"/>
    <w:rsid w:val="04273BA4"/>
    <w:rsid w:val="042E24FA"/>
    <w:rsid w:val="04337931"/>
    <w:rsid w:val="04362075"/>
    <w:rsid w:val="043A35D9"/>
    <w:rsid w:val="044048B6"/>
    <w:rsid w:val="04455CBC"/>
    <w:rsid w:val="04485834"/>
    <w:rsid w:val="044970A7"/>
    <w:rsid w:val="045253A0"/>
    <w:rsid w:val="0456591D"/>
    <w:rsid w:val="04590024"/>
    <w:rsid w:val="045C2D6E"/>
    <w:rsid w:val="045F6DD7"/>
    <w:rsid w:val="046046D6"/>
    <w:rsid w:val="046E6095"/>
    <w:rsid w:val="04776088"/>
    <w:rsid w:val="04787550"/>
    <w:rsid w:val="047F4146"/>
    <w:rsid w:val="04864599"/>
    <w:rsid w:val="048C120B"/>
    <w:rsid w:val="048F32CE"/>
    <w:rsid w:val="049158F0"/>
    <w:rsid w:val="049F3A8D"/>
    <w:rsid w:val="04A60661"/>
    <w:rsid w:val="04AE3779"/>
    <w:rsid w:val="04AE464C"/>
    <w:rsid w:val="04B14484"/>
    <w:rsid w:val="04B213C1"/>
    <w:rsid w:val="04B5525E"/>
    <w:rsid w:val="04B73032"/>
    <w:rsid w:val="04BC3FEE"/>
    <w:rsid w:val="04C335CE"/>
    <w:rsid w:val="04C410F4"/>
    <w:rsid w:val="04CB7A9A"/>
    <w:rsid w:val="04CC2386"/>
    <w:rsid w:val="04CD6D06"/>
    <w:rsid w:val="04DC4690"/>
    <w:rsid w:val="04E179AB"/>
    <w:rsid w:val="04E83035"/>
    <w:rsid w:val="04F35535"/>
    <w:rsid w:val="05025D14"/>
    <w:rsid w:val="050442C2"/>
    <w:rsid w:val="0507507E"/>
    <w:rsid w:val="05145A0C"/>
    <w:rsid w:val="051554AC"/>
    <w:rsid w:val="052370D3"/>
    <w:rsid w:val="05263B5D"/>
    <w:rsid w:val="05273155"/>
    <w:rsid w:val="052B2F21"/>
    <w:rsid w:val="052F6EDC"/>
    <w:rsid w:val="053235E2"/>
    <w:rsid w:val="053775DF"/>
    <w:rsid w:val="053814B3"/>
    <w:rsid w:val="054377AC"/>
    <w:rsid w:val="0555066B"/>
    <w:rsid w:val="05551D4C"/>
    <w:rsid w:val="055D3573"/>
    <w:rsid w:val="055E50A5"/>
    <w:rsid w:val="055F4DA0"/>
    <w:rsid w:val="05600E1D"/>
    <w:rsid w:val="056B7658"/>
    <w:rsid w:val="05753A6C"/>
    <w:rsid w:val="05796D93"/>
    <w:rsid w:val="057A4A23"/>
    <w:rsid w:val="05820786"/>
    <w:rsid w:val="05830037"/>
    <w:rsid w:val="05854CE9"/>
    <w:rsid w:val="059357C9"/>
    <w:rsid w:val="05A23AEA"/>
    <w:rsid w:val="05A32D8D"/>
    <w:rsid w:val="05A607FA"/>
    <w:rsid w:val="05B20F4D"/>
    <w:rsid w:val="05DB3FDB"/>
    <w:rsid w:val="05E774E6"/>
    <w:rsid w:val="05EA5338"/>
    <w:rsid w:val="05F477B7"/>
    <w:rsid w:val="05FA2A55"/>
    <w:rsid w:val="05FB0B46"/>
    <w:rsid w:val="05FC1F0A"/>
    <w:rsid w:val="06025659"/>
    <w:rsid w:val="060856F4"/>
    <w:rsid w:val="060A7287"/>
    <w:rsid w:val="060C2D53"/>
    <w:rsid w:val="06110369"/>
    <w:rsid w:val="06147E59"/>
    <w:rsid w:val="06191684"/>
    <w:rsid w:val="061D0ABC"/>
    <w:rsid w:val="062067FE"/>
    <w:rsid w:val="062B6E9A"/>
    <w:rsid w:val="062C6F51"/>
    <w:rsid w:val="062F2FDC"/>
    <w:rsid w:val="06302974"/>
    <w:rsid w:val="063B7CCA"/>
    <w:rsid w:val="063D2F0C"/>
    <w:rsid w:val="063E50AD"/>
    <w:rsid w:val="064249C6"/>
    <w:rsid w:val="064F6BFD"/>
    <w:rsid w:val="06555537"/>
    <w:rsid w:val="06585F98"/>
    <w:rsid w:val="065869FD"/>
    <w:rsid w:val="065B0CF6"/>
    <w:rsid w:val="065F4847"/>
    <w:rsid w:val="066801DD"/>
    <w:rsid w:val="067A04CA"/>
    <w:rsid w:val="067F3525"/>
    <w:rsid w:val="068230B2"/>
    <w:rsid w:val="06867DFC"/>
    <w:rsid w:val="06872F1A"/>
    <w:rsid w:val="06915006"/>
    <w:rsid w:val="06947999"/>
    <w:rsid w:val="06952D48"/>
    <w:rsid w:val="069B6A6E"/>
    <w:rsid w:val="069D1BFD"/>
    <w:rsid w:val="069D785C"/>
    <w:rsid w:val="06A34A08"/>
    <w:rsid w:val="06B156A8"/>
    <w:rsid w:val="06B7213F"/>
    <w:rsid w:val="06BA5030"/>
    <w:rsid w:val="06C453DB"/>
    <w:rsid w:val="06C7630B"/>
    <w:rsid w:val="06CB676A"/>
    <w:rsid w:val="06CF4373"/>
    <w:rsid w:val="06EB0BBA"/>
    <w:rsid w:val="06F761AE"/>
    <w:rsid w:val="071B32B6"/>
    <w:rsid w:val="07267541"/>
    <w:rsid w:val="07287718"/>
    <w:rsid w:val="072B545A"/>
    <w:rsid w:val="072C6AEC"/>
    <w:rsid w:val="072F64CD"/>
    <w:rsid w:val="07310263"/>
    <w:rsid w:val="0743707D"/>
    <w:rsid w:val="074C325F"/>
    <w:rsid w:val="074E2EF7"/>
    <w:rsid w:val="075958CC"/>
    <w:rsid w:val="075F3ED9"/>
    <w:rsid w:val="07660241"/>
    <w:rsid w:val="076B3AA9"/>
    <w:rsid w:val="07767EF0"/>
    <w:rsid w:val="077C7D1E"/>
    <w:rsid w:val="07822CFC"/>
    <w:rsid w:val="07990119"/>
    <w:rsid w:val="07A128D4"/>
    <w:rsid w:val="07A1396F"/>
    <w:rsid w:val="07A174CB"/>
    <w:rsid w:val="07A5520D"/>
    <w:rsid w:val="07A953B1"/>
    <w:rsid w:val="07B0770E"/>
    <w:rsid w:val="07B34569"/>
    <w:rsid w:val="07B44AA7"/>
    <w:rsid w:val="07BA4244"/>
    <w:rsid w:val="07BE6026"/>
    <w:rsid w:val="07C25320"/>
    <w:rsid w:val="07C25615"/>
    <w:rsid w:val="07CA07CF"/>
    <w:rsid w:val="07CE1789"/>
    <w:rsid w:val="07DD7326"/>
    <w:rsid w:val="07EC6998"/>
    <w:rsid w:val="07F21110"/>
    <w:rsid w:val="07F32AD5"/>
    <w:rsid w:val="0800140A"/>
    <w:rsid w:val="080D0674"/>
    <w:rsid w:val="080E5162"/>
    <w:rsid w:val="082425D6"/>
    <w:rsid w:val="08254FB4"/>
    <w:rsid w:val="082751D4"/>
    <w:rsid w:val="0828199A"/>
    <w:rsid w:val="082D338F"/>
    <w:rsid w:val="08367B67"/>
    <w:rsid w:val="08371AF0"/>
    <w:rsid w:val="08393BA7"/>
    <w:rsid w:val="083E11BD"/>
    <w:rsid w:val="08430582"/>
    <w:rsid w:val="084F6F27"/>
    <w:rsid w:val="08512C9F"/>
    <w:rsid w:val="08517028"/>
    <w:rsid w:val="08591B53"/>
    <w:rsid w:val="085E716A"/>
    <w:rsid w:val="08640C24"/>
    <w:rsid w:val="08644C05"/>
    <w:rsid w:val="086C1F56"/>
    <w:rsid w:val="08730E67"/>
    <w:rsid w:val="08744F7A"/>
    <w:rsid w:val="087644CB"/>
    <w:rsid w:val="087D7F38"/>
    <w:rsid w:val="08821A3A"/>
    <w:rsid w:val="08852292"/>
    <w:rsid w:val="088766C0"/>
    <w:rsid w:val="088E7A4F"/>
    <w:rsid w:val="0895702F"/>
    <w:rsid w:val="08961A12"/>
    <w:rsid w:val="089F7EAE"/>
    <w:rsid w:val="08A414E1"/>
    <w:rsid w:val="08A94BFE"/>
    <w:rsid w:val="08AB6408"/>
    <w:rsid w:val="08B80F70"/>
    <w:rsid w:val="08C16076"/>
    <w:rsid w:val="08D15B8E"/>
    <w:rsid w:val="08D2511C"/>
    <w:rsid w:val="08D768B3"/>
    <w:rsid w:val="08DC2B16"/>
    <w:rsid w:val="08E06BFE"/>
    <w:rsid w:val="08E65530"/>
    <w:rsid w:val="08E839F2"/>
    <w:rsid w:val="08EA1120"/>
    <w:rsid w:val="08FD1DEA"/>
    <w:rsid w:val="08FD31A9"/>
    <w:rsid w:val="090A75A9"/>
    <w:rsid w:val="091B682D"/>
    <w:rsid w:val="09206DDD"/>
    <w:rsid w:val="09212671"/>
    <w:rsid w:val="0921282F"/>
    <w:rsid w:val="0926412B"/>
    <w:rsid w:val="092C7268"/>
    <w:rsid w:val="09345CFE"/>
    <w:rsid w:val="09364775"/>
    <w:rsid w:val="0941451D"/>
    <w:rsid w:val="09497E1A"/>
    <w:rsid w:val="094A557B"/>
    <w:rsid w:val="09510A7C"/>
    <w:rsid w:val="095A2027"/>
    <w:rsid w:val="095C4F27"/>
    <w:rsid w:val="095E0535"/>
    <w:rsid w:val="09672AD3"/>
    <w:rsid w:val="096C40EB"/>
    <w:rsid w:val="096E75D6"/>
    <w:rsid w:val="097B395C"/>
    <w:rsid w:val="097F55EA"/>
    <w:rsid w:val="098904FD"/>
    <w:rsid w:val="099217C1"/>
    <w:rsid w:val="09AD03A9"/>
    <w:rsid w:val="09BE4F1A"/>
    <w:rsid w:val="09C00789"/>
    <w:rsid w:val="09C33728"/>
    <w:rsid w:val="09C70C60"/>
    <w:rsid w:val="09D370FD"/>
    <w:rsid w:val="09D5345C"/>
    <w:rsid w:val="09D674F6"/>
    <w:rsid w:val="09EA11A2"/>
    <w:rsid w:val="09EA6F07"/>
    <w:rsid w:val="09EB7375"/>
    <w:rsid w:val="09EC032D"/>
    <w:rsid w:val="09F16108"/>
    <w:rsid w:val="09FE356A"/>
    <w:rsid w:val="0A012637"/>
    <w:rsid w:val="0A06008E"/>
    <w:rsid w:val="0A0B22A6"/>
    <w:rsid w:val="0A0D3EBF"/>
    <w:rsid w:val="0A1D552E"/>
    <w:rsid w:val="0A211B30"/>
    <w:rsid w:val="0A2148F3"/>
    <w:rsid w:val="0A21573F"/>
    <w:rsid w:val="0A261B64"/>
    <w:rsid w:val="0A2A1AFE"/>
    <w:rsid w:val="0A2C39C3"/>
    <w:rsid w:val="0A2C447B"/>
    <w:rsid w:val="0A2C5771"/>
    <w:rsid w:val="0A3B7763"/>
    <w:rsid w:val="0A3D7FAC"/>
    <w:rsid w:val="0A430D0D"/>
    <w:rsid w:val="0A454A85"/>
    <w:rsid w:val="0A491BD0"/>
    <w:rsid w:val="0A6007AB"/>
    <w:rsid w:val="0A693506"/>
    <w:rsid w:val="0A69398C"/>
    <w:rsid w:val="0A694362"/>
    <w:rsid w:val="0A792992"/>
    <w:rsid w:val="0A7E6F9F"/>
    <w:rsid w:val="0A80786B"/>
    <w:rsid w:val="0A883A89"/>
    <w:rsid w:val="0A8F5D00"/>
    <w:rsid w:val="0A911907"/>
    <w:rsid w:val="0A93759F"/>
    <w:rsid w:val="0A946A55"/>
    <w:rsid w:val="0A960E3D"/>
    <w:rsid w:val="0A963AAE"/>
    <w:rsid w:val="0A9D4330"/>
    <w:rsid w:val="0AA27E70"/>
    <w:rsid w:val="0AAB489B"/>
    <w:rsid w:val="0AAC240E"/>
    <w:rsid w:val="0AB75863"/>
    <w:rsid w:val="0ABD0ABF"/>
    <w:rsid w:val="0ABE2142"/>
    <w:rsid w:val="0ACB31DC"/>
    <w:rsid w:val="0ACE0286"/>
    <w:rsid w:val="0ADB6EF4"/>
    <w:rsid w:val="0AE36ECE"/>
    <w:rsid w:val="0AEF600D"/>
    <w:rsid w:val="0AF60B31"/>
    <w:rsid w:val="0AF96715"/>
    <w:rsid w:val="0AFA13CC"/>
    <w:rsid w:val="0AFC77D6"/>
    <w:rsid w:val="0B093D05"/>
    <w:rsid w:val="0B09418A"/>
    <w:rsid w:val="0B163D2C"/>
    <w:rsid w:val="0B1A19B4"/>
    <w:rsid w:val="0B217FC5"/>
    <w:rsid w:val="0B224DC6"/>
    <w:rsid w:val="0B2A7F28"/>
    <w:rsid w:val="0B2F5832"/>
    <w:rsid w:val="0B3150EA"/>
    <w:rsid w:val="0B33619E"/>
    <w:rsid w:val="0B3E67C2"/>
    <w:rsid w:val="0B41524D"/>
    <w:rsid w:val="0B45421B"/>
    <w:rsid w:val="0B5605CC"/>
    <w:rsid w:val="0B5B3783"/>
    <w:rsid w:val="0B5C708E"/>
    <w:rsid w:val="0B622A02"/>
    <w:rsid w:val="0B6536B8"/>
    <w:rsid w:val="0B674CBC"/>
    <w:rsid w:val="0B6874E1"/>
    <w:rsid w:val="0B6B1A16"/>
    <w:rsid w:val="0B6C50CB"/>
    <w:rsid w:val="0B6D1AC3"/>
    <w:rsid w:val="0B6E19A7"/>
    <w:rsid w:val="0B7B0B24"/>
    <w:rsid w:val="0B8475F4"/>
    <w:rsid w:val="0B883F1F"/>
    <w:rsid w:val="0B920E35"/>
    <w:rsid w:val="0B96478C"/>
    <w:rsid w:val="0B9A6BA7"/>
    <w:rsid w:val="0BA23811"/>
    <w:rsid w:val="0BA23974"/>
    <w:rsid w:val="0BA354C3"/>
    <w:rsid w:val="0BBC0D77"/>
    <w:rsid w:val="0BBE064B"/>
    <w:rsid w:val="0BBE4AFD"/>
    <w:rsid w:val="0BC10245"/>
    <w:rsid w:val="0BDC4F58"/>
    <w:rsid w:val="0BED2CDE"/>
    <w:rsid w:val="0BF46345"/>
    <w:rsid w:val="0BF56E60"/>
    <w:rsid w:val="0C0539DD"/>
    <w:rsid w:val="0C0804DC"/>
    <w:rsid w:val="0C100447"/>
    <w:rsid w:val="0C112AE3"/>
    <w:rsid w:val="0C1A4BEB"/>
    <w:rsid w:val="0C1B6E61"/>
    <w:rsid w:val="0C2649DF"/>
    <w:rsid w:val="0C2E6944"/>
    <w:rsid w:val="0C395F24"/>
    <w:rsid w:val="0C3D30AA"/>
    <w:rsid w:val="0C405504"/>
    <w:rsid w:val="0C4072B2"/>
    <w:rsid w:val="0C486239"/>
    <w:rsid w:val="0C530DEB"/>
    <w:rsid w:val="0C545836"/>
    <w:rsid w:val="0C5E3BDC"/>
    <w:rsid w:val="0C6236CC"/>
    <w:rsid w:val="0C77337C"/>
    <w:rsid w:val="0C82288B"/>
    <w:rsid w:val="0C840A1A"/>
    <w:rsid w:val="0C86464C"/>
    <w:rsid w:val="0C9B7F52"/>
    <w:rsid w:val="0CA30FB8"/>
    <w:rsid w:val="0CB97065"/>
    <w:rsid w:val="0CC53C5B"/>
    <w:rsid w:val="0CC563FB"/>
    <w:rsid w:val="0CCC0710"/>
    <w:rsid w:val="0CDE3470"/>
    <w:rsid w:val="0CE143B2"/>
    <w:rsid w:val="0CF04ACE"/>
    <w:rsid w:val="0D04428B"/>
    <w:rsid w:val="0D0A343A"/>
    <w:rsid w:val="0D191630"/>
    <w:rsid w:val="0D1F336B"/>
    <w:rsid w:val="0D305D1E"/>
    <w:rsid w:val="0D336E17"/>
    <w:rsid w:val="0D364756"/>
    <w:rsid w:val="0D3875BE"/>
    <w:rsid w:val="0D4F52D6"/>
    <w:rsid w:val="0D5F2E96"/>
    <w:rsid w:val="0D600C33"/>
    <w:rsid w:val="0D637D73"/>
    <w:rsid w:val="0D643474"/>
    <w:rsid w:val="0D7C4200"/>
    <w:rsid w:val="0D863B28"/>
    <w:rsid w:val="0D887163"/>
    <w:rsid w:val="0D950710"/>
    <w:rsid w:val="0D960D3E"/>
    <w:rsid w:val="0DA254C0"/>
    <w:rsid w:val="0DA675E9"/>
    <w:rsid w:val="0DA837B8"/>
    <w:rsid w:val="0DB31787"/>
    <w:rsid w:val="0DB55A7E"/>
    <w:rsid w:val="0DBF4B4E"/>
    <w:rsid w:val="0DC21F49"/>
    <w:rsid w:val="0DCD09F0"/>
    <w:rsid w:val="0DCE08EE"/>
    <w:rsid w:val="0DCE4BD6"/>
    <w:rsid w:val="0DD51C7C"/>
    <w:rsid w:val="0DE563A5"/>
    <w:rsid w:val="0DE72CCE"/>
    <w:rsid w:val="0DEB1EA7"/>
    <w:rsid w:val="0DF30ACF"/>
    <w:rsid w:val="0DFF5C3B"/>
    <w:rsid w:val="0E081147"/>
    <w:rsid w:val="0E102753"/>
    <w:rsid w:val="0E1A44BD"/>
    <w:rsid w:val="0E211365"/>
    <w:rsid w:val="0E296834"/>
    <w:rsid w:val="0E296B13"/>
    <w:rsid w:val="0E386C18"/>
    <w:rsid w:val="0E3C2671"/>
    <w:rsid w:val="0E4018D9"/>
    <w:rsid w:val="0E42780C"/>
    <w:rsid w:val="0E467795"/>
    <w:rsid w:val="0E4F715E"/>
    <w:rsid w:val="0E5139F9"/>
    <w:rsid w:val="0E5434E9"/>
    <w:rsid w:val="0E567261"/>
    <w:rsid w:val="0E5C05EF"/>
    <w:rsid w:val="0E6178BC"/>
    <w:rsid w:val="0E6F3E7F"/>
    <w:rsid w:val="0E7D63D0"/>
    <w:rsid w:val="0E807E3A"/>
    <w:rsid w:val="0E8813E4"/>
    <w:rsid w:val="0E887F44"/>
    <w:rsid w:val="0E894549"/>
    <w:rsid w:val="0E9125B0"/>
    <w:rsid w:val="0E927E61"/>
    <w:rsid w:val="0E9457C5"/>
    <w:rsid w:val="0E971CEC"/>
    <w:rsid w:val="0EA3623F"/>
    <w:rsid w:val="0EA72B92"/>
    <w:rsid w:val="0EAA1E72"/>
    <w:rsid w:val="0EAD7E75"/>
    <w:rsid w:val="0EB16A5D"/>
    <w:rsid w:val="0EB83A78"/>
    <w:rsid w:val="0EC264DD"/>
    <w:rsid w:val="0EC71F0D"/>
    <w:rsid w:val="0EC97C3C"/>
    <w:rsid w:val="0ED44126"/>
    <w:rsid w:val="0EE20AF5"/>
    <w:rsid w:val="0EE71214"/>
    <w:rsid w:val="0EE7435D"/>
    <w:rsid w:val="0EF20FBD"/>
    <w:rsid w:val="0EFC6BE3"/>
    <w:rsid w:val="0F0C3DC3"/>
    <w:rsid w:val="0F114F36"/>
    <w:rsid w:val="0F142919"/>
    <w:rsid w:val="0F1B4006"/>
    <w:rsid w:val="0F1C245B"/>
    <w:rsid w:val="0F235324"/>
    <w:rsid w:val="0F36468A"/>
    <w:rsid w:val="0F370413"/>
    <w:rsid w:val="0F3927D6"/>
    <w:rsid w:val="0F3E028F"/>
    <w:rsid w:val="0F455900"/>
    <w:rsid w:val="0F470958"/>
    <w:rsid w:val="0F4E1581"/>
    <w:rsid w:val="0F597A04"/>
    <w:rsid w:val="0F5A38D7"/>
    <w:rsid w:val="0F5B2655"/>
    <w:rsid w:val="0F611DE9"/>
    <w:rsid w:val="0F6255B7"/>
    <w:rsid w:val="0F625791"/>
    <w:rsid w:val="0F6471A4"/>
    <w:rsid w:val="0F676827"/>
    <w:rsid w:val="0F76123D"/>
    <w:rsid w:val="0F8B118C"/>
    <w:rsid w:val="0F9A589C"/>
    <w:rsid w:val="0F9B7951"/>
    <w:rsid w:val="0FA609CC"/>
    <w:rsid w:val="0FAC3659"/>
    <w:rsid w:val="0FAD1102"/>
    <w:rsid w:val="0FB52D59"/>
    <w:rsid w:val="0FC77ADA"/>
    <w:rsid w:val="0FEB7E26"/>
    <w:rsid w:val="0FF26075"/>
    <w:rsid w:val="0FF44180"/>
    <w:rsid w:val="0FF7237E"/>
    <w:rsid w:val="0FF860F6"/>
    <w:rsid w:val="0FFA1E6E"/>
    <w:rsid w:val="0FFA3C1C"/>
    <w:rsid w:val="0FFC1427"/>
    <w:rsid w:val="10014FAA"/>
    <w:rsid w:val="10142F30"/>
    <w:rsid w:val="1017737C"/>
    <w:rsid w:val="10196798"/>
    <w:rsid w:val="101A14F8"/>
    <w:rsid w:val="101E031E"/>
    <w:rsid w:val="10214E0C"/>
    <w:rsid w:val="10245548"/>
    <w:rsid w:val="102D0195"/>
    <w:rsid w:val="10336795"/>
    <w:rsid w:val="10347536"/>
    <w:rsid w:val="103747D2"/>
    <w:rsid w:val="103D0BA2"/>
    <w:rsid w:val="103E48B7"/>
    <w:rsid w:val="103F5C65"/>
    <w:rsid w:val="10414F72"/>
    <w:rsid w:val="10435382"/>
    <w:rsid w:val="104C1361"/>
    <w:rsid w:val="10556DBB"/>
    <w:rsid w:val="10595FBD"/>
    <w:rsid w:val="105C0433"/>
    <w:rsid w:val="105C33D3"/>
    <w:rsid w:val="105E23FD"/>
    <w:rsid w:val="1067038F"/>
    <w:rsid w:val="106F63B8"/>
    <w:rsid w:val="10817E99"/>
    <w:rsid w:val="10953945"/>
    <w:rsid w:val="1096761C"/>
    <w:rsid w:val="109951E3"/>
    <w:rsid w:val="109D1177"/>
    <w:rsid w:val="109F26BD"/>
    <w:rsid w:val="10A1594A"/>
    <w:rsid w:val="10A5614F"/>
    <w:rsid w:val="10AE1D05"/>
    <w:rsid w:val="10B91E62"/>
    <w:rsid w:val="10BE1BE7"/>
    <w:rsid w:val="10BF3AD4"/>
    <w:rsid w:val="10C85AC8"/>
    <w:rsid w:val="10D31FAC"/>
    <w:rsid w:val="10D413FD"/>
    <w:rsid w:val="10DD253A"/>
    <w:rsid w:val="10DD419A"/>
    <w:rsid w:val="10E072B6"/>
    <w:rsid w:val="10E16EA2"/>
    <w:rsid w:val="10E178FF"/>
    <w:rsid w:val="10EC7CA6"/>
    <w:rsid w:val="10EF74F9"/>
    <w:rsid w:val="10F93234"/>
    <w:rsid w:val="10FA431D"/>
    <w:rsid w:val="10FC6398"/>
    <w:rsid w:val="11003900"/>
    <w:rsid w:val="110B7891"/>
    <w:rsid w:val="11125AA7"/>
    <w:rsid w:val="111C3A3A"/>
    <w:rsid w:val="111D1A3C"/>
    <w:rsid w:val="111D7BC2"/>
    <w:rsid w:val="11287AF5"/>
    <w:rsid w:val="112D6274"/>
    <w:rsid w:val="11335637"/>
    <w:rsid w:val="113E3FDC"/>
    <w:rsid w:val="113F4FF3"/>
    <w:rsid w:val="11441677"/>
    <w:rsid w:val="114F2D0E"/>
    <w:rsid w:val="11543643"/>
    <w:rsid w:val="115B3BDC"/>
    <w:rsid w:val="115B4B8E"/>
    <w:rsid w:val="115E37E9"/>
    <w:rsid w:val="116D6B65"/>
    <w:rsid w:val="116F79B7"/>
    <w:rsid w:val="117143B2"/>
    <w:rsid w:val="1178642B"/>
    <w:rsid w:val="11813B96"/>
    <w:rsid w:val="118A31F7"/>
    <w:rsid w:val="118E1F67"/>
    <w:rsid w:val="119074D8"/>
    <w:rsid w:val="1194344E"/>
    <w:rsid w:val="119B4D4D"/>
    <w:rsid w:val="11A04F42"/>
    <w:rsid w:val="11A90994"/>
    <w:rsid w:val="11AE2F10"/>
    <w:rsid w:val="11C412E0"/>
    <w:rsid w:val="11CB13F5"/>
    <w:rsid w:val="11D23F92"/>
    <w:rsid w:val="11D247E0"/>
    <w:rsid w:val="11D86EAE"/>
    <w:rsid w:val="11DC2C5C"/>
    <w:rsid w:val="11E1766F"/>
    <w:rsid w:val="11E22BBA"/>
    <w:rsid w:val="11E64B3D"/>
    <w:rsid w:val="11E74565"/>
    <w:rsid w:val="11E76422"/>
    <w:rsid w:val="11E9616D"/>
    <w:rsid w:val="11EB41F5"/>
    <w:rsid w:val="11EE77B0"/>
    <w:rsid w:val="11EF60BB"/>
    <w:rsid w:val="11F62EE9"/>
    <w:rsid w:val="11F86D77"/>
    <w:rsid w:val="11FA721D"/>
    <w:rsid w:val="12045226"/>
    <w:rsid w:val="12095A3E"/>
    <w:rsid w:val="120C0775"/>
    <w:rsid w:val="120D35E2"/>
    <w:rsid w:val="1212349F"/>
    <w:rsid w:val="121355DB"/>
    <w:rsid w:val="12210E7B"/>
    <w:rsid w:val="1226659C"/>
    <w:rsid w:val="122753E4"/>
    <w:rsid w:val="122D0061"/>
    <w:rsid w:val="123155A1"/>
    <w:rsid w:val="12333C10"/>
    <w:rsid w:val="123769F4"/>
    <w:rsid w:val="12473D7F"/>
    <w:rsid w:val="124D2729"/>
    <w:rsid w:val="124E024F"/>
    <w:rsid w:val="125062A1"/>
    <w:rsid w:val="125C38BD"/>
    <w:rsid w:val="12664815"/>
    <w:rsid w:val="126C4B0A"/>
    <w:rsid w:val="127D6304"/>
    <w:rsid w:val="128C0640"/>
    <w:rsid w:val="12954ADC"/>
    <w:rsid w:val="12960CDE"/>
    <w:rsid w:val="129C6349"/>
    <w:rsid w:val="129E34BA"/>
    <w:rsid w:val="12B46304"/>
    <w:rsid w:val="12BE3627"/>
    <w:rsid w:val="12BE7183"/>
    <w:rsid w:val="12C40726"/>
    <w:rsid w:val="12C64289"/>
    <w:rsid w:val="12C7072D"/>
    <w:rsid w:val="12CB4732"/>
    <w:rsid w:val="12D5073B"/>
    <w:rsid w:val="12D75CEB"/>
    <w:rsid w:val="12D83555"/>
    <w:rsid w:val="12D93FBD"/>
    <w:rsid w:val="12DF7C4D"/>
    <w:rsid w:val="12E3308D"/>
    <w:rsid w:val="12E43DCF"/>
    <w:rsid w:val="12E62E70"/>
    <w:rsid w:val="12EC0194"/>
    <w:rsid w:val="12F02E71"/>
    <w:rsid w:val="12F40DF6"/>
    <w:rsid w:val="12FA57FD"/>
    <w:rsid w:val="13024FF1"/>
    <w:rsid w:val="130519AD"/>
    <w:rsid w:val="13054DB2"/>
    <w:rsid w:val="1307145F"/>
    <w:rsid w:val="13076E22"/>
    <w:rsid w:val="131B3BB9"/>
    <w:rsid w:val="13280AA0"/>
    <w:rsid w:val="132B25B1"/>
    <w:rsid w:val="133631BD"/>
    <w:rsid w:val="133B516B"/>
    <w:rsid w:val="133E0FD8"/>
    <w:rsid w:val="13426E05"/>
    <w:rsid w:val="134372EB"/>
    <w:rsid w:val="13453400"/>
    <w:rsid w:val="134E648D"/>
    <w:rsid w:val="136832BA"/>
    <w:rsid w:val="13695C36"/>
    <w:rsid w:val="136C704E"/>
    <w:rsid w:val="13710699"/>
    <w:rsid w:val="13767056"/>
    <w:rsid w:val="137D703E"/>
    <w:rsid w:val="13975FCE"/>
    <w:rsid w:val="139C03FB"/>
    <w:rsid w:val="13A35FA2"/>
    <w:rsid w:val="13B50586"/>
    <w:rsid w:val="13BE63AE"/>
    <w:rsid w:val="13C54441"/>
    <w:rsid w:val="13C82D78"/>
    <w:rsid w:val="13C87727"/>
    <w:rsid w:val="13D53B45"/>
    <w:rsid w:val="13DC453C"/>
    <w:rsid w:val="13DF6E73"/>
    <w:rsid w:val="13E175CD"/>
    <w:rsid w:val="13E7095B"/>
    <w:rsid w:val="13F1593A"/>
    <w:rsid w:val="13FD3CDB"/>
    <w:rsid w:val="13FD4129"/>
    <w:rsid w:val="140339E5"/>
    <w:rsid w:val="14067033"/>
    <w:rsid w:val="14092680"/>
    <w:rsid w:val="142A6E60"/>
    <w:rsid w:val="142F527C"/>
    <w:rsid w:val="14327BEE"/>
    <w:rsid w:val="1434290B"/>
    <w:rsid w:val="143474F1"/>
    <w:rsid w:val="14357918"/>
    <w:rsid w:val="14362BD1"/>
    <w:rsid w:val="143F5FAA"/>
    <w:rsid w:val="144B0EEA"/>
    <w:rsid w:val="144F3ACE"/>
    <w:rsid w:val="14524026"/>
    <w:rsid w:val="1454727D"/>
    <w:rsid w:val="14553B17"/>
    <w:rsid w:val="145A7513"/>
    <w:rsid w:val="14644BBB"/>
    <w:rsid w:val="1477078D"/>
    <w:rsid w:val="1480655B"/>
    <w:rsid w:val="14812B5E"/>
    <w:rsid w:val="14830684"/>
    <w:rsid w:val="14832432"/>
    <w:rsid w:val="1484324D"/>
    <w:rsid w:val="148461AA"/>
    <w:rsid w:val="148553CE"/>
    <w:rsid w:val="14883EEC"/>
    <w:rsid w:val="148E6A4C"/>
    <w:rsid w:val="14952165"/>
    <w:rsid w:val="14991DEC"/>
    <w:rsid w:val="149E655B"/>
    <w:rsid w:val="14AA3E63"/>
    <w:rsid w:val="14AC7060"/>
    <w:rsid w:val="14B03698"/>
    <w:rsid w:val="14B167FF"/>
    <w:rsid w:val="14B75363"/>
    <w:rsid w:val="14BD65D4"/>
    <w:rsid w:val="14BE62F2"/>
    <w:rsid w:val="14C34F24"/>
    <w:rsid w:val="14CE3295"/>
    <w:rsid w:val="14D16651"/>
    <w:rsid w:val="14D26F15"/>
    <w:rsid w:val="14D427D3"/>
    <w:rsid w:val="14D74BF1"/>
    <w:rsid w:val="14DC5FE6"/>
    <w:rsid w:val="14E32ED1"/>
    <w:rsid w:val="14E63240"/>
    <w:rsid w:val="14EA24B1"/>
    <w:rsid w:val="14EF1875"/>
    <w:rsid w:val="14FC3F92"/>
    <w:rsid w:val="14FE41AE"/>
    <w:rsid w:val="1504755B"/>
    <w:rsid w:val="150712B5"/>
    <w:rsid w:val="151E65FF"/>
    <w:rsid w:val="152127FE"/>
    <w:rsid w:val="152655BA"/>
    <w:rsid w:val="15267BD5"/>
    <w:rsid w:val="1527568C"/>
    <w:rsid w:val="152C56B4"/>
    <w:rsid w:val="153E1664"/>
    <w:rsid w:val="15435C00"/>
    <w:rsid w:val="15451DDD"/>
    <w:rsid w:val="154A1004"/>
    <w:rsid w:val="155073CC"/>
    <w:rsid w:val="1552003B"/>
    <w:rsid w:val="155555EA"/>
    <w:rsid w:val="155C16B2"/>
    <w:rsid w:val="155E4A4F"/>
    <w:rsid w:val="156E2000"/>
    <w:rsid w:val="156E30E2"/>
    <w:rsid w:val="15724254"/>
    <w:rsid w:val="157A747A"/>
    <w:rsid w:val="15806971"/>
    <w:rsid w:val="1591146B"/>
    <w:rsid w:val="159259DB"/>
    <w:rsid w:val="15973CBB"/>
    <w:rsid w:val="15995C85"/>
    <w:rsid w:val="159B12DE"/>
    <w:rsid w:val="159D1D5D"/>
    <w:rsid w:val="159D5775"/>
    <w:rsid w:val="159E329B"/>
    <w:rsid w:val="15A02B70"/>
    <w:rsid w:val="15A5462A"/>
    <w:rsid w:val="15A72150"/>
    <w:rsid w:val="15A8150E"/>
    <w:rsid w:val="15AE7982"/>
    <w:rsid w:val="15B33262"/>
    <w:rsid w:val="15BD4731"/>
    <w:rsid w:val="15BE749A"/>
    <w:rsid w:val="15C33CB3"/>
    <w:rsid w:val="15CC1BB7"/>
    <w:rsid w:val="15D05B4B"/>
    <w:rsid w:val="15D13671"/>
    <w:rsid w:val="15D46CBD"/>
    <w:rsid w:val="15D867AD"/>
    <w:rsid w:val="15DA1140"/>
    <w:rsid w:val="15DB268D"/>
    <w:rsid w:val="15DF44BE"/>
    <w:rsid w:val="15EE1307"/>
    <w:rsid w:val="15EF4DFF"/>
    <w:rsid w:val="15F630D7"/>
    <w:rsid w:val="15F967B3"/>
    <w:rsid w:val="16003FC0"/>
    <w:rsid w:val="16007AB2"/>
    <w:rsid w:val="16011215"/>
    <w:rsid w:val="160457F4"/>
    <w:rsid w:val="16090D0A"/>
    <w:rsid w:val="160B2645"/>
    <w:rsid w:val="160D0296"/>
    <w:rsid w:val="16114A0C"/>
    <w:rsid w:val="16140DEE"/>
    <w:rsid w:val="16196CEE"/>
    <w:rsid w:val="1622065F"/>
    <w:rsid w:val="16227A29"/>
    <w:rsid w:val="162E6FEA"/>
    <w:rsid w:val="16306CB5"/>
    <w:rsid w:val="163634D4"/>
    <w:rsid w:val="163934C9"/>
    <w:rsid w:val="163B747F"/>
    <w:rsid w:val="163C4F8E"/>
    <w:rsid w:val="163E47A2"/>
    <w:rsid w:val="16451D2C"/>
    <w:rsid w:val="16491459"/>
    <w:rsid w:val="164B51D1"/>
    <w:rsid w:val="164C1885"/>
    <w:rsid w:val="164C2CF7"/>
    <w:rsid w:val="16512C66"/>
    <w:rsid w:val="16534C52"/>
    <w:rsid w:val="16610EFD"/>
    <w:rsid w:val="1666781F"/>
    <w:rsid w:val="16783AEC"/>
    <w:rsid w:val="167B0147"/>
    <w:rsid w:val="167E2E5B"/>
    <w:rsid w:val="168C2EEF"/>
    <w:rsid w:val="168D3CF3"/>
    <w:rsid w:val="16970417"/>
    <w:rsid w:val="169D3553"/>
    <w:rsid w:val="16B30AE1"/>
    <w:rsid w:val="16B43836"/>
    <w:rsid w:val="16B70AB9"/>
    <w:rsid w:val="16BA4105"/>
    <w:rsid w:val="16BD5CDA"/>
    <w:rsid w:val="16BE69CE"/>
    <w:rsid w:val="16CE3958"/>
    <w:rsid w:val="16D03928"/>
    <w:rsid w:val="16D97DC7"/>
    <w:rsid w:val="16E3365C"/>
    <w:rsid w:val="16E54A4E"/>
    <w:rsid w:val="16EC492F"/>
    <w:rsid w:val="1700420E"/>
    <w:rsid w:val="17081314"/>
    <w:rsid w:val="170D06D9"/>
    <w:rsid w:val="170D2487"/>
    <w:rsid w:val="17151105"/>
    <w:rsid w:val="171B2960"/>
    <w:rsid w:val="17211B5D"/>
    <w:rsid w:val="17256CE1"/>
    <w:rsid w:val="17285513"/>
    <w:rsid w:val="172872C1"/>
    <w:rsid w:val="172B6DB1"/>
    <w:rsid w:val="172D0D7B"/>
    <w:rsid w:val="173A0E4F"/>
    <w:rsid w:val="173B5246"/>
    <w:rsid w:val="173D3E77"/>
    <w:rsid w:val="173D68BB"/>
    <w:rsid w:val="17431887"/>
    <w:rsid w:val="17481C73"/>
    <w:rsid w:val="174836DA"/>
    <w:rsid w:val="17684793"/>
    <w:rsid w:val="176A5B2B"/>
    <w:rsid w:val="176B58AB"/>
    <w:rsid w:val="176D1177"/>
    <w:rsid w:val="177845C9"/>
    <w:rsid w:val="178D1819"/>
    <w:rsid w:val="17914E66"/>
    <w:rsid w:val="17917D74"/>
    <w:rsid w:val="17947F19"/>
    <w:rsid w:val="17950011"/>
    <w:rsid w:val="179D3C92"/>
    <w:rsid w:val="17A10E21"/>
    <w:rsid w:val="17A85737"/>
    <w:rsid w:val="17B15700"/>
    <w:rsid w:val="17B814A8"/>
    <w:rsid w:val="17C0399D"/>
    <w:rsid w:val="17C24895"/>
    <w:rsid w:val="17C36FE9"/>
    <w:rsid w:val="17E170AC"/>
    <w:rsid w:val="17E20185"/>
    <w:rsid w:val="17E20250"/>
    <w:rsid w:val="17E51656"/>
    <w:rsid w:val="17F329A6"/>
    <w:rsid w:val="17F871FD"/>
    <w:rsid w:val="17FE06E4"/>
    <w:rsid w:val="18044590"/>
    <w:rsid w:val="18055854"/>
    <w:rsid w:val="180D4E89"/>
    <w:rsid w:val="181602D3"/>
    <w:rsid w:val="18161D69"/>
    <w:rsid w:val="181A3234"/>
    <w:rsid w:val="181C3E1E"/>
    <w:rsid w:val="182C4B26"/>
    <w:rsid w:val="182D1850"/>
    <w:rsid w:val="183D4058"/>
    <w:rsid w:val="184229CE"/>
    <w:rsid w:val="184B380D"/>
    <w:rsid w:val="184C6FDF"/>
    <w:rsid w:val="18577262"/>
    <w:rsid w:val="186913B9"/>
    <w:rsid w:val="186F1A5A"/>
    <w:rsid w:val="1881137E"/>
    <w:rsid w:val="18836BCC"/>
    <w:rsid w:val="188F0F8B"/>
    <w:rsid w:val="189B5D97"/>
    <w:rsid w:val="18A14754"/>
    <w:rsid w:val="18A32063"/>
    <w:rsid w:val="18A55392"/>
    <w:rsid w:val="18AF6EC4"/>
    <w:rsid w:val="18B31A70"/>
    <w:rsid w:val="18BB355D"/>
    <w:rsid w:val="18C461F0"/>
    <w:rsid w:val="18C536A3"/>
    <w:rsid w:val="18C60A94"/>
    <w:rsid w:val="18CB084B"/>
    <w:rsid w:val="18D442CB"/>
    <w:rsid w:val="18D71DD8"/>
    <w:rsid w:val="18DB7BBC"/>
    <w:rsid w:val="18E216F1"/>
    <w:rsid w:val="18E322BF"/>
    <w:rsid w:val="18E44402"/>
    <w:rsid w:val="18E77701"/>
    <w:rsid w:val="18F5116E"/>
    <w:rsid w:val="190340F9"/>
    <w:rsid w:val="190568F9"/>
    <w:rsid w:val="19124F6A"/>
    <w:rsid w:val="19242A1C"/>
    <w:rsid w:val="19265A82"/>
    <w:rsid w:val="192B12EA"/>
    <w:rsid w:val="19313AE7"/>
    <w:rsid w:val="1936518C"/>
    <w:rsid w:val="193E726F"/>
    <w:rsid w:val="194175B6"/>
    <w:rsid w:val="194B54E8"/>
    <w:rsid w:val="194C2307"/>
    <w:rsid w:val="194D37D0"/>
    <w:rsid w:val="195754C6"/>
    <w:rsid w:val="19596F19"/>
    <w:rsid w:val="19597DE9"/>
    <w:rsid w:val="196B1588"/>
    <w:rsid w:val="197174BD"/>
    <w:rsid w:val="19720CC7"/>
    <w:rsid w:val="197607B7"/>
    <w:rsid w:val="197D7D98"/>
    <w:rsid w:val="19831126"/>
    <w:rsid w:val="19880B1B"/>
    <w:rsid w:val="1991739F"/>
    <w:rsid w:val="199364A5"/>
    <w:rsid w:val="19AF1F1B"/>
    <w:rsid w:val="19B133AF"/>
    <w:rsid w:val="19B17A0A"/>
    <w:rsid w:val="19BA156E"/>
    <w:rsid w:val="19BE6530"/>
    <w:rsid w:val="19C73E97"/>
    <w:rsid w:val="19C968E8"/>
    <w:rsid w:val="19E020D4"/>
    <w:rsid w:val="19E30D3E"/>
    <w:rsid w:val="19E90135"/>
    <w:rsid w:val="19EC6CCB"/>
    <w:rsid w:val="19F077E8"/>
    <w:rsid w:val="19FC385E"/>
    <w:rsid w:val="1A014D68"/>
    <w:rsid w:val="1A02204B"/>
    <w:rsid w:val="1A1114E8"/>
    <w:rsid w:val="1A122BC9"/>
    <w:rsid w:val="1A174179"/>
    <w:rsid w:val="1A18186E"/>
    <w:rsid w:val="1A1D0C33"/>
    <w:rsid w:val="1A2361DE"/>
    <w:rsid w:val="1A2D1CA6"/>
    <w:rsid w:val="1A3174C7"/>
    <w:rsid w:val="1A383F32"/>
    <w:rsid w:val="1A3F504D"/>
    <w:rsid w:val="1A424B3D"/>
    <w:rsid w:val="1A4A7EC5"/>
    <w:rsid w:val="1A4D493F"/>
    <w:rsid w:val="1A4F2DB6"/>
    <w:rsid w:val="1A5D0811"/>
    <w:rsid w:val="1A696AC4"/>
    <w:rsid w:val="1A6A64BE"/>
    <w:rsid w:val="1A6E2201"/>
    <w:rsid w:val="1A7353E6"/>
    <w:rsid w:val="1A741638"/>
    <w:rsid w:val="1A7D3DC7"/>
    <w:rsid w:val="1A8326B7"/>
    <w:rsid w:val="1A8470D5"/>
    <w:rsid w:val="1A867F89"/>
    <w:rsid w:val="1A8A0CDA"/>
    <w:rsid w:val="1A8C4532"/>
    <w:rsid w:val="1A906823"/>
    <w:rsid w:val="1AA107CB"/>
    <w:rsid w:val="1AA80FE1"/>
    <w:rsid w:val="1AAC1D72"/>
    <w:rsid w:val="1AAD228C"/>
    <w:rsid w:val="1AB943B7"/>
    <w:rsid w:val="1AC90407"/>
    <w:rsid w:val="1ACD08AB"/>
    <w:rsid w:val="1ADC734A"/>
    <w:rsid w:val="1AEE0ED0"/>
    <w:rsid w:val="1B0167A6"/>
    <w:rsid w:val="1B03691D"/>
    <w:rsid w:val="1B110E54"/>
    <w:rsid w:val="1B1418BE"/>
    <w:rsid w:val="1B1433F2"/>
    <w:rsid w:val="1B18370C"/>
    <w:rsid w:val="1B1F59AD"/>
    <w:rsid w:val="1B251795"/>
    <w:rsid w:val="1B261D69"/>
    <w:rsid w:val="1B2673B2"/>
    <w:rsid w:val="1B327DFC"/>
    <w:rsid w:val="1B37016F"/>
    <w:rsid w:val="1B43606F"/>
    <w:rsid w:val="1B497D4B"/>
    <w:rsid w:val="1B4F270F"/>
    <w:rsid w:val="1B590390"/>
    <w:rsid w:val="1B5E3125"/>
    <w:rsid w:val="1B6A60FA"/>
    <w:rsid w:val="1B6C11C8"/>
    <w:rsid w:val="1B6D0B86"/>
    <w:rsid w:val="1B70391D"/>
    <w:rsid w:val="1B707488"/>
    <w:rsid w:val="1B715935"/>
    <w:rsid w:val="1B721A08"/>
    <w:rsid w:val="1B80591D"/>
    <w:rsid w:val="1B8126FA"/>
    <w:rsid w:val="1B8371BB"/>
    <w:rsid w:val="1B855224"/>
    <w:rsid w:val="1B8875AF"/>
    <w:rsid w:val="1B8A679C"/>
    <w:rsid w:val="1B930AD5"/>
    <w:rsid w:val="1B965141"/>
    <w:rsid w:val="1BA2759C"/>
    <w:rsid w:val="1BA535D6"/>
    <w:rsid w:val="1BA60433"/>
    <w:rsid w:val="1BA76296"/>
    <w:rsid w:val="1BB11F7A"/>
    <w:rsid w:val="1BB750B7"/>
    <w:rsid w:val="1BBA62E9"/>
    <w:rsid w:val="1BC455EE"/>
    <w:rsid w:val="1BC565DC"/>
    <w:rsid w:val="1BCD48DA"/>
    <w:rsid w:val="1BDA0D89"/>
    <w:rsid w:val="1BDF3A0A"/>
    <w:rsid w:val="1BE80EF6"/>
    <w:rsid w:val="1BEF424D"/>
    <w:rsid w:val="1BEF7C4F"/>
    <w:rsid w:val="1BF20A61"/>
    <w:rsid w:val="1BF954ED"/>
    <w:rsid w:val="1BF956CF"/>
    <w:rsid w:val="1BFB468E"/>
    <w:rsid w:val="1BFC2ACA"/>
    <w:rsid w:val="1BFF6B87"/>
    <w:rsid w:val="1C035D31"/>
    <w:rsid w:val="1C0E117B"/>
    <w:rsid w:val="1C100BB9"/>
    <w:rsid w:val="1C136D8A"/>
    <w:rsid w:val="1C1D316C"/>
    <w:rsid w:val="1C1D75AD"/>
    <w:rsid w:val="1C1E6BE2"/>
    <w:rsid w:val="1C2C7853"/>
    <w:rsid w:val="1C452578"/>
    <w:rsid w:val="1C4B4B3B"/>
    <w:rsid w:val="1C5A0D28"/>
    <w:rsid w:val="1C5B5A42"/>
    <w:rsid w:val="1C5E7EC4"/>
    <w:rsid w:val="1C607A2E"/>
    <w:rsid w:val="1C6B35FB"/>
    <w:rsid w:val="1C784104"/>
    <w:rsid w:val="1C7A05BE"/>
    <w:rsid w:val="1C8F1B2E"/>
    <w:rsid w:val="1C954CD6"/>
    <w:rsid w:val="1C994EC8"/>
    <w:rsid w:val="1C9A4142"/>
    <w:rsid w:val="1CA2734E"/>
    <w:rsid w:val="1CA44644"/>
    <w:rsid w:val="1CB4492A"/>
    <w:rsid w:val="1CBA322D"/>
    <w:rsid w:val="1CBF19D2"/>
    <w:rsid w:val="1CC73DEA"/>
    <w:rsid w:val="1CC916A3"/>
    <w:rsid w:val="1CCC09D0"/>
    <w:rsid w:val="1CD6156D"/>
    <w:rsid w:val="1CE65C54"/>
    <w:rsid w:val="1CEC09AD"/>
    <w:rsid w:val="1CF06D47"/>
    <w:rsid w:val="1D081F61"/>
    <w:rsid w:val="1D0870CF"/>
    <w:rsid w:val="1D185F8C"/>
    <w:rsid w:val="1D19579E"/>
    <w:rsid w:val="1D1D719C"/>
    <w:rsid w:val="1D1E0908"/>
    <w:rsid w:val="1D1F0D32"/>
    <w:rsid w:val="1D1F6293"/>
    <w:rsid w:val="1D206B8C"/>
    <w:rsid w:val="1D293D92"/>
    <w:rsid w:val="1D2B0222"/>
    <w:rsid w:val="1D2D5293"/>
    <w:rsid w:val="1D2F2FB7"/>
    <w:rsid w:val="1D323D10"/>
    <w:rsid w:val="1D376540"/>
    <w:rsid w:val="1D4F1A4B"/>
    <w:rsid w:val="1D5305B1"/>
    <w:rsid w:val="1D5A03F0"/>
    <w:rsid w:val="1D5B5B91"/>
    <w:rsid w:val="1D65301C"/>
    <w:rsid w:val="1D6B462A"/>
    <w:rsid w:val="1D6F3E9B"/>
    <w:rsid w:val="1D7457D3"/>
    <w:rsid w:val="1D7517E7"/>
    <w:rsid w:val="1D790876"/>
    <w:rsid w:val="1D7B481A"/>
    <w:rsid w:val="1D813BCE"/>
    <w:rsid w:val="1D862BB4"/>
    <w:rsid w:val="1D8C3B39"/>
    <w:rsid w:val="1D9B6A3E"/>
    <w:rsid w:val="1D9F5E03"/>
    <w:rsid w:val="1DA4146D"/>
    <w:rsid w:val="1DA51BD7"/>
    <w:rsid w:val="1DA52F17"/>
    <w:rsid w:val="1DC13FCB"/>
    <w:rsid w:val="1DC615E1"/>
    <w:rsid w:val="1DC62751"/>
    <w:rsid w:val="1DCD0BC2"/>
    <w:rsid w:val="1DCD642E"/>
    <w:rsid w:val="1DD714CA"/>
    <w:rsid w:val="1DE1641B"/>
    <w:rsid w:val="1DEE1D7B"/>
    <w:rsid w:val="1DF0613F"/>
    <w:rsid w:val="1DF4775D"/>
    <w:rsid w:val="1DFA6CCA"/>
    <w:rsid w:val="1E0A4DB8"/>
    <w:rsid w:val="1E0D1DFA"/>
    <w:rsid w:val="1E0F4C28"/>
    <w:rsid w:val="1E1172D3"/>
    <w:rsid w:val="1E144269"/>
    <w:rsid w:val="1E2076B7"/>
    <w:rsid w:val="1E210D49"/>
    <w:rsid w:val="1E2A6054"/>
    <w:rsid w:val="1E2E3A39"/>
    <w:rsid w:val="1E3173A3"/>
    <w:rsid w:val="1E370E0A"/>
    <w:rsid w:val="1E390005"/>
    <w:rsid w:val="1E3D5D47"/>
    <w:rsid w:val="1E462B8B"/>
    <w:rsid w:val="1E4B4FD8"/>
    <w:rsid w:val="1E5F1377"/>
    <w:rsid w:val="1E6C3BCE"/>
    <w:rsid w:val="1E751F95"/>
    <w:rsid w:val="1E7767C7"/>
    <w:rsid w:val="1E797BD7"/>
    <w:rsid w:val="1E86075E"/>
    <w:rsid w:val="1E875215"/>
    <w:rsid w:val="1E9860EB"/>
    <w:rsid w:val="1E9A6CF6"/>
    <w:rsid w:val="1EA77665"/>
    <w:rsid w:val="1EA93EBF"/>
    <w:rsid w:val="1EB1403F"/>
    <w:rsid w:val="1EB53569"/>
    <w:rsid w:val="1EB6330F"/>
    <w:rsid w:val="1EB82905"/>
    <w:rsid w:val="1EC9410B"/>
    <w:rsid w:val="1EE1179C"/>
    <w:rsid w:val="1EE214C0"/>
    <w:rsid w:val="1EE278E0"/>
    <w:rsid w:val="1EF3123C"/>
    <w:rsid w:val="1EF55B62"/>
    <w:rsid w:val="1EF65EF6"/>
    <w:rsid w:val="1F0B3750"/>
    <w:rsid w:val="1F0B7084"/>
    <w:rsid w:val="1F1702FA"/>
    <w:rsid w:val="1F1B4728"/>
    <w:rsid w:val="1F2070D4"/>
    <w:rsid w:val="1F24386A"/>
    <w:rsid w:val="1F29007A"/>
    <w:rsid w:val="1F2C5FA4"/>
    <w:rsid w:val="1F2E521C"/>
    <w:rsid w:val="1F301408"/>
    <w:rsid w:val="1F360D7E"/>
    <w:rsid w:val="1F36422B"/>
    <w:rsid w:val="1F433D04"/>
    <w:rsid w:val="1F4D0EF4"/>
    <w:rsid w:val="1F552FA7"/>
    <w:rsid w:val="1F574CD6"/>
    <w:rsid w:val="1F617814"/>
    <w:rsid w:val="1F666BD8"/>
    <w:rsid w:val="1F690C77"/>
    <w:rsid w:val="1F703E42"/>
    <w:rsid w:val="1F737547"/>
    <w:rsid w:val="1F761C0B"/>
    <w:rsid w:val="1F784B5D"/>
    <w:rsid w:val="1F807593"/>
    <w:rsid w:val="1F8F21C2"/>
    <w:rsid w:val="1F9626BE"/>
    <w:rsid w:val="1F976D27"/>
    <w:rsid w:val="1F9B218F"/>
    <w:rsid w:val="1FA00D60"/>
    <w:rsid w:val="1FA344E3"/>
    <w:rsid w:val="1FB97650"/>
    <w:rsid w:val="1FBA5176"/>
    <w:rsid w:val="1FBD6F82"/>
    <w:rsid w:val="1FC009DE"/>
    <w:rsid w:val="1FC102B2"/>
    <w:rsid w:val="1FC14DBD"/>
    <w:rsid w:val="1FC16504"/>
    <w:rsid w:val="1FC472A5"/>
    <w:rsid w:val="1FC758F5"/>
    <w:rsid w:val="1FCD4EA9"/>
    <w:rsid w:val="1FCD625C"/>
    <w:rsid w:val="1FCE5246"/>
    <w:rsid w:val="1FD004A7"/>
    <w:rsid w:val="1FD53695"/>
    <w:rsid w:val="1FED37B9"/>
    <w:rsid w:val="20023FEF"/>
    <w:rsid w:val="2012795A"/>
    <w:rsid w:val="202A56CE"/>
    <w:rsid w:val="20311017"/>
    <w:rsid w:val="20313EAC"/>
    <w:rsid w:val="20317AED"/>
    <w:rsid w:val="203E1903"/>
    <w:rsid w:val="203E74FC"/>
    <w:rsid w:val="20445069"/>
    <w:rsid w:val="20445CF6"/>
    <w:rsid w:val="20452D6E"/>
    <w:rsid w:val="204557E3"/>
    <w:rsid w:val="20457135"/>
    <w:rsid w:val="20463307"/>
    <w:rsid w:val="204721AA"/>
    <w:rsid w:val="204A474C"/>
    <w:rsid w:val="20516442"/>
    <w:rsid w:val="20517888"/>
    <w:rsid w:val="205B7CB4"/>
    <w:rsid w:val="20607ACB"/>
    <w:rsid w:val="2076401A"/>
    <w:rsid w:val="20783067"/>
    <w:rsid w:val="207B26EE"/>
    <w:rsid w:val="207B3A1F"/>
    <w:rsid w:val="2080206C"/>
    <w:rsid w:val="20814CCB"/>
    <w:rsid w:val="20825957"/>
    <w:rsid w:val="20897B81"/>
    <w:rsid w:val="208A0FEC"/>
    <w:rsid w:val="20930891"/>
    <w:rsid w:val="2096173F"/>
    <w:rsid w:val="209E05F3"/>
    <w:rsid w:val="20A43EB9"/>
    <w:rsid w:val="20A63400"/>
    <w:rsid w:val="20A756FA"/>
    <w:rsid w:val="20AD455D"/>
    <w:rsid w:val="20AE57E6"/>
    <w:rsid w:val="20B06AF5"/>
    <w:rsid w:val="20B87907"/>
    <w:rsid w:val="20BD2233"/>
    <w:rsid w:val="20BE3384"/>
    <w:rsid w:val="20C067BC"/>
    <w:rsid w:val="20C11FAE"/>
    <w:rsid w:val="20C72BF8"/>
    <w:rsid w:val="20D33D76"/>
    <w:rsid w:val="20DB53A4"/>
    <w:rsid w:val="20DC26D0"/>
    <w:rsid w:val="20DD104C"/>
    <w:rsid w:val="20E805DE"/>
    <w:rsid w:val="20EB5EB9"/>
    <w:rsid w:val="20EC0B7F"/>
    <w:rsid w:val="20EE7201"/>
    <w:rsid w:val="20F33B84"/>
    <w:rsid w:val="20F6042F"/>
    <w:rsid w:val="20F84942"/>
    <w:rsid w:val="20F90AD0"/>
    <w:rsid w:val="20FB5A46"/>
    <w:rsid w:val="20FC5411"/>
    <w:rsid w:val="21031E9A"/>
    <w:rsid w:val="21033044"/>
    <w:rsid w:val="21034127"/>
    <w:rsid w:val="2107175D"/>
    <w:rsid w:val="21130FE1"/>
    <w:rsid w:val="21334C40"/>
    <w:rsid w:val="21366A7E"/>
    <w:rsid w:val="21376B82"/>
    <w:rsid w:val="21381B3A"/>
    <w:rsid w:val="213B257B"/>
    <w:rsid w:val="213F00CE"/>
    <w:rsid w:val="213F3B84"/>
    <w:rsid w:val="21425423"/>
    <w:rsid w:val="21457CBE"/>
    <w:rsid w:val="2147554F"/>
    <w:rsid w:val="21537670"/>
    <w:rsid w:val="215F4A0D"/>
    <w:rsid w:val="21676C37"/>
    <w:rsid w:val="216B59E3"/>
    <w:rsid w:val="216F4323"/>
    <w:rsid w:val="216F733B"/>
    <w:rsid w:val="217560B0"/>
    <w:rsid w:val="21771FE5"/>
    <w:rsid w:val="21780E44"/>
    <w:rsid w:val="2188552B"/>
    <w:rsid w:val="219A06D8"/>
    <w:rsid w:val="219D08AB"/>
    <w:rsid w:val="21A00408"/>
    <w:rsid w:val="21A16264"/>
    <w:rsid w:val="21B53586"/>
    <w:rsid w:val="21C00D8A"/>
    <w:rsid w:val="21C10A3D"/>
    <w:rsid w:val="21C16B6F"/>
    <w:rsid w:val="21C34002"/>
    <w:rsid w:val="21C62615"/>
    <w:rsid w:val="21C66054"/>
    <w:rsid w:val="21D4266A"/>
    <w:rsid w:val="21D60813"/>
    <w:rsid w:val="21D90BF9"/>
    <w:rsid w:val="21DC50BF"/>
    <w:rsid w:val="21F14FC0"/>
    <w:rsid w:val="21F33EFD"/>
    <w:rsid w:val="220A5F40"/>
    <w:rsid w:val="22146DBF"/>
    <w:rsid w:val="221B1A4E"/>
    <w:rsid w:val="222A37F0"/>
    <w:rsid w:val="223823A3"/>
    <w:rsid w:val="224372CA"/>
    <w:rsid w:val="22445ECF"/>
    <w:rsid w:val="22482F0D"/>
    <w:rsid w:val="22506727"/>
    <w:rsid w:val="2261178B"/>
    <w:rsid w:val="22630B62"/>
    <w:rsid w:val="226F3030"/>
    <w:rsid w:val="22717EF7"/>
    <w:rsid w:val="227E5C9D"/>
    <w:rsid w:val="22812F8F"/>
    <w:rsid w:val="228727F7"/>
    <w:rsid w:val="229B5F30"/>
    <w:rsid w:val="22AA14D2"/>
    <w:rsid w:val="22AA7723"/>
    <w:rsid w:val="22BC3EB7"/>
    <w:rsid w:val="22BD1BBF"/>
    <w:rsid w:val="22BD45D7"/>
    <w:rsid w:val="22C00E77"/>
    <w:rsid w:val="22C60B71"/>
    <w:rsid w:val="22D02936"/>
    <w:rsid w:val="22D05933"/>
    <w:rsid w:val="22D24A4D"/>
    <w:rsid w:val="22D30A28"/>
    <w:rsid w:val="22DB5B2F"/>
    <w:rsid w:val="22E22A19"/>
    <w:rsid w:val="22E52C9B"/>
    <w:rsid w:val="22F059E5"/>
    <w:rsid w:val="22FC5261"/>
    <w:rsid w:val="22FD5350"/>
    <w:rsid w:val="22FE1924"/>
    <w:rsid w:val="23007CB8"/>
    <w:rsid w:val="2302130E"/>
    <w:rsid w:val="230706D2"/>
    <w:rsid w:val="23134E96"/>
    <w:rsid w:val="23194D81"/>
    <w:rsid w:val="231A6657"/>
    <w:rsid w:val="23362D65"/>
    <w:rsid w:val="23393A5D"/>
    <w:rsid w:val="233A6758"/>
    <w:rsid w:val="23411E36"/>
    <w:rsid w:val="234436D4"/>
    <w:rsid w:val="23486C01"/>
    <w:rsid w:val="23556570"/>
    <w:rsid w:val="235A7056"/>
    <w:rsid w:val="23616034"/>
    <w:rsid w:val="23621DAC"/>
    <w:rsid w:val="23645B24"/>
    <w:rsid w:val="23672C8A"/>
    <w:rsid w:val="237613B4"/>
    <w:rsid w:val="237C0F3C"/>
    <w:rsid w:val="23904D06"/>
    <w:rsid w:val="23906919"/>
    <w:rsid w:val="23A300A3"/>
    <w:rsid w:val="23A323D7"/>
    <w:rsid w:val="23AE4F4C"/>
    <w:rsid w:val="23BA3EF6"/>
    <w:rsid w:val="23C640E9"/>
    <w:rsid w:val="23CC35A5"/>
    <w:rsid w:val="23D06D16"/>
    <w:rsid w:val="23D902C0"/>
    <w:rsid w:val="23D9206E"/>
    <w:rsid w:val="23DD0BFC"/>
    <w:rsid w:val="23DF2FA8"/>
    <w:rsid w:val="23E00EE5"/>
    <w:rsid w:val="23F231AE"/>
    <w:rsid w:val="23F6664F"/>
    <w:rsid w:val="23F821FE"/>
    <w:rsid w:val="23FF1D1D"/>
    <w:rsid w:val="23FF5750"/>
    <w:rsid w:val="24042E63"/>
    <w:rsid w:val="24150A21"/>
    <w:rsid w:val="241B0F50"/>
    <w:rsid w:val="241C63FF"/>
    <w:rsid w:val="242330B8"/>
    <w:rsid w:val="24266E50"/>
    <w:rsid w:val="24305BD3"/>
    <w:rsid w:val="243204A7"/>
    <w:rsid w:val="24390235"/>
    <w:rsid w:val="24391C07"/>
    <w:rsid w:val="243F083D"/>
    <w:rsid w:val="243F3E9B"/>
    <w:rsid w:val="24450BCF"/>
    <w:rsid w:val="2446776E"/>
    <w:rsid w:val="2449696F"/>
    <w:rsid w:val="2450029A"/>
    <w:rsid w:val="2455334D"/>
    <w:rsid w:val="24577437"/>
    <w:rsid w:val="24695B13"/>
    <w:rsid w:val="246A1D00"/>
    <w:rsid w:val="24772B22"/>
    <w:rsid w:val="247C0C4C"/>
    <w:rsid w:val="247E5135"/>
    <w:rsid w:val="2481129D"/>
    <w:rsid w:val="2485604C"/>
    <w:rsid w:val="248A0A7D"/>
    <w:rsid w:val="24967F5F"/>
    <w:rsid w:val="249D60D3"/>
    <w:rsid w:val="24A65CC9"/>
    <w:rsid w:val="24A96539"/>
    <w:rsid w:val="24C22047"/>
    <w:rsid w:val="24C46654"/>
    <w:rsid w:val="24CD6B6E"/>
    <w:rsid w:val="24D9609E"/>
    <w:rsid w:val="24E3729E"/>
    <w:rsid w:val="24E862E1"/>
    <w:rsid w:val="25071B35"/>
    <w:rsid w:val="250A07C3"/>
    <w:rsid w:val="252F5231"/>
    <w:rsid w:val="253711A7"/>
    <w:rsid w:val="253D3D04"/>
    <w:rsid w:val="254A073A"/>
    <w:rsid w:val="254B6F9C"/>
    <w:rsid w:val="2559688E"/>
    <w:rsid w:val="255E550E"/>
    <w:rsid w:val="256162F1"/>
    <w:rsid w:val="25644CD9"/>
    <w:rsid w:val="25653D07"/>
    <w:rsid w:val="25694D45"/>
    <w:rsid w:val="257F27A2"/>
    <w:rsid w:val="258B7119"/>
    <w:rsid w:val="258C1362"/>
    <w:rsid w:val="2591184A"/>
    <w:rsid w:val="25951FC5"/>
    <w:rsid w:val="25AD2225"/>
    <w:rsid w:val="25AD4AD5"/>
    <w:rsid w:val="25AF7C37"/>
    <w:rsid w:val="25B20291"/>
    <w:rsid w:val="25B636AB"/>
    <w:rsid w:val="25B92D29"/>
    <w:rsid w:val="25BD776E"/>
    <w:rsid w:val="25D626A7"/>
    <w:rsid w:val="25D710E1"/>
    <w:rsid w:val="25D92344"/>
    <w:rsid w:val="25E46AA9"/>
    <w:rsid w:val="25ED0061"/>
    <w:rsid w:val="25F0369F"/>
    <w:rsid w:val="25F03E08"/>
    <w:rsid w:val="25F653DC"/>
    <w:rsid w:val="25F9324C"/>
    <w:rsid w:val="26041520"/>
    <w:rsid w:val="262477ED"/>
    <w:rsid w:val="26263565"/>
    <w:rsid w:val="262B00FD"/>
    <w:rsid w:val="262F0073"/>
    <w:rsid w:val="26307F40"/>
    <w:rsid w:val="263537A8"/>
    <w:rsid w:val="264834DB"/>
    <w:rsid w:val="265005E2"/>
    <w:rsid w:val="26561E20"/>
    <w:rsid w:val="265754CC"/>
    <w:rsid w:val="265B5C80"/>
    <w:rsid w:val="265C4DF4"/>
    <w:rsid w:val="26600825"/>
    <w:rsid w:val="26614924"/>
    <w:rsid w:val="26661BB3"/>
    <w:rsid w:val="2669133F"/>
    <w:rsid w:val="26741FA5"/>
    <w:rsid w:val="267C5E66"/>
    <w:rsid w:val="26831598"/>
    <w:rsid w:val="26851904"/>
    <w:rsid w:val="268C1088"/>
    <w:rsid w:val="268E11BD"/>
    <w:rsid w:val="268F41C1"/>
    <w:rsid w:val="269A673C"/>
    <w:rsid w:val="26A050C5"/>
    <w:rsid w:val="26AF38E8"/>
    <w:rsid w:val="26B61F36"/>
    <w:rsid w:val="26BB44D0"/>
    <w:rsid w:val="26C12ADE"/>
    <w:rsid w:val="26C27698"/>
    <w:rsid w:val="26C74B1D"/>
    <w:rsid w:val="26C8226C"/>
    <w:rsid w:val="26C827B3"/>
    <w:rsid w:val="26CA7D26"/>
    <w:rsid w:val="26CD39E1"/>
    <w:rsid w:val="26CF1A96"/>
    <w:rsid w:val="26D905D7"/>
    <w:rsid w:val="26DA02E8"/>
    <w:rsid w:val="26DE5BEE"/>
    <w:rsid w:val="26E038BD"/>
    <w:rsid w:val="26E26D33"/>
    <w:rsid w:val="26EA49F0"/>
    <w:rsid w:val="26EA6341"/>
    <w:rsid w:val="26FB22FC"/>
    <w:rsid w:val="26FC437E"/>
    <w:rsid w:val="26FD42C6"/>
    <w:rsid w:val="26FF433E"/>
    <w:rsid w:val="2702368A"/>
    <w:rsid w:val="27066436"/>
    <w:rsid w:val="27096C04"/>
    <w:rsid w:val="270E4F90"/>
    <w:rsid w:val="270E64D3"/>
    <w:rsid w:val="27121405"/>
    <w:rsid w:val="2712523F"/>
    <w:rsid w:val="27195750"/>
    <w:rsid w:val="27206206"/>
    <w:rsid w:val="27263487"/>
    <w:rsid w:val="27475258"/>
    <w:rsid w:val="274870A5"/>
    <w:rsid w:val="27491CE2"/>
    <w:rsid w:val="27497346"/>
    <w:rsid w:val="274C00E7"/>
    <w:rsid w:val="274E4B21"/>
    <w:rsid w:val="27526510"/>
    <w:rsid w:val="27554346"/>
    <w:rsid w:val="275E4EAC"/>
    <w:rsid w:val="27736336"/>
    <w:rsid w:val="277F74D6"/>
    <w:rsid w:val="27893DAB"/>
    <w:rsid w:val="278C73F8"/>
    <w:rsid w:val="27930DA0"/>
    <w:rsid w:val="2799071E"/>
    <w:rsid w:val="279B2B20"/>
    <w:rsid w:val="279D281D"/>
    <w:rsid w:val="27A97B8C"/>
    <w:rsid w:val="27BA0C95"/>
    <w:rsid w:val="27BA50C6"/>
    <w:rsid w:val="27C110E8"/>
    <w:rsid w:val="27C2589A"/>
    <w:rsid w:val="27C37C91"/>
    <w:rsid w:val="27C608B1"/>
    <w:rsid w:val="27C84912"/>
    <w:rsid w:val="27CB2BC4"/>
    <w:rsid w:val="27CB2C5E"/>
    <w:rsid w:val="27CF033D"/>
    <w:rsid w:val="27D008CD"/>
    <w:rsid w:val="27D24728"/>
    <w:rsid w:val="27D46535"/>
    <w:rsid w:val="27D74B17"/>
    <w:rsid w:val="27E84793"/>
    <w:rsid w:val="27EB3F28"/>
    <w:rsid w:val="27F827E0"/>
    <w:rsid w:val="280E5870"/>
    <w:rsid w:val="28146ADA"/>
    <w:rsid w:val="28173D98"/>
    <w:rsid w:val="281B6B3C"/>
    <w:rsid w:val="281E2746"/>
    <w:rsid w:val="28250CC6"/>
    <w:rsid w:val="28251E9F"/>
    <w:rsid w:val="28285372"/>
    <w:rsid w:val="2829733C"/>
    <w:rsid w:val="283A4B96"/>
    <w:rsid w:val="284B190C"/>
    <w:rsid w:val="28527737"/>
    <w:rsid w:val="2854351E"/>
    <w:rsid w:val="285742FC"/>
    <w:rsid w:val="285C547F"/>
    <w:rsid w:val="285D1471"/>
    <w:rsid w:val="28606245"/>
    <w:rsid w:val="28645791"/>
    <w:rsid w:val="286D0FD7"/>
    <w:rsid w:val="28810F26"/>
    <w:rsid w:val="2887059C"/>
    <w:rsid w:val="288753C6"/>
    <w:rsid w:val="28893937"/>
    <w:rsid w:val="288A5FB2"/>
    <w:rsid w:val="288B58A3"/>
    <w:rsid w:val="2896209E"/>
    <w:rsid w:val="289851FD"/>
    <w:rsid w:val="289E0A26"/>
    <w:rsid w:val="28A0427A"/>
    <w:rsid w:val="28A138D1"/>
    <w:rsid w:val="28A32C4B"/>
    <w:rsid w:val="28A36707"/>
    <w:rsid w:val="28A71382"/>
    <w:rsid w:val="28AF35C6"/>
    <w:rsid w:val="28B06FF1"/>
    <w:rsid w:val="28B1024A"/>
    <w:rsid w:val="28B90FF5"/>
    <w:rsid w:val="28BB686A"/>
    <w:rsid w:val="28BC1F5F"/>
    <w:rsid w:val="28C57065"/>
    <w:rsid w:val="28C82C67"/>
    <w:rsid w:val="28D15A0A"/>
    <w:rsid w:val="28D37A3B"/>
    <w:rsid w:val="28DC43AF"/>
    <w:rsid w:val="28E21187"/>
    <w:rsid w:val="28F11C08"/>
    <w:rsid w:val="28F85BD2"/>
    <w:rsid w:val="28FC7098"/>
    <w:rsid w:val="2900507C"/>
    <w:rsid w:val="290731DA"/>
    <w:rsid w:val="290D0E0E"/>
    <w:rsid w:val="29171045"/>
    <w:rsid w:val="29211DC2"/>
    <w:rsid w:val="29220014"/>
    <w:rsid w:val="292B0F16"/>
    <w:rsid w:val="293748C1"/>
    <w:rsid w:val="29392A5F"/>
    <w:rsid w:val="2939345D"/>
    <w:rsid w:val="293935AF"/>
    <w:rsid w:val="29580D07"/>
    <w:rsid w:val="295B1778"/>
    <w:rsid w:val="295D54F0"/>
    <w:rsid w:val="29606D8E"/>
    <w:rsid w:val="296350A7"/>
    <w:rsid w:val="29653242"/>
    <w:rsid w:val="296617F0"/>
    <w:rsid w:val="296C5604"/>
    <w:rsid w:val="298939FC"/>
    <w:rsid w:val="298C3CA4"/>
    <w:rsid w:val="298D37D0"/>
    <w:rsid w:val="299130E9"/>
    <w:rsid w:val="29930F11"/>
    <w:rsid w:val="2994513B"/>
    <w:rsid w:val="2996455E"/>
    <w:rsid w:val="299B1B74"/>
    <w:rsid w:val="29A97F8A"/>
    <w:rsid w:val="29AC5B2F"/>
    <w:rsid w:val="29AD778D"/>
    <w:rsid w:val="29B47173"/>
    <w:rsid w:val="29BB1BAC"/>
    <w:rsid w:val="29C2692C"/>
    <w:rsid w:val="29C410CB"/>
    <w:rsid w:val="29C87D11"/>
    <w:rsid w:val="29D05CC2"/>
    <w:rsid w:val="29D15596"/>
    <w:rsid w:val="29DE07BC"/>
    <w:rsid w:val="29DF7CB3"/>
    <w:rsid w:val="29E057D9"/>
    <w:rsid w:val="29E1421C"/>
    <w:rsid w:val="29E4176D"/>
    <w:rsid w:val="29E6570E"/>
    <w:rsid w:val="29E94B0F"/>
    <w:rsid w:val="29EC61E5"/>
    <w:rsid w:val="29FC3140"/>
    <w:rsid w:val="29FD2C93"/>
    <w:rsid w:val="2A0911D4"/>
    <w:rsid w:val="2A190AFA"/>
    <w:rsid w:val="2A1F09F7"/>
    <w:rsid w:val="2A3049B2"/>
    <w:rsid w:val="2A331DAD"/>
    <w:rsid w:val="2A3527AE"/>
    <w:rsid w:val="2A3D6440"/>
    <w:rsid w:val="2A4B5348"/>
    <w:rsid w:val="2A4B5EB3"/>
    <w:rsid w:val="2A5F0DF4"/>
    <w:rsid w:val="2A5F5BA1"/>
    <w:rsid w:val="2A622692"/>
    <w:rsid w:val="2A656CB8"/>
    <w:rsid w:val="2A701253"/>
    <w:rsid w:val="2A765DEA"/>
    <w:rsid w:val="2A854FC4"/>
    <w:rsid w:val="2A872FE8"/>
    <w:rsid w:val="2A9211C9"/>
    <w:rsid w:val="2A932085"/>
    <w:rsid w:val="2A9413C9"/>
    <w:rsid w:val="2A944F41"/>
    <w:rsid w:val="2A9D36CA"/>
    <w:rsid w:val="2A9E191C"/>
    <w:rsid w:val="2AA42411"/>
    <w:rsid w:val="2AAA4BDE"/>
    <w:rsid w:val="2AB056E9"/>
    <w:rsid w:val="2AB23619"/>
    <w:rsid w:val="2AB34501"/>
    <w:rsid w:val="2ABB0C08"/>
    <w:rsid w:val="2AC1560A"/>
    <w:rsid w:val="2AC40751"/>
    <w:rsid w:val="2AC81228"/>
    <w:rsid w:val="2ACA4E23"/>
    <w:rsid w:val="2AD16F39"/>
    <w:rsid w:val="2AD27817"/>
    <w:rsid w:val="2AD30686"/>
    <w:rsid w:val="2AD57308"/>
    <w:rsid w:val="2AD838DF"/>
    <w:rsid w:val="2ADD0128"/>
    <w:rsid w:val="2AEA268E"/>
    <w:rsid w:val="2AF7445E"/>
    <w:rsid w:val="2AF91248"/>
    <w:rsid w:val="2AFE498C"/>
    <w:rsid w:val="2B0261C7"/>
    <w:rsid w:val="2B14199B"/>
    <w:rsid w:val="2B1616C0"/>
    <w:rsid w:val="2B1C6CE5"/>
    <w:rsid w:val="2B2067D5"/>
    <w:rsid w:val="2B277B63"/>
    <w:rsid w:val="2B2C172A"/>
    <w:rsid w:val="2B2D2CA0"/>
    <w:rsid w:val="2B3109E2"/>
    <w:rsid w:val="2B375A80"/>
    <w:rsid w:val="2B421E23"/>
    <w:rsid w:val="2B4326B6"/>
    <w:rsid w:val="2B5618EA"/>
    <w:rsid w:val="2B5D4325"/>
    <w:rsid w:val="2B5E554F"/>
    <w:rsid w:val="2B5F6586"/>
    <w:rsid w:val="2B620B9B"/>
    <w:rsid w:val="2B630856"/>
    <w:rsid w:val="2B6A60AE"/>
    <w:rsid w:val="2B6F0284"/>
    <w:rsid w:val="2B747BBA"/>
    <w:rsid w:val="2B801021"/>
    <w:rsid w:val="2B8A1EA0"/>
    <w:rsid w:val="2B971695"/>
    <w:rsid w:val="2B976789"/>
    <w:rsid w:val="2B9F0531"/>
    <w:rsid w:val="2B9F27E9"/>
    <w:rsid w:val="2B9F77CC"/>
    <w:rsid w:val="2BAE0029"/>
    <w:rsid w:val="2BAE3DE1"/>
    <w:rsid w:val="2BB12FF2"/>
    <w:rsid w:val="2BB60EE7"/>
    <w:rsid w:val="2BC3094D"/>
    <w:rsid w:val="2BC73198"/>
    <w:rsid w:val="2BDA3FB6"/>
    <w:rsid w:val="2BDD3EDF"/>
    <w:rsid w:val="2BDD46C6"/>
    <w:rsid w:val="2BDF6BED"/>
    <w:rsid w:val="2BE22220"/>
    <w:rsid w:val="2BE41656"/>
    <w:rsid w:val="2BEF61A7"/>
    <w:rsid w:val="2C064ECB"/>
    <w:rsid w:val="2C0734F1"/>
    <w:rsid w:val="2C104E0B"/>
    <w:rsid w:val="2C155C0E"/>
    <w:rsid w:val="2C1B0FB3"/>
    <w:rsid w:val="2C230890"/>
    <w:rsid w:val="2C275E71"/>
    <w:rsid w:val="2C29790B"/>
    <w:rsid w:val="2C2C11A9"/>
    <w:rsid w:val="2C2C6236"/>
    <w:rsid w:val="2C33078A"/>
    <w:rsid w:val="2C387B4E"/>
    <w:rsid w:val="2C390A42"/>
    <w:rsid w:val="2C4732BE"/>
    <w:rsid w:val="2C4A2D94"/>
    <w:rsid w:val="2C4B7881"/>
    <w:rsid w:val="2C5A208D"/>
    <w:rsid w:val="2C5F332D"/>
    <w:rsid w:val="2C603C73"/>
    <w:rsid w:val="2C675C97"/>
    <w:rsid w:val="2C696B54"/>
    <w:rsid w:val="2C6B4044"/>
    <w:rsid w:val="2C705659"/>
    <w:rsid w:val="2C746AAE"/>
    <w:rsid w:val="2C7D2489"/>
    <w:rsid w:val="2C7E7C57"/>
    <w:rsid w:val="2C802CD4"/>
    <w:rsid w:val="2C854E8D"/>
    <w:rsid w:val="2C8B2374"/>
    <w:rsid w:val="2C9A4C4D"/>
    <w:rsid w:val="2CA90A4C"/>
    <w:rsid w:val="2CB7324A"/>
    <w:rsid w:val="2CBC077F"/>
    <w:rsid w:val="2CBF5D73"/>
    <w:rsid w:val="2CC1332A"/>
    <w:rsid w:val="2CC460EE"/>
    <w:rsid w:val="2CC55886"/>
    <w:rsid w:val="2CC94C4A"/>
    <w:rsid w:val="2CCB451E"/>
    <w:rsid w:val="2CCD4076"/>
    <w:rsid w:val="2CD31625"/>
    <w:rsid w:val="2CD60A6C"/>
    <w:rsid w:val="2CDB5B13"/>
    <w:rsid w:val="2CDC2BCF"/>
    <w:rsid w:val="2CDC7EC4"/>
    <w:rsid w:val="2CE13E0E"/>
    <w:rsid w:val="2CEB03C6"/>
    <w:rsid w:val="2CF50BA2"/>
    <w:rsid w:val="2CF55A3F"/>
    <w:rsid w:val="2D034EA5"/>
    <w:rsid w:val="2D1057CD"/>
    <w:rsid w:val="2D157E8F"/>
    <w:rsid w:val="2D18633F"/>
    <w:rsid w:val="2D2307FE"/>
    <w:rsid w:val="2D260DDF"/>
    <w:rsid w:val="2D2B7629"/>
    <w:rsid w:val="2D2D2CF0"/>
    <w:rsid w:val="2D2F7EFE"/>
    <w:rsid w:val="2D307726"/>
    <w:rsid w:val="2D370041"/>
    <w:rsid w:val="2D3E1194"/>
    <w:rsid w:val="2D464494"/>
    <w:rsid w:val="2D525F67"/>
    <w:rsid w:val="2D5573EF"/>
    <w:rsid w:val="2D5663E5"/>
    <w:rsid w:val="2D5704A8"/>
    <w:rsid w:val="2D5B79F0"/>
    <w:rsid w:val="2D5C59D6"/>
    <w:rsid w:val="2D727090"/>
    <w:rsid w:val="2D7746A6"/>
    <w:rsid w:val="2D8172D3"/>
    <w:rsid w:val="2D852054"/>
    <w:rsid w:val="2D872595"/>
    <w:rsid w:val="2D8D7A26"/>
    <w:rsid w:val="2D9066E8"/>
    <w:rsid w:val="2D9378A5"/>
    <w:rsid w:val="2D980FF2"/>
    <w:rsid w:val="2D9D3677"/>
    <w:rsid w:val="2DA239F0"/>
    <w:rsid w:val="2DA52FC1"/>
    <w:rsid w:val="2DAB444D"/>
    <w:rsid w:val="2DAD00C8"/>
    <w:rsid w:val="2DB245D8"/>
    <w:rsid w:val="2DB6793F"/>
    <w:rsid w:val="2DB96B52"/>
    <w:rsid w:val="2DBB4593"/>
    <w:rsid w:val="2DC0323D"/>
    <w:rsid w:val="2DC0604D"/>
    <w:rsid w:val="2DC378EB"/>
    <w:rsid w:val="2DC45B3D"/>
    <w:rsid w:val="2DC515B0"/>
    <w:rsid w:val="2DC729FE"/>
    <w:rsid w:val="2DC77DCA"/>
    <w:rsid w:val="2DCD403A"/>
    <w:rsid w:val="2DE63220"/>
    <w:rsid w:val="2DEA387E"/>
    <w:rsid w:val="2DEF4B7B"/>
    <w:rsid w:val="2DF552BE"/>
    <w:rsid w:val="2DFB0D3B"/>
    <w:rsid w:val="2DFE297D"/>
    <w:rsid w:val="2E0208DD"/>
    <w:rsid w:val="2E073CE1"/>
    <w:rsid w:val="2E0A444D"/>
    <w:rsid w:val="2E0C6AD8"/>
    <w:rsid w:val="2E0E2DE1"/>
    <w:rsid w:val="2E114AFB"/>
    <w:rsid w:val="2E1344DC"/>
    <w:rsid w:val="2E20085E"/>
    <w:rsid w:val="2E234885"/>
    <w:rsid w:val="2E286A42"/>
    <w:rsid w:val="2E426A62"/>
    <w:rsid w:val="2E472DE0"/>
    <w:rsid w:val="2E4E18AB"/>
    <w:rsid w:val="2E5311BD"/>
    <w:rsid w:val="2E55192F"/>
    <w:rsid w:val="2E596761"/>
    <w:rsid w:val="2E5A3DAC"/>
    <w:rsid w:val="2E5A5828"/>
    <w:rsid w:val="2E6021BF"/>
    <w:rsid w:val="2E607A11"/>
    <w:rsid w:val="2E69625B"/>
    <w:rsid w:val="2E7133BC"/>
    <w:rsid w:val="2E76348A"/>
    <w:rsid w:val="2E7D18A1"/>
    <w:rsid w:val="2E7E255B"/>
    <w:rsid w:val="2E7F3812"/>
    <w:rsid w:val="2E8B0409"/>
    <w:rsid w:val="2E903C71"/>
    <w:rsid w:val="2E9E2638"/>
    <w:rsid w:val="2EA446A8"/>
    <w:rsid w:val="2EB01C1E"/>
    <w:rsid w:val="2EB46A04"/>
    <w:rsid w:val="2EB711FE"/>
    <w:rsid w:val="2ECD362D"/>
    <w:rsid w:val="2ED90510"/>
    <w:rsid w:val="2EE20771"/>
    <w:rsid w:val="2EE21ADE"/>
    <w:rsid w:val="2EE962FC"/>
    <w:rsid w:val="2EEC01FD"/>
    <w:rsid w:val="2EED0359"/>
    <w:rsid w:val="2EF22236"/>
    <w:rsid w:val="2EF266DA"/>
    <w:rsid w:val="2EF37D5C"/>
    <w:rsid w:val="2EFC4E63"/>
    <w:rsid w:val="2F014B01"/>
    <w:rsid w:val="2F0247C0"/>
    <w:rsid w:val="2F0A1F46"/>
    <w:rsid w:val="2F0B32F8"/>
    <w:rsid w:val="2F0C63BC"/>
    <w:rsid w:val="2F141D40"/>
    <w:rsid w:val="2F191A56"/>
    <w:rsid w:val="2F1C3757"/>
    <w:rsid w:val="2F1F1AF1"/>
    <w:rsid w:val="2F21503B"/>
    <w:rsid w:val="2F257C3B"/>
    <w:rsid w:val="2F363DB4"/>
    <w:rsid w:val="2F3960B7"/>
    <w:rsid w:val="2F446CE9"/>
    <w:rsid w:val="2F516105"/>
    <w:rsid w:val="2F533148"/>
    <w:rsid w:val="2F6A03D2"/>
    <w:rsid w:val="2F723377"/>
    <w:rsid w:val="2F776BDF"/>
    <w:rsid w:val="2F787D25"/>
    <w:rsid w:val="2F7D09D9"/>
    <w:rsid w:val="2F8A246F"/>
    <w:rsid w:val="2F9316C0"/>
    <w:rsid w:val="2F962126"/>
    <w:rsid w:val="2F9966D9"/>
    <w:rsid w:val="2F9E1DDD"/>
    <w:rsid w:val="2FA26362"/>
    <w:rsid w:val="2FB62D97"/>
    <w:rsid w:val="2FBA48F0"/>
    <w:rsid w:val="2FC10CAA"/>
    <w:rsid w:val="2FC242FE"/>
    <w:rsid w:val="2FD054DB"/>
    <w:rsid w:val="2FD271D9"/>
    <w:rsid w:val="2FD42EE9"/>
    <w:rsid w:val="2FD808A9"/>
    <w:rsid w:val="2FE37DD1"/>
    <w:rsid w:val="2FF41FDE"/>
    <w:rsid w:val="2FF81E0E"/>
    <w:rsid w:val="2FFB2DCC"/>
    <w:rsid w:val="2FFD65A9"/>
    <w:rsid w:val="300E12F2"/>
    <w:rsid w:val="301B6D6D"/>
    <w:rsid w:val="301C6CAC"/>
    <w:rsid w:val="302851CF"/>
    <w:rsid w:val="30316D8E"/>
    <w:rsid w:val="30336FAA"/>
    <w:rsid w:val="303650C3"/>
    <w:rsid w:val="30367A6B"/>
    <w:rsid w:val="303A5707"/>
    <w:rsid w:val="304765B2"/>
    <w:rsid w:val="304F5466"/>
    <w:rsid w:val="30504D60"/>
    <w:rsid w:val="305553AF"/>
    <w:rsid w:val="30662EDC"/>
    <w:rsid w:val="307153DD"/>
    <w:rsid w:val="307C003B"/>
    <w:rsid w:val="30883269"/>
    <w:rsid w:val="30975D35"/>
    <w:rsid w:val="30991074"/>
    <w:rsid w:val="30A706FA"/>
    <w:rsid w:val="30C23E8A"/>
    <w:rsid w:val="30C76AC8"/>
    <w:rsid w:val="30C9346B"/>
    <w:rsid w:val="30C95219"/>
    <w:rsid w:val="30CB2D3F"/>
    <w:rsid w:val="30CC6AB7"/>
    <w:rsid w:val="30CC6F7E"/>
    <w:rsid w:val="30D15CFE"/>
    <w:rsid w:val="30D23F36"/>
    <w:rsid w:val="30D75B88"/>
    <w:rsid w:val="30DD197C"/>
    <w:rsid w:val="30DD6F16"/>
    <w:rsid w:val="30EC0F07"/>
    <w:rsid w:val="30EE2ED1"/>
    <w:rsid w:val="30EE3F00"/>
    <w:rsid w:val="30EF1D20"/>
    <w:rsid w:val="30F13546"/>
    <w:rsid w:val="30F779FC"/>
    <w:rsid w:val="30FA12BF"/>
    <w:rsid w:val="31143443"/>
    <w:rsid w:val="31210BB1"/>
    <w:rsid w:val="312E5247"/>
    <w:rsid w:val="3134032E"/>
    <w:rsid w:val="31363E4E"/>
    <w:rsid w:val="3138414C"/>
    <w:rsid w:val="313A6116"/>
    <w:rsid w:val="313B179E"/>
    <w:rsid w:val="314A7BDF"/>
    <w:rsid w:val="314D409C"/>
    <w:rsid w:val="314F750B"/>
    <w:rsid w:val="315159AC"/>
    <w:rsid w:val="3153463F"/>
    <w:rsid w:val="31566970"/>
    <w:rsid w:val="31580624"/>
    <w:rsid w:val="315B5C24"/>
    <w:rsid w:val="315E7B1E"/>
    <w:rsid w:val="31731494"/>
    <w:rsid w:val="317D7EBB"/>
    <w:rsid w:val="317F6A68"/>
    <w:rsid w:val="31832E4E"/>
    <w:rsid w:val="31876369"/>
    <w:rsid w:val="318D450C"/>
    <w:rsid w:val="31903F88"/>
    <w:rsid w:val="319F0024"/>
    <w:rsid w:val="31A812D2"/>
    <w:rsid w:val="31AB2DAB"/>
    <w:rsid w:val="31B25476"/>
    <w:rsid w:val="31B71515"/>
    <w:rsid w:val="31B959C7"/>
    <w:rsid w:val="31BD550A"/>
    <w:rsid w:val="31C3435E"/>
    <w:rsid w:val="31CC3212"/>
    <w:rsid w:val="31CF465E"/>
    <w:rsid w:val="31D40319"/>
    <w:rsid w:val="31D65860"/>
    <w:rsid w:val="31DF2946"/>
    <w:rsid w:val="31E77E49"/>
    <w:rsid w:val="31E907E3"/>
    <w:rsid w:val="31ED3189"/>
    <w:rsid w:val="31EE10DC"/>
    <w:rsid w:val="31F27808"/>
    <w:rsid w:val="31F724B8"/>
    <w:rsid w:val="31F81AD3"/>
    <w:rsid w:val="32056724"/>
    <w:rsid w:val="32110C25"/>
    <w:rsid w:val="321142D8"/>
    <w:rsid w:val="32180050"/>
    <w:rsid w:val="321B644E"/>
    <w:rsid w:val="321E4A12"/>
    <w:rsid w:val="3221513D"/>
    <w:rsid w:val="32317484"/>
    <w:rsid w:val="323647E0"/>
    <w:rsid w:val="323808A8"/>
    <w:rsid w:val="32431AD0"/>
    <w:rsid w:val="32530340"/>
    <w:rsid w:val="325A3421"/>
    <w:rsid w:val="32607DFF"/>
    <w:rsid w:val="326501D5"/>
    <w:rsid w:val="326571C3"/>
    <w:rsid w:val="326E03CD"/>
    <w:rsid w:val="32716E51"/>
    <w:rsid w:val="32737B32"/>
    <w:rsid w:val="32754BA4"/>
    <w:rsid w:val="32793FAC"/>
    <w:rsid w:val="327A71D0"/>
    <w:rsid w:val="3282040F"/>
    <w:rsid w:val="3282531E"/>
    <w:rsid w:val="328E2CF1"/>
    <w:rsid w:val="32977498"/>
    <w:rsid w:val="329B2BE5"/>
    <w:rsid w:val="32A11B7A"/>
    <w:rsid w:val="32A55B5B"/>
    <w:rsid w:val="32AB22E8"/>
    <w:rsid w:val="32B04DB2"/>
    <w:rsid w:val="32C569FF"/>
    <w:rsid w:val="32CD3487"/>
    <w:rsid w:val="32CE4D68"/>
    <w:rsid w:val="32CF2B72"/>
    <w:rsid w:val="32D03638"/>
    <w:rsid w:val="32D50524"/>
    <w:rsid w:val="32E53A10"/>
    <w:rsid w:val="32EC5A11"/>
    <w:rsid w:val="32F00761"/>
    <w:rsid w:val="32F50547"/>
    <w:rsid w:val="32FA3431"/>
    <w:rsid w:val="32FC48DF"/>
    <w:rsid w:val="3306616E"/>
    <w:rsid w:val="330662B0"/>
    <w:rsid w:val="330C6B05"/>
    <w:rsid w:val="332350B4"/>
    <w:rsid w:val="33373DF7"/>
    <w:rsid w:val="333A389D"/>
    <w:rsid w:val="33462B51"/>
    <w:rsid w:val="33545A64"/>
    <w:rsid w:val="336F3663"/>
    <w:rsid w:val="337554A3"/>
    <w:rsid w:val="337B0E24"/>
    <w:rsid w:val="33822298"/>
    <w:rsid w:val="338401D6"/>
    <w:rsid w:val="338C030E"/>
    <w:rsid w:val="33925D96"/>
    <w:rsid w:val="33A45AC9"/>
    <w:rsid w:val="33A51F6D"/>
    <w:rsid w:val="33B053AF"/>
    <w:rsid w:val="33B314A9"/>
    <w:rsid w:val="33B43F5E"/>
    <w:rsid w:val="33B7681F"/>
    <w:rsid w:val="33C0222F"/>
    <w:rsid w:val="33C61EE3"/>
    <w:rsid w:val="33CA4D76"/>
    <w:rsid w:val="33CF5015"/>
    <w:rsid w:val="33D041B0"/>
    <w:rsid w:val="33D34C0B"/>
    <w:rsid w:val="33D62126"/>
    <w:rsid w:val="33E011C1"/>
    <w:rsid w:val="33E0347F"/>
    <w:rsid w:val="33E16D1D"/>
    <w:rsid w:val="33F95E15"/>
    <w:rsid w:val="34091EBE"/>
    <w:rsid w:val="34094833"/>
    <w:rsid w:val="34162F23"/>
    <w:rsid w:val="341A5D77"/>
    <w:rsid w:val="34210CAE"/>
    <w:rsid w:val="342B1D46"/>
    <w:rsid w:val="343A1627"/>
    <w:rsid w:val="344008D1"/>
    <w:rsid w:val="344572AC"/>
    <w:rsid w:val="34495444"/>
    <w:rsid w:val="345E1E65"/>
    <w:rsid w:val="3465632F"/>
    <w:rsid w:val="347436ED"/>
    <w:rsid w:val="348002E4"/>
    <w:rsid w:val="34802708"/>
    <w:rsid w:val="34806086"/>
    <w:rsid w:val="3482348D"/>
    <w:rsid w:val="34847DD4"/>
    <w:rsid w:val="3485461B"/>
    <w:rsid w:val="34925255"/>
    <w:rsid w:val="349721D9"/>
    <w:rsid w:val="349B4A38"/>
    <w:rsid w:val="349D69F2"/>
    <w:rsid w:val="34A71D15"/>
    <w:rsid w:val="34AA710F"/>
    <w:rsid w:val="34BE489F"/>
    <w:rsid w:val="34C5219B"/>
    <w:rsid w:val="34CA77B1"/>
    <w:rsid w:val="34D10B40"/>
    <w:rsid w:val="34D52F4E"/>
    <w:rsid w:val="34D661A3"/>
    <w:rsid w:val="34D7676C"/>
    <w:rsid w:val="34D81ECE"/>
    <w:rsid w:val="34EB2CDD"/>
    <w:rsid w:val="34EB7302"/>
    <w:rsid w:val="34EC2EB9"/>
    <w:rsid w:val="34EE524E"/>
    <w:rsid w:val="34EE74E4"/>
    <w:rsid w:val="34F42CFD"/>
    <w:rsid w:val="35002E80"/>
    <w:rsid w:val="3504664D"/>
    <w:rsid w:val="350F40EB"/>
    <w:rsid w:val="35156C7E"/>
    <w:rsid w:val="351849C1"/>
    <w:rsid w:val="351E091F"/>
    <w:rsid w:val="351F0FAC"/>
    <w:rsid w:val="35210197"/>
    <w:rsid w:val="35285CBC"/>
    <w:rsid w:val="352A4256"/>
    <w:rsid w:val="353D61D5"/>
    <w:rsid w:val="3542559A"/>
    <w:rsid w:val="35431424"/>
    <w:rsid w:val="354715B6"/>
    <w:rsid w:val="35474AB0"/>
    <w:rsid w:val="3547515D"/>
    <w:rsid w:val="35480CF6"/>
    <w:rsid w:val="354E3E1E"/>
    <w:rsid w:val="3553332C"/>
    <w:rsid w:val="355D069A"/>
    <w:rsid w:val="35637382"/>
    <w:rsid w:val="35646B82"/>
    <w:rsid w:val="356B50D9"/>
    <w:rsid w:val="356C58AD"/>
    <w:rsid w:val="357065AB"/>
    <w:rsid w:val="35774AB9"/>
    <w:rsid w:val="357E2A76"/>
    <w:rsid w:val="358335C2"/>
    <w:rsid w:val="3587366D"/>
    <w:rsid w:val="359326C7"/>
    <w:rsid w:val="359F29EC"/>
    <w:rsid w:val="35A16F73"/>
    <w:rsid w:val="35A3641B"/>
    <w:rsid w:val="35A41DB0"/>
    <w:rsid w:val="35A46254"/>
    <w:rsid w:val="35A470AE"/>
    <w:rsid w:val="35B277CF"/>
    <w:rsid w:val="35B33B03"/>
    <w:rsid w:val="35BA5E1A"/>
    <w:rsid w:val="35C366DA"/>
    <w:rsid w:val="35C84690"/>
    <w:rsid w:val="35CA7988"/>
    <w:rsid w:val="35E47D46"/>
    <w:rsid w:val="35ED6B48"/>
    <w:rsid w:val="35F211FB"/>
    <w:rsid w:val="35F45E8B"/>
    <w:rsid w:val="35FB5B03"/>
    <w:rsid w:val="361707D4"/>
    <w:rsid w:val="36174C78"/>
    <w:rsid w:val="36241293"/>
    <w:rsid w:val="36257395"/>
    <w:rsid w:val="36411F77"/>
    <w:rsid w:val="36583083"/>
    <w:rsid w:val="365A33B7"/>
    <w:rsid w:val="365E68AB"/>
    <w:rsid w:val="365F51D8"/>
    <w:rsid w:val="36602341"/>
    <w:rsid w:val="36667B37"/>
    <w:rsid w:val="366830F8"/>
    <w:rsid w:val="366D23E9"/>
    <w:rsid w:val="366E276C"/>
    <w:rsid w:val="36703A01"/>
    <w:rsid w:val="3673370D"/>
    <w:rsid w:val="36755FDE"/>
    <w:rsid w:val="36832A4B"/>
    <w:rsid w:val="368340BC"/>
    <w:rsid w:val="36881445"/>
    <w:rsid w:val="368A292D"/>
    <w:rsid w:val="368A594B"/>
    <w:rsid w:val="368A71F8"/>
    <w:rsid w:val="368C1783"/>
    <w:rsid w:val="368F7238"/>
    <w:rsid w:val="36932551"/>
    <w:rsid w:val="36AA4451"/>
    <w:rsid w:val="36B008D8"/>
    <w:rsid w:val="36B10C29"/>
    <w:rsid w:val="36B7627B"/>
    <w:rsid w:val="36B83D65"/>
    <w:rsid w:val="36BB1AA7"/>
    <w:rsid w:val="36BC2851"/>
    <w:rsid w:val="36C95F72"/>
    <w:rsid w:val="36D7150B"/>
    <w:rsid w:val="36D96DD9"/>
    <w:rsid w:val="36E268CF"/>
    <w:rsid w:val="36E66C40"/>
    <w:rsid w:val="36F10990"/>
    <w:rsid w:val="37030298"/>
    <w:rsid w:val="370D26A3"/>
    <w:rsid w:val="37201095"/>
    <w:rsid w:val="372235BD"/>
    <w:rsid w:val="37227431"/>
    <w:rsid w:val="37252C7D"/>
    <w:rsid w:val="373309DC"/>
    <w:rsid w:val="373C4996"/>
    <w:rsid w:val="37427AD3"/>
    <w:rsid w:val="374C2271"/>
    <w:rsid w:val="37520247"/>
    <w:rsid w:val="37557806"/>
    <w:rsid w:val="375665FE"/>
    <w:rsid w:val="376215F9"/>
    <w:rsid w:val="376C68FE"/>
    <w:rsid w:val="376E70A4"/>
    <w:rsid w:val="37753A04"/>
    <w:rsid w:val="377719EF"/>
    <w:rsid w:val="377C1237"/>
    <w:rsid w:val="378679C0"/>
    <w:rsid w:val="37885B03"/>
    <w:rsid w:val="37887BDC"/>
    <w:rsid w:val="379A16BD"/>
    <w:rsid w:val="37A3555E"/>
    <w:rsid w:val="37A434A3"/>
    <w:rsid w:val="37A920BC"/>
    <w:rsid w:val="37AC7AD3"/>
    <w:rsid w:val="37AE6CFD"/>
    <w:rsid w:val="37B01116"/>
    <w:rsid w:val="37C4498C"/>
    <w:rsid w:val="37C5495D"/>
    <w:rsid w:val="37DF02D1"/>
    <w:rsid w:val="37E341DA"/>
    <w:rsid w:val="37EA43F2"/>
    <w:rsid w:val="37EC117D"/>
    <w:rsid w:val="37EC5F7B"/>
    <w:rsid w:val="37F0694A"/>
    <w:rsid w:val="37F14165"/>
    <w:rsid w:val="37FE1C4C"/>
    <w:rsid w:val="380600E0"/>
    <w:rsid w:val="380C7EA0"/>
    <w:rsid w:val="381257AF"/>
    <w:rsid w:val="381450F7"/>
    <w:rsid w:val="381A7091"/>
    <w:rsid w:val="3824244F"/>
    <w:rsid w:val="38276324"/>
    <w:rsid w:val="382947EF"/>
    <w:rsid w:val="38334DFF"/>
    <w:rsid w:val="3837600C"/>
    <w:rsid w:val="38433B03"/>
    <w:rsid w:val="38441E4A"/>
    <w:rsid w:val="38581D94"/>
    <w:rsid w:val="38626FDD"/>
    <w:rsid w:val="38635F53"/>
    <w:rsid w:val="386C12AB"/>
    <w:rsid w:val="38703520"/>
    <w:rsid w:val="387442BD"/>
    <w:rsid w:val="387A5AF6"/>
    <w:rsid w:val="387A74C6"/>
    <w:rsid w:val="387E2D8D"/>
    <w:rsid w:val="387E4B3B"/>
    <w:rsid w:val="38824FEC"/>
    <w:rsid w:val="388365F5"/>
    <w:rsid w:val="389B74EC"/>
    <w:rsid w:val="389E342F"/>
    <w:rsid w:val="38A2163C"/>
    <w:rsid w:val="38B10CD7"/>
    <w:rsid w:val="38B371E2"/>
    <w:rsid w:val="38B43B03"/>
    <w:rsid w:val="38BC484B"/>
    <w:rsid w:val="38BF1A11"/>
    <w:rsid w:val="38C01848"/>
    <w:rsid w:val="38C21810"/>
    <w:rsid w:val="38D8647F"/>
    <w:rsid w:val="38DD7AB3"/>
    <w:rsid w:val="38E758FC"/>
    <w:rsid w:val="38ED6A84"/>
    <w:rsid w:val="38F3784D"/>
    <w:rsid w:val="38F51C6A"/>
    <w:rsid w:val="38FE486E"/>
    <w:rsid w:val="390115DC"/>
    <w:rsid w:val="39096AFA"/>
    <w:rsid w:val="39111C5F"/>
    <w:rsid w:val="39142431"/>
    <w:rsid w:val="3914549F"/>
    <w:rsid w:val="39186D3D"/>
    <w:rsid w:val="39204A69"/>
    <w:rsid w:val="39227BBC"/>
    <w:rsid w:val="392C7748"/>
    <w:rsid w:val="39317DFF"/>
    <w:rsid w:val="39391637"/>
    <w:rsid w:val="393A67E2"/>
    <w:rsid w:val="394B5125"/>
    <w:rsid w:val="39535396"/>
    <w:rsid w:val="3961677A"/>
    <w:rsid w:val="39640917"/>
    <w:rsid w:val="39651C68"/>
    <w:rsid w:val="396C6F56"/>
    <w:rsid w:val="398828FC"/>
    <w:rsid w:val="39985DC1"/>
    <w:rsid w:val="399E7355"/>
    <w:rsid w:val="39B12CEE"/>
    <w:rsid w:val="39B13948"/>
    <w:rsid w:val="39BA4298"/>
    <w:rsid w:val="39BD24A1"/>
    <w:rsid w:val="39C42A21"/>
    <w:rsid w:val="39C84BD3"/>
    <w:rsid w:val="39CD7B28"/>
    <w:rsid w:val="39D23088"/>
    <w:rsid w:val="39D23C11"/>
    <w:rsid w:val="39D63BC2"/>
    <w:rsid w:val="39E92488"/>
    <w:rsid w:val="39EC3D26"/>
    <w:rsid w:val="39ED1F78"/>
    <w:rsid w:val="39F03816"/>
    <w:rsid w:val="39F24786"/>
    <w:rsid w:val="39FD5F33"/>
    <w:rsid w:val="3A0215EB"/>
    <w:rsid w:val="3A0B4AF4"/>
    <w:rsid w:val="3A0D1341"/>
    <w:rsid w:val="3A19697C"/>
    <w:rsid w:val="3A221A8C"/>
    <w:rsid w:val="3A241712"/>
    <w:rsid w:val="3A275664"/>
    <w:rsid w:val="3A296A5E"/>
    <w:rsid w:val="3A396F6B"/>
    <w:rsid w:val="3A483652"/>
    <w:rsid w:val="3A4B6EC2"/>
    <w:rsid w:val="3A555D6F"/>
    <w:rsid w:val="3A672285"/>
    <w:rsid w:val="3A72247D"/>
    <w:rsid w:val="3A73258B"/>
    <w:rsid w:val="3A740FA3"/>
    <w:rsid w:val="3A744447"/>
    <w:rsid w:val="3A773F37"/>
    <w:rsid w:val="3A871D02"/>
    <w:rsid w:val="3A94332A"/>
    <w:rsid w:val="3A951A32"/>
    <w:rsid w:val="3A9A69CA"/>
    <w:rsid w:val="3AAD1707"/>
    <w:rsid w:val="3AB65411"/>
    <w:rsid w:val="3AB7338B"/>
    <w:rsid w:val="3ABB4F90"/>
    <w:rsid w:val="3AC54CA3"/>
    <w:rsid w:val="3AD06FC2"/>
    <w:rsid w:val="3ADF71D3"/>
    <w:rsid w:val="3AF60C85"/>
    <w:rsid w:val="3AFC1592"/>
    <w:rsid w:val="3B0A473E"/>
    <w:rsid w:val="3B0B3494"/>
    <w:rsid w:val="3B0B50DD"/>
    <w:rsid w:val="3B0C4DA2"/>
    <w:rsid w:val="3B0F4170"/>
    <w:rsid w:val="3B174F09"/>
    <w:rsid w:val="3B176016"/>
    <w:rsid w:val="3B2641D4"/>
    <w:rsid w:val="3B3132FD"/>
    <w:rsid w:val="3B421FAF"/>
    <w:rsid w:val="3B424B80"/>
    <w:rsid w:val="3B4267A7"/>
    <w:rsid w:val="3B48382E"/>
    <w:rsid w:val="3B514788"/>
    <w:rsid w:val="3B5851E9"/>
    <w:rsid w:val="3B5A1C91"/>
    <w:rsid w:val="3B5B61CE"/>
    <w:rsid w:val="3B5C7645"/>
    <w:rsid w:val="3B5E3238"/>
    <w:rsid w:val="3B5F38BE"/>
    <w:rsid w:val="3B621C43"/>
    <w:rsid w:val="3B707C26"/>
    <w:rsid w:val="3B794422"/>
    <w:rsid w:val="3B7C212C"/>
    <w:rsid w:val="3B8714D7"/>
    <w:rsid w:val="3B892174"/>
    <w:rsid w:val="3B8C756F"/>
    <w:rsid w:val="3BB23E5F"/>
    <w:rsid w:val="3BB7024A"/>
    <w:rsid w:val="3BC7691B"/>
    <w:rsid w:val="3BDA4E51"/>
    <w:rsid w:val="3BDB2906"/>
    <w:rsid w:val="3BEC3676"/>
    <w:rsid w:val="3BEE0229"/>
    <w:rsid w:val="3BEF7DD6"/>
    <w:rsid w:val="3BF66E77"/>
    <w:rsid w:val="3BF82EB3"/>
    <w:rsid w:val="3BFB035A"/>
    <w:rsid w:val="3C0165D0"/>
    <w:rsid w:val="3C0D1A01"/>
    <w:rsid w:val="3C1832DF"/>
    <w:rsid w:val="3C1D7D04"/>
    <w:rsid w:val="3C24099A"/>
    <w:rsid w:val="3C291261"/>
    <w:rsid w:val="3C2F4ACA"/>
    <w:rsid w:val="3C335C3C"/>
    <w:rsid w:val="3C353F33"/>
    <w:rsid w:val="3C380813"/>
    <w:rsid w:val="3C3A7F27"/>
    <w:rsid w:val="3C5C33E5"/>
    <w:rsid w:val="3C5D3C4F"/>
    <w:rsid w:val="3C5F0E2E"/>
    <w:rsid w:val="3C5F3DC8"/>
    <w:rsid w:val="3C746DFB"/>
    <w:rsid w:val="3C776471"/>
    <w:rsid w:val="3C8804B8"/>
    <w:rsid w:val="3C8E046F"/>
    <w:rsid w:val="3C9E65CD"/>
    <w:rsid w:val="3CA7031E"/>
    <w:rsid w:val="3CB0571D"/>
    <w:rsid w:val="3CC2593E"/>
    <w:rsid w:val="3CC80A7A"/>
    <w:rsid w:val="3CCF0F6E"/>
    <w:rsid w:val="3CDA3B31"/>
    <w:rsid w:val="3CDC7007"/>
    <w:rsid w:val="3CDD5A81"/>
    <w:rsid w:val="3CE55646"/>
    <w:rsid w:val="3CFB0E50"/>
    <w:rsid w:val="3D0777F5"/>
    <w:rsid w:val="3D1230BD"/>
    <w:rsid w:val="3D136EFB"/>
    <w:rsid w:val="3D154912"/>
    <w:rsid w:val="3D1A5448"/>
    <w:rsid w:val="3D2D7B8E"/>
    <w:rsid w:val="3D2F0740"/>
    <w:rsid w:val="3D3659E4"/>
    <w:rsid w:val="3D3B124C"/>
    <w:rsid w:val="3D404AB5"/>
    <w:rsid w:val="3D464B66"/>
    <w:rsid w:val="3D474095"/>
    <w:rsid w:val="3D5A0B77"/>
    <w:rsid w:val="3D5B544A"/>
    <w:rsid w:val="3D5D7F98"/>
    <w:rsid w:val="3D5F13DF"/>
    <w:rsid w:val="3D6213C4"/>
    <w:rsid w:val="3D6267D9"/>
    <w:rsid w:val="3D6A1B31"/>
    <w:rsid w:val="3D7442A2"/>
    <w:rsid w:val="3D780746"/>
    <w:rsid w:val="3D7A6218"/>
    <w:rsid w:val="3D7A7FC6"/>
    <w:rsid w:val="3D8438F5"/>
    <w:rsid w:val="3D864BBD"/>
    <w:rsid w:val="3D891FB8"/>
    <w:rsid w:val="3D8C006D"/>
    <w:rsid w:val="3D8E3A72"/>
    <w:rsid w:val="3D954E00"/>
    <w:rsid w:val="3D98044D"/>
    <w:rsid w:val="3DA43295"/>
    <w:rsid w:val="3DAE7C70"/>
    <w:rsid w:val="3DB159B2"/>
    <w:rsid w:val="3DB272D8"/>
    <w:rsid w:val="3DB97E88"/>
    <w:rsid w:val="3DBC182E"/>
    <w:rsid w:val="3DBF1E7D"/>
    <w:rsid w:val="3DC079A3"/>
    <w:rsid w:val="3DC6044E"/>
    <w:rsid w:val="3DCE24ED"/>
    <w:rsid w:val="3DD376D7"/>
    <w:rsid w:val="3DDF2B68"/>
    <w:rsid w:val="3DE36705"/>
    <w:rsid w:val="3DE50366"/>
    <w:rsid w:val="3DEB1C8C"/>
    <w:rsid w:val="3DED1091"/>
    <w:rsid w:val="3DF35ACC"/>
    <w:rsid w:val="3DFF127E"/>
    <w:rsid w:val="3E014244"/>
    <w:rsid w:val="3E025620"/>
    <w:rsid w:val="3E05072E"/>
    <w:rsid w:val="3E0B2D85"/>
    <w:rsid w:val="3E16206F"/>
    <w:rsid w:val="3E277A87"/>
    <w:rsid w:val="3E29654F"/>
    <w:rsid w:val="3E2972F7"/>
    <w:rsid w:val="3E2B7513"/>
    <w:rsid w:val="3E2B7626"/>
    <w:rsid w:val="3E300685"/>
    <w:rsid w:val="3E3208A1"/>
    <w:rsid w:val="3E406979"/>
    <w:rsid w:val="3E4D29DB"/>
    <w:rsid w:val="3E506F79"/>
    <w:rsid w:val="3E5838DD"/>
    <w:rsid w:val="3E5C4AA2"/>
    <w:rsid w:val="3E602718"/>
    <w:rsid w:val="3E614CE2"/>
    <w:rsid w:val="3E7012AD"/>
    <w:rsid w:val="3E726EC9"/>
    <w:rsid w:val="3E75078E"/>
    <w:rsid w:val="3E831D52"/>
    <w:rsid w:val="3E8E326B"/>
    <w:rsid w:val="3E951889"/>
    <w:rsid w:val="3E9629CF"/>
    <w:rsid w:val="3EA0134A"/>
    <w:rsid w:val="3EAE0324"/>
    <w:rsid w:val="3EAE208D"/>
    <w:rsid w:val="3EB158B4"/>
    <w:rsid w:val="3EB2553E"/>
    <w:rsid w:val="3EB416B5"/>
    <w:rsid w:val="3EB72B54"/>
    <w:rsid w:val="3EC3206C"/>
    <w:rsid w:val="3ECC7844"/>
    <w:rsid w:val="3ECD00BE"/>
    <w:rsid w:val="3ED96C16"/>
    <w:rsid w:val="3EDF07E5"/>
    <w:rsid w:val="3EE91D44"/>
    <w:rsid w:val="3EED1E62"/>
    <w:rsid w:val="3EEE2F1C"/>
    <w:rsid w:val="3EF144A0"/>
    <w:rsid w:val="3EF23B8C"/>
    <w:rsid w:val="3EF8449E"/>
    <w:rsid w:val="3EFC7DAE"/>
    <w:rsid w:val="3EFE7260"/>
    <w:rsid w:val="3F010273"/>
    <w:rsid w:val="3F096D0B"/>
    <w:rsid w:val="3F0B7179"/>
    <w:rsid w:val="3F151574"/>
    <w:rsid w:val="3F163D1F"/>
    <w:rsid w:val="3F180FBB"/>
    <w:rsid w:val="3F1E4289"/>
    <w:rsid w:val="3F251D7D"/>
    <w:rsid w:val="3F2E1312"/>
    <w:rsid w:val="3F3225D2"/>
    <w:rsid w:val="3F42218F"/>
    <w:rsid w:val="3F481599"/>
    <w:rsid w:val="3F4A628E"/>
    <w:rsid w:val="3F514B2D"/>
    <w:rsid w:val="3F557260"/>
    <w:rsid w:val="3F5D1B7A"/>
    <w:rsid w:val="3F60523E"/>
    <w:rsid w:val="3F613BCC"/>
    <w:rsid w:val="3F667372"/>
    <w:rsid w:val="3F6727CC"/>
    <w:rsid w:val="3F6759F5"/>
    <w:rsid w:val="3F6D115F"/>
    <w:rsid w:val="3F724CCD"/>
    <w:rsid w:val="3F7377B0"/>
    <w:rsid w:val="3F7C5873"/>
    <w:rsid w:val="3F8B74A4"/>
    <w:rsid w:val="3F927221"/>
    <w:rsid w:val="3F93128E"/>
    <w:rsid w:val="3F9335C1"/>
    <w:rsid w:val="3F984120"/>
    <w:rsid w:val="3FA540B0"/>
    <w:rsid w:val="3FA541A9"/>
    <w:rsid w:val="3FB53538"/>
    <w:rsid w:val="3FB672B0"/>
    <w:rsid w:val="3FB776F5"/>
    <w:rsid w:val="3FC75C68"/>
    <w:rsid w:val="3FD87226"/>
    <w:rsid w:val="3FEE76F8"/>
    <w:rsid w:val="400310D8"/>
    <w:rsid w:val="40041DC9"/>
    <w:rsid w:val="40086AA5"/>
    <w:rsid w:val="400B22C6"/>
    <w:rsid w:val="400B2990"/>
    <w:rsid w:val="400E0E9A"/>
    <w:rsid w:val="400E2C48"/>
    <w:rsid w:val="4014562F"/>
    <w:rsid w:val="401D24AF"/>
    <w:rsid w:val="402C78D5"/>
    <w:rsid w:val="40307BC9"/>
    <w:rsid w:val="40356427"/>
    <w:rsid w:val="403A0A27"/>
    <w:rsid w:val="403D28E3"/>
    <w:rsid w:val="403F5E49"/>
    <w:rsid w:val="40430493"/>
    <w:rsid w:val="4048768D"/>
    <w:rsid w:val="404B17A6"/>
    <w:rsid w:val="404D19C2"/>
    <w:rsid w:val="40564EE7"/>
    <w:rsid w:val="405A0CFC"/>
    <w:rsid w:val="405E5CCB"/>
    <w:rsid w:val="40676A47"/>
    <w:rsid w:val="4068042A"/>
    <w:rsid w:val="406E3D2B"/>
    <w:rsid w:val="40714172"/>
    <w:rsid w:val="407F661D"/>
    <w:rsid w:val="408245ED"/>
    <w:rsid w:val="40864295"/>
    <w:rsid w:val="408A23BE"/>
    <w:rsid w:val="40917B26"/>
    <w:rsid w:val="40926379"/>
    <w:rsid w:val="409F45CB"/>
    <w:rsid w:val="40AC7A1C"/>
    <w:rsid w:val="40B557B9"/>
    <w:rsid w:val="40B86E7B"/>
    <w:rsid w:val="40B90E06"/>
    <w:rsid w:val="40B94B83"/>
    <w:rsid w:val="40BE466E"/>
    <w:rsid w:val="40C319E2"/>
    <w:rsid w:val="40CD00BD"/>
    <w:rsid w:val="40CD4ED1"/>
    <w:rsid w:val="40D12495"/>
    <w:rsid w:val="40DC0019"/>
    <w:rsid w:val="40E31DD5"/>
    <w:rsid w:val="40E65224"/>
    <w:rsid w:val="40E85247"/>
    <w:rsid w:val="40EC27D7"/>
    <w:rsid w:val="40EF2A79"/>
    <w:rsid w:val="410C127B"/>
    <w:rsid w:val="410C5573"/>
    <w:rsid w:val="410D73A4"/>
    <w:rsid w:val="41196606"/>
    <w:rsid w:val="411E6EBB"/>
    <w:rsid w:val="41242B9C"/>
    <w:rsid w:val="412A1D04"/>
    <w:rsid w:val="413466DE"/>
    <w:rsid w:val="41474664"/>
    <w:rsid w:val="41523008"/>
    <w:rsid w:val="415437EE"/>
    <w:rsid w:val="41546B10"/>
    <w:rsid w:val="41562AF9"/>
    <w:rsid w:val="41616C71"/>
    <w:rsid w:val="41624E29"/>
    <w:rsid w:val="41676221"/>
    <w:rsid w:val="416C40CA"/>
    <w:rsid w:val="4175673C"/>
    <w:rsid w:val="417B1ADC"/>
    <w:rsid w:val="418238EE"/>
    <w:rsid w:val="41831414"/>
    <w:rsid w:val="418365EE"/>
    <w:rsid w:val="418401AA"/>
    <w:rsid w:val="418D20C9"/>
    <w:rsid w:val="419867DB"/>
    <w:rsid w:val="419D4283"/>
    <w:rsid w:val="41A51BAC"/>
    <w:rsid w:val="41B17F29"/>
    <w:rsid w:val="41B3338B"/>
    <w:rsid w:val="41B501A4"/>
    <w:rsid w:val="41B8730F"/>
    <w:rsid w:val="41BF3BD9"/>
    <w:rsid w:val="41BF4A91"/>
    <w:rsid w:val="41CB3D94"/>
    <w:rsid w:val="41D13F2D"/>
    <w:rsid w:val="41D614EA"/>
    <w:rsid w:val="41D7554B"/>
    <w:rsid w:val="41DC36BB"/>
    <w:rsid w:val="41F51BC5"/>
    <w:rsid w:val="41FA3484"/>
    <w:rsid w:val="41FB0356"/>
    <w:rsid w:val="420156DA"/>
    <w:rsid w:val="42022339"/>
    <w:rsid w:val="42132FE7"/>
    <w:rsid w:val="42137006"/>
    <w:rsid w:val="421729DE"/>
    <w:rsid w:val="421A7082"/>
    <w:rsid w:val="421B648D"/>
    <w:rsid w:val="4220623E"/>
    <w:rsid w:val="4226071D"/>
    <w:rsid w:val="42330CE7"/>
    <w:rsid w:val="423821FE"/>
    <w:rsid w:val="424C4C09"/>
    <w:rsid w:val="4254392F"/>
    <w:rsid w:val="425B768F"/>
    <w:rsid w:val="426B720D"/>
    <w:rsid w:val="42701998"/>
    <w:rsid w:val="428321EF"/>
    <w:rsid w:val="4286740D"/>
    <w:rsid w:val="42892644"/>
    <w:rsid w:val="428A159C"/>
    <w:rsid w:val="428A7B32"/>
    <w:rsid w:val="429A7093"/>
    <w:rsid w:val="42A75C3F"/>
    <w:rsid w:val="42A76B06"/>
    <w:rsid w:val="42A93909"/>
    <w:rsid w:val="42AD52B2"/>
    <w:rsid w:val="42B32AAD"/>
    <w:rsid w:val="42B71734"/>
    <w:rsid w:val="42B86941"/>
    <w:rsid w:val="42BC698B"/>
    <w:rsid w:val="42BF195C"/>
    <w:rsid w:val="42CC3DFF"/>
    <w:rsid w:val="42D02437"/>
    <w:rsid w:val="42D40179"/>
    <w:rsid w:val="42D737C5"/>
    <w:rsid w:val="42DC7863"/>
    <w:rsid w:val="42E42D48"/>
    <w:rsid w:val="42E83C24"/>
    <w:rsid w:val="42F81366"/>
    <w:rsid w:val="430A7047"/>
    <w:rsid w:val="431920F3"/>
    <w:rsid w:val="431A3863"/>
    <w:rsid w:val="43223EC8"/>
    <w:rsid w:val="4329362C"/>
    <w:rsid w:val="433160C7"/>
    <w:rsid w:val="43317379"/>
    <w:rsid w:val="43397DE8"/>
    <w:rsid w:val="43410F50"/>
    <w:rsid w:val="4341198E"/>
    <w:rsid w:val="43452E25"/>
    <w:rsid w:val="434E1DB1"/>
    <w:rsid w:val="43536554"/>
    <w:rsid w:val="43537B5E"/>
    <w:rsid w:val="43556CA5"/>
    <w:rsid w:val="4356618F"/>
    <w:rsid w:val="436C76AE"/>
    <w:rsid w:val="436E210A"/>
    <w:rsid w:val="43710B5F"/>
    <w:rsid w:val="437F411E"/>
    <w:rsid w:val="43853221"/>
    <w:rsid w:val="43864C8C"/>
    <w:rsid w:val="438A541B"/>
    <w:rsid w:val="438F7452"/>
    <w:rsid w:val="43903286"/>
    <w:rsid w:val="43972F54"/>
    <w:rsid w:val="43A32A80"/>
    <w:rsid w:val="43AA2D86"/>
    <w:rsid w:val="43AD1BA2"/>
    <w:rsid w:val="43B03AF0"/>
    <w:rsid w:val="43BA62BC"/>
    <w:rsid w:val="43C43746"/>
    <w:rsid w:val="43CF7D82"/>
    <w:rsid w:val="43D16C6D"/>
    <w:rsid w:val="43E02682"/>
    <w:rsid w:val="43E85F2B"/>
    <w:rsid w:val="43F30C80"/>
    <w:rsid w:val="43F45810"/>
    <w:rsid w:val="43F477B8"/>
    <w:rsid w:val="43F6778C"/>
    <w:rsid w:val="43F955DA"/>
    <w:rsid w:val="440452E5"/>
    <w:rsid w:val="440933B5"/>
    <w:rsid w:val="440F117C"/>
    <w:rsid w:val="44246EDE"/>
    <w:rsid w:val="4439400C"/>
    <w:rsid w:val="443F5AC6"/>
    <w:rsid w:val="443F79A1"/>
    <w:rsid w:val="44410337"/>
    <w:rsid w:val="444C0775"/>
    <w:rsid w:val="446B0669"/>
    <w:rsid w:val="44727C49"/>
    <w:rsid w:val="44776BD6"/>
    <w:rsid w:val="447A5F85"/>
    <w:rsid w:val="44801914"/>
    <w:rsid w:val="44855C27"/>
    <w:rsid w:val="448E6105"/>
    <w:rsid w:val="4491249F"/>
    <w:rsid w:val="44917E58"/>
    <w:rsid w:val="449A7A08"/>
    <w:rsid w:val="44A26055"/>
    <w:rsid w:val="44A348A9"/>
    <w:rsid w:val="44AA35F0"/>
    <w:rsid w:val="44B00772"/>
    <w:rsid w:val="44B71B00"/>
    <w:rsid w:val="44B94074"/>
    <w:rsid w:val="44CC3666"/>
    <w:rsid w:val="44E0013E"/>
    <w:rsid w:val="44E6547E"/>
    <w:rsid w:val="44EB114B"/>
    <w:rsid w:val="44EB7ADD"/>
    <w:rsid w:val="44F10492"/>
    <w:rsid w:val="44F370A9"/>
    <w:rsid w:val="44F468B0"/>
    <w:rsid w:val="44F6398F"/>
    <w:rsid w:val="44FC7513"/>
    <w:rsid w:val="44FD328B"/>
    <w:rsid w:val="4508410A"/>
    <w:rsid w:val="450B1B4F"/>
    <w:rsid w:val="45101210"/>
    <w:rsid w:val="45121B01"/>
    <w:rsid w:val="45144E13"/>
    <w:rsid w:val="45154A79"/>
    <w:rsid w:val="451E1B7F"/>
    <w:rsid w:val="451F4814"/>
    <w:rsid w:val="45322415"/>
    <w:rsid w:val="45343151"/>
    <w:rsid w:val="453D27DA"/>
    <w:rsid w:val="453F6E28"/>
    <w:rsid w:val="45565EE6"/>
    <w:rsid w:val="45566CB6"/>
    <w:rsid w:val="45585EFE"/>
    <w:rsid w:val="45612761"/>
    <w:rsid w:val="4564617E"/>
    <w:rsid w:val="456926CF"/>
    <w:rsid w:val="456D298D"/>
    <w:rsid w:val="456F4189"/>
    <w:rsid w:val="456F5F37"/>
    <w:rsid w:val="45715A81"/>
    <w:rsid w:val="4580617D"/>
    <w:rsid w:val="458F0387"/>
    <w:rsid w:val="458F3DA1"/>
    <w:rsid w:val="45912351"/>
    <w:rsid w:val="45943BEF"/>
    <w:rsid w:val="45957044"/>
    <w:rsid w:val="45962409"/>
    <w:rsid w:val="45965BB9"/>
    <w:rsid w:val="45981F3C"/>
    <w:rsid w:val="45991206"/>
    <w:rsid w:val="45997458"/>
    <w:rsid w:val="459B5059"/>
    <w:rsid w:val="45A03F59"/>
    <w:rsid w:val="45A831F7"/>
    <w:rsid w:val="45A91F95"/>
    <w:rsid w:val="45B34405"/>
    <w:rsid w:val="45C07A37"/>
    <w:rsid w:val="45C85647"/>
    <w:rsid w:val="45CD7101"/>
    <w:rsid w:val="45D160A9"/>
    <w:rsid w:val="45D87924"/>
    <w:rsid w:val="45DC432E"/>
    <w:rsid w:val="45EC6CE6"/>
    <w:rsid w:val="45EE1552"/>
    <w:rsid w:val="45EE30CE"/>
    <w:rsid w:val="461D64FB"/>
    <w:rsid w:val="46274A64"/>
    <w:rsid w:val="463648E9"/>
    <w:rsid w:val="464253F9"/>
    <w:rsid w:val="46491939"/>
    <w:rsid w:val="46535859"/>
    <w:rsid w:val="46607F75"/>
    <w:rsid w:val="466247F2"/>
    <w:rsid w:val="46696E2A"/>
    <w:rsid w:val="46790ADF"/>
    <w:rsid w:val="46873754"/>
    <w:rsid w:val="468A6DA0"/>
    <w:rsid w:val="469203F9"/>
    <w:rsid w:val="46A51334"/>
    <w:rsid w:val="46A9225B"/>
    <w:rsid w:val="46AC4F69"/>
    <w:rsid w:val="46BC781A"/>
    <w:rsid w:val="46C77B24"/>
    <w:rsid w:val="46C92EF6"/>
    <w:rsid w:val="46CA5F1E"/>
    <w:rsid w:val="46CE23DF"/>
    <w:rsid w:val="46D67F50"/>
    <w:rsid w:val="46E62384"/>
    <w:rsid w:val="46E7395C"/>
    <w:rsid w:val="46F16FC5"/>
    <w:rsid w:val="46F32FC3"/>
    <w:rsid w:val="46F93FAB"/>
    <w:rsid w:val="47037071"/>
    <w:rsid w:val="4707219F"/>
    <w:rsid w:val="470E1780"/>
    <w:rsid w:val="47166879"/>
    <w:rsid w:val="471741F3"/>
    <w:rsid w:val="4717516D"/>
    <w:rsid w:val="47186BFB"/>
    <w:rsid w:val="47207C7B"/>
    <w:rsid w:val="472E6063"/>
    <w:rsid w:val="472F533E"/>
    <w:rsid w:val="4732546E"/>
    <w:rsid w:val="473731F8"/>
    <w:rsid w:val="473A4C37"/>
    <w:rsid w:val="473C62ED"/>
    <w:rsid w:val="475950F1"/>
    <w:rsid w:val="47595427"/>
    <w:rsid w:val="475A0F43"/>
    <w:rsid w:val="475E6263"/>
    <w:rsid w:val="47685B93"/>
    <w:rsid w:val="476D294A"/>
    <w:rsid w:val="477041E8"/>
    <w:rsid w:val="477261B2"/>
    <w:rsid w:val="47762884"/>
    <w:rsid w:val="478B1B1F"/>
    <w:rsid w:val="47906312"/>
    <w:rsid w:val="47A12458"/>
    <w:rsid w:val="47AE0645"/>
    <w:rsid w:val="47AE7E19"/>
    <w:rsid w:val="47B17848"/>
    <w:rsid w:val="47B54CE0"/>
    <w:rsid w:val="47B9635A"/>
    <w:rsid w:val="47C46F79"/>
    <w:rsid w:val="47D1249A"/>
    <w:rsid w:val="47D14E3C"/>
    <w:rsid w:val="47E26A4A"/>
    <w:rsid w:val="47E30228"/>
    <w:rsid w:val="47E8201B"/>
    <w:rsid w:val="47FD1C99"/>
    <w:rsid w:val="481132D5"/>
    <w:rsid w:val="48151DFF"/>
    <w:rsid w:val="48177D5A"/>
    <w:rsid w:val="481E3C44"/>
    <w:rsid w:val="48230E62"/>
    <w:rsid w:val="48240F71"/>
    <w:rsid w:val="48254FD3"/>
    <w:rsid w:val="482A25E9"/>
    <w:rsid w:val="4831773D"/>
    <w:rsid w:val="48383643"/>
    <w:rsid w:val="483B2A48"/>
    <w:rsid w:val="483C3AAB"/>
    <w:rsid w:val="484359E3"/>
    <w:rsid w:val="48457423"/>
    <w:rsid w:val="48463DC2"/>
    <w:rsid w:val="48482514"/>
    <w:rsid w:val="484A1B4B"/>
    <w:rsid w:val="484C255F"/>
    <w:rsid w:val="485737AE"/>
    <w:rsid w:val="48604DA3"/>
    <w:rsid w:val="486050DE"/>
    <w:rsid w:val="486176F0"/>
    <w:rsid w:val="48691363"/>
    <w:rsid w:val="48701EA5"/>
    <w:rsid w:val="48780990"/>
    <w:rsid w:val="487A6E4A"/>
    <w:rsid w:val="487F6A9B"/>
    <w:rsid w:val="4888027D"/>
    <w:rsid w:val="48947BBD"/>
    <w:rsid w:val="489850F6"/>
    <w:rsid w:val="489B2447"/>
    <w:rsid w:val="489B27C5"/>
    <w:rsid w:val="489B34E7"/>
    <w:rsid w:val="48A25E13"/>
    <w:rsid w:val="48A71E8C"/>
    <w:rsid w:val="48AE6D76"/>
    <w:rsid w:val="48AF018B"/>
    <w:rsid w:val="48B523EF"/>
    <w:rsid w:val="48B56F6C"/>
    <w:rsid w:val="48B87AB8"/>
    <w:rsid w:val="48BB132D"/>
    <w:rsid w:val="48BC31D4"/>
    <w:rsid w:val="48BF3E0A"/>
    <w:rsid w:val="48BF5427"/>
    <w:rsid w:val="48C2431F"/>
    <w:rsid w:val="48CA52B0"/>
    <w:rsid w:val="48CB0F4F"/>
    <w:rsid w:val="48CB4577"/>
    <w:rsid w:val="48CD641C"/>
    <w:rsid w:val="48CD674E"/>
    <w:rsid w:val="48D34CEE"/>
    <w:rsid w:val="48DD3AFF"/>
    <w:rsid w:val="48DD7B03"/>
    <w:rsid w:val="48E522B2"/>
    <w:rsid w:val="48E62612"/>
    <w:rsid w:val="48E629B4"/>
    <w:rsid w:val="48E828E7"/>
    <w:rsid w:val="48EA5BC1"/>
    <w:rsid w:val="48EB4404"/>
    <w:rsid w:val="48ED0B47"/>
    <w:rsid w:val="48F212BE"/>
    <w:rsid w:val="48F22724"/>
    <w:rsid w:val="48F42E29"/>
    <w:rsid w:val="48F6071D"/>
    <w:rsid w:val="48FF3FE4"/>
    <w:rsid w:val="490648C8"/>
    <w:rsid w:val="49080B7C"/>
    <w:rsid w:val="490F1EEF"/>
    <w:rsid w:val="49180A9B"/>
    <w:rsid w:val="491C2C2F"/>
    <w:rsid w:val="491C3609"/>
    <w:rsid w:val="49276855"/>
    <w:rsid w:val="492E7EB7"/>
    <w:rsid w:val="493556E9"/>
    <w:rsid w:val="49382AE4"/>
    <w:rsid w:val="49423962"/>
    <w:rsid w:val="49482783"/>
    <w:rsid w:val="494F3168"/>
    <w:rsid w:val="49554BE1"/>
    <w:rsid w:val="49580552"/>
    <w:rsid w:val="495876ED"/>
    <w:rsid w:val="496A6BED"/>
    <w:rsid w:val="49710949"/>
    <w:rsid w:val="49731BCB"/>
    <w:rsid w:val="497467A8"/>
    <w:rsid w:val="49811526"/>
    <w:rsid w:val="498209CF"/>
    <w:rsid w:val="49843E14"/>
    <w:rsid w:val="498A49A4"/>
    <w:rsid w:val="49AA0075"/>
    <w:rsid w:val="49B37092"/>
    <w:rsid w:val="49C65640"/>
    <w:rsid w:val="49D00DC5"/>
    <w:rsid w:val="49D97E23"/>
    <w:rsid w:val="49E30CA1"/>
    <w:rsid w:val="49E52C6C"/>
    <w:rsid w:val="49E62540"/>
    <w:rsid w:val="49EC7A1D"/>
    <w:rsid w:val="49F27137"/>
    <w:rsid w:val="49F570D9"/>
    <w:rsid w:val="49F66C27"/>
    <w:rsid w:val="4A0062BB"/>
    <w:rsid w:val="4A116FD8"/>
    <w:rsid w:val="4A117D9D"/>
    <w:rsid w:val="4A121587"/>
    <w:rsid w:val="4A162E25"/>
    <w:rsid w:val="4A196E79"/>
    <w:rsid w:val="4A211AF6"/>
    <w:rsid w:val="4A235A4E"/>
    <w:rsid w:val="4A24383D"/>
    <w:rsid w:val="4A2F038B"/>
    <w:rsid w:val="4A3140D8"/>
    <w:rsid w:val="4A3459D1"/>
    <w:rsid w:val="4A4200BE"/>
    <w:rsid w:val="4A482FDB"/>
    <w:rsid w:val="4A4A0D22"/>
    <w:rsid w:val="4A535A86"/>
    <w:rsid w:val="4A54703F"/>
    <w:rsid w:val="4A5804B6"/>
    <w:rsid w:val="4A5B3A9F"/>
    <w:rsid w:val="4A5E2A1E"/>
    <w:rsid w:val="4A677F4D"/>
    <w:rsid w:val="4A6D7FA4"/>
    <w:rsid w:val="4A830D27"/>
    <w:rsid w:val="4A8415B1"/>
    <w:rsid w:val="4A8F4780"/>
    <w:rsid w:val="4A954692"/>
    <w:rsid w:val="4AA448D5"/>
    <w:rsid w:val="4AB34B18"/>
    <w:rsid w:val="4AB44216"/>
    <w:rsid w:val="4AB84FEA"/>
    <w:rsid w:val="4ABA448F"/>
    <w:rsid w:val="4ABC61FC"/>
    <w:rsid w:val="4AC34A65"/>
    <w:rsid w:val="4AC565F9"/>
    <w:rsid w:val="4ACA61C7"/>
    <w:rsid w:val="4AD07993"/>
    <w:rsid w:val="4AD55B10"/>
    <w:rsid w:val="4ADC00D6"/>
    <w:rsid w:val="4ADF42D7"/>
    <w:rsid w:val="4AE53655"/>
    <w:rsid w:val="4AEF09B8"/>
    <w:rsid w:val="4AF74ADD"/>
    <w:rsid w:val="4B0F6F4D"/>
    <w:rsid w:val="4B1923E5"/>
    <w:rsid w:val="4B1B7074"/>
    <w:rsid w:val="4B2B08B4"/>
    <w:rsid w:val="4B3454E4"/>
    <w:rsid w:val="4B377676"/>
    <w:rsid w:val="4B3C29B6"/>
    <w:rsid w:val="4B3F79B7"/>
    <w:rsid w:val="4B423440"/>
    <w:rsid w:val="4B555C31"/>
    <w:rsid w:val="4B5856BF"/>
    <w:rsid w:val="4B5861CE"/>
    <w:rsid w:val="4B5C51AF"/>
    <w:rsid w:val="4B5F54B0"/>
    <w:rsid w:val="4B6202EC"/>
    <w:rsid w:val="4B682440"/>
    <w:rsid w:val="4B6A1BE3"/>
    <w:rsid w:val="4B7C13AE"/>
    <w:rsid w:val="4B7E7695"/>
    <w:rsid w:val="4B882F10"/>
    <w:rsid w:val="4B8926B1"/>
    <w:rsid w:val="4B8D20F8"/>
    <w:rsid w:val="4B9C45C1"/>
    <w:rsid w:val="4B9D5C0C"/>
    <w:rsid w:val="4BA252A4"/>
    <w:rsid w:val="4BA72512"/>
    <w:rsid w:val="4BB31D91"/>
    <w:rsid w:val="4BB5041C"/>
    <w:rsid w:val="4BB943B0"/>
    <w:rsid w:val="4BBC5AC7"/>
    <w:rsid w:val="4BC3109F"/>
    <w:rsid w:val="4BC36FDC"/>
    <w:rsid w:val="4BC44E0D"/>
    <w:rsid w:val="4BC66ACD"/>
    <w:rsid w:val="4BD034A7"/>
    <w:rsid w:val="4BD048BE"/>
    <w:rsid w:val="4BDC009E"/>
    <w:rsid w:val="4BE23A6B"/>
    <w:rsid w:val="4BE74BEC"/>
    <w:rsid w:val="4BE965B6"/>
    <w:rsid w:val="4BEE3EE1"/>
    <w:rsid w:val="4BF03B4A"/>
    <w:rsid w:val="4BF37E67"/>
    <w:rsid w:val="4BF5144B"/>
    <w:rsid w:val="4BFF0BB9"/>
    <w:rsid w:val="4C047AC6"/>
    <w:rsid w:val="4C080E93"/>
    <w:rsid w:val="4C0B2731"/>
    <w:rsid w:val="4C156BCA"/>
    <w:rsid w:val="4C207F8B"/>
    <w:rsid w:val="4C2B3759"/>
    <w:rsid w:val="4C581C45"/>
    <w:rsid w:val="4C623ADB"/>
    <w:rsid w:val="4C6961C6"/>
    <w:rsid w:val="4C6C22FC"/>
    <w:rsid w:val="4C6D5A2A"/>
    <w:rsid w:val="4C767B34"/>
    <w:rsid w:val="4C7A1154"/>
    <w:rsid w:val="4C7B3413"/>
    <w:rsid w:val="4C7C31EA"/>
    <w:rsid w:val="4C7D362F"/>
    <w:rsid w:val="4C7E1155"/>
    <w:rsid w:val="4C7E73A7"/>
    <w:rsid w:val="4C804ECE"/>
    <w:rsid w:val="4C8554DD"/>
    <w:rsid w:val="4C88285A"/>
    <w:rsid w:val="4C942475"/>
    <w:rsid w:val="4C9C159D"/>
    <w:rsid w:val="4CA2142F"/>
    <w:rsid w:val="4CB6655C"/>
    <w:rsid w:val="4CB73E4F"/>
    <w:rsid w:val="4CC329A2"/>
    <w:rsid w:val="4CDF13AC"/>
    <w:rsid w:val="4CE44D9F"/>
    <w:rsid w:val="4CE960BB"/>
    <w:rsid w:val="4CEA5226"/>
    <w:rsid w:val="4CF136D5"/>
    <w:rsid w:val="4CF17B79"/>
    <w:rsid w:val="4CF84356"/>
    <w:rsid w:val="4D016156"/>
    <w:rsid w:val="4D023B34"/>
    <w:rsid w:val="4D0258E3"/>
    <w:rsid w:val="4D0653CA"/>
    <w:rsid w:val="4D0D0E37"/>
    <w:rsid w:val="4D0D695E"/>
    <w:rsid w:val="4D113D78"/>
    <w:rsid w:val="4D14442F"/>
    <w:rsid w:val="4D16603F"/>
    <w:rsid w:val="4D1D16ED"/>
    <w:rsid w:val="4D2C42B4"/>
    <w:rsid w:val="4D331F40"/>
    <w:rsid w:val="4D493511"/>
    <w:rsid w:val="4D4B227E"/>
    <w:rsid w:val="4D4D338A"/>
    <w:rsid w:val="4D4D6F1E"/>
    <w:rsid w:val="4D4E6D7A"/>
    <w:rsid w:val="4D5C1497"/>
    <w:rsid w:val="4D5E4583"/>
    <w:rsid w:val="4D6B3488"/>
    <w:rsid w:val="4D721F65"/>
    <w:rsid w:val="4D73771A"/>
    <w:rsid w:val="4D783DF7"/>
    <w:rsid w:val="4D7A21FD"/>
    <w:rsid w:val="4D82460E"/>
    <w:rsid w:val="4D866514"/>
    <w:rsid w:val="4D8D78A2"/>
    <w:rsid w:val="4D9146B3"/>
    <w:rsid w:val="4D9549A9"/>
    <w:rsid w:val="4D97249F"/>
    <w:rsid w:val="4DA35BE5"/>
    <w:rsid w:val="4DAC62C6"/>
    <w:rsid w:val="4DBB187B"/>
    <w:rsid w:val="4DC00B7A"/>
    <w:rsid w:val="4DDE3611"/>
    <w:rsid w:val="4DDE36D5"/>
    <w:rsid w:val="4DDE46EF"/>
    <w:rsid w:val="4DEB2367"/>
    <w:rsid w:val="4DF27608"/>
    <w:rsid w:val="4E064399"/>
    <w:rsid w:val="4E0840B5"/>
    <w:rsid w:val="4E0D27AA"/>
    <w:rsid w:val="4E121435"/>
    <w:rsid w:val="4E121D51"/>
    <w:rsid w:val="4E131F3A"/>
    <w:rsid w:val="4E1C7C1C"/>
    <w:rsid w:val="4E241749"/>
    <w:rsid w:val="4E255D2C"/>
    <w:rsid w:val="4E2F3073"/>
    <w:rsid w:val="4E316A74"/>
    <w:rsid w:val="4E331A18"/>
    <w:rsid w:val="4E375A60"/>
    <w:rsid w:val="4E4350E9"/>
    <w:rsid w:val="4E537920"/>
    <w:rsid w:val="4E555954"/>
    <w:rsid w:val="4E5733E5"/>
    <w:rsid w:val="4E721B60"/>
    <w:rsid w:val="4E734F8F"/>
    <w:rsid w:val="4E772300"/>
    <w:rsid w:val="4E821769"/>
    <w:rsid w:val="4E8B6898"/>
    <w:rsid w:val="4E8C0B89"/>
    <w:rsid w:val="4E8D38D2"/>
    <w:rsid w:val="4E931D00"/>
    <w:rsid w:val="4E9327BD"/>
    <w:rsid w:val="4EA63CE8"/>
    <w:rsid w:val="4EA67795"/>
    <w:rsid w:val="4EAE62F7"/>
    <w:rsid w:val="4EAF48AA"/>
    <w:rsid w:val="4EB6433D"/>
    <w:rsid w:val="4EBD6D93"/>
    <w:rsid w:val="4EBF5F82"/>
    <w:rsid w:val="4EC015B1"/>
    <w:rsid w:val="4EC12182"/>
    <w:rsid w:val="4ED92118"/>
    <w:rsid w:val="4EDA5E36"/>
    <w:rsid w:val="4EEE723C"/>
    <w:rsid w:val="4EF320A0"/>
    <w:rsid w:val="4EF80EF7"/>
    <w:rsid w:val="4F087956"/>
    <w:rsid w:val="4F094A9E"/>
    <w:rsid w:val="4F1212A3"/>
    <w:rsid w:val="4F1D57EB"/>
    <w:rsid w:val="4F2A39EC"/>
    <w:rsid w:val="4F311B14"/>
    <w:rsid w:val="4F321354"/>
    <w:rsid w:val="4F327331"/>
    <w:rsid w:val="4F381A8F"/>
    <w:rsid w:val="4F522348"/>
    <w:rsid w:val="4F5368C9"/>
    <w:rsid w:val="4F5979CB"/>
    <w:rsid w:val="4F5F49C4"/>
    <w:rsid w:val="4F744081"/>
    <w:rsid w:val="4F766114"/>
    <w:rsid w:val="4F7B372A"/>
    <w:rsid w:val="4F7C39A7"/>
    <w:rsid w:val="4F7F76BE"/>
    <w:rsid w:val="4F8E136D"/>
    <w:rsid w:val="4F9025BD"/>
    <w:rsid w:val="4F920444"/>
    <w:rsid w:val="4F950B0E"/>
    <w:rsid w:val="4F9E4811"/>
    <w:rsid w:val="4FA51312"/>
    <w:rsid w:val="4FA7451F"/>
    <w:rsid w:val="4FB47FD6"/>
    <w:rsid w:val="4FBA5581"/>
    <w:rsid w:val="4FBA60A3"/>
    <w:rsid w:val="4FC3320E"/>
    <w:rsid w:val="4FC3725F"/>
    <w:rsid w:val="4FC864A4"/>
    <w:rsid w:val="4FC9420B"/>
    <w:rsid w:val="4FCB0034"/>
    <w:rsid w:val="4FDE13FD"/>
    <w:rsid w:val="4FE5239D"/>
    <w:rsid w:val="4FE6773D"/>
    <w:rsid w:val="4FEA269F"/>
    <w:rsid w:val="4FEC0E2A"/>
    <w:rsid w:val="4FF0487B"/>
    <w:rsid w:val="4FF25FC4"/>
    <w:rsid w:val="4FF260E2"/>
    <w:rsid w:val="4FF43C08"/>
    <w:rsid w:val="4FFF2A60"/>
    <w:rsid w:val="5004520D"/>
    <w:rsid w:val="500D6A78"/>
    <w:rsid w:val="50121667"/>
    <w:rsid w:val="50130483"/>
    <w:rsid w:val="50157ED0"/>
    <w:rsid w:val="50206009"/>
    <w:rsid w:val="50234336"/>
    <w:rsid w:val="502A714C"/>
    <w:rsid w:val="502B33A2"/>
    <w:rsid w:val="50357D7D"/>
    <w:rsid w:val="50377F99"/>
    <w:rsid w:val="5044508F"/>
    <w:rsid w:val="50521378"/>
    <w:rsid w:val="50534132"/>
    <w:rsid w:val="5055041F"/>
    <w:rsid w:val="505722FA"/>
    <w:rsid w:val="505E5526"/>
    <w:rsid w:val="505E7184"/>
    <w:rsid w:val="50616DC4"/>
    <w:rsid w:val="50665C75"/>
    <w:rsid w:val="506E3165"/>
    <w:rsid w:val="50700DB5"/>
    <w:rsid w:val="50707269"/>
    <w:rsid w:val="507761F3"/>
    <w:rsid w:val="507A1C34"/>
    <w:rsid w:val="50800883"/>
    <w:rsid w:val="50811214"/>
    <w:rsid w:val="50852AB2"/>
    <w:rsid w:val="508710FB"/>
    <w:rsid w:val="50A02428"/>
    <w:rsid w:val="50A218B6"/>
    <w:rsid w:val="50A310A9"/>
    <w:rsid w:val="50A373DC"/>
    <w:rsid w:val="50A62359"/>
    <w:rsid w:val="50AC149B"/>
    <w:rsid w:val="50C80BF1"/>
    <w:rsid w:val="50CC3A85"/>
    <w:rsid w:val="50CF3D2E"/>
    <w:rsid w:val="50D457E8"/>
    <w:rsid w:val="50DE21C3"/>
    <w:rsid w:val="50E82ABB"/>
    <w:rsid w:val="50F051B9"/>
    <w:rsid w:val="50F33EC0"/>
    <w:rsid w:val="50F43794"/>
    <w:rsid w:val="50FF48D0"/>
    <w:rsid w:val="510130B3"/>
    <w:rsid w:val="5116195C"/>
    <w:rsid w:val="511F5F83"/>
    <w:rsid w:val="51260B6A"/>
    <w:rsid w:val="513B4DF7"/>
    <w:rsid w:val="51422751"/>
    <w:rsid w:val="514B3F6A"/>
    <w:rsid w:val="5150517C"/>
    <w:rsid w:val="515626A1"/>
    <w:rsid w:val="5156444F"/>
    <w:rsid w:val="515669E7"/>
    <w:rsid w:val="5160707C"/>
    <w:rsid w:val="5167040A"/>
    <w:rsid w:val="516A4ADC"/>
    <w:rsid w:val="5172656E"/>
    <w:rsid w:val="517475A4"/>
    <w:rsid w:val="51810005"/>
    <w:rsid w:val="51825244"/>
    <w:rsid w:val="51880507"/>
    <w:rsid w:val="518813FC"/>
    <w:rsid w:val="518D06A0"/>
    <w:rsid w:val="519061B9"/>
    <w:rsid w:val="519A07DF"/>
    <w:rsid w:val="519F2884"/>
    <w:rsid w:val="51A53C9E"/>
    <w:rsid w:val="51A62D85"/>
    <w:rsid w:val="51AA5240"/>
    <w:rsid w:val="51B855E6"/>
    <w:rsid w:val="51B92CCF"/>
    <w:rsid w:val="51BA1226"/>
    <w:rsid w:val="51BA263B"/>
    <w:rsid w:val="51C4447B"/>
    <w:rsid w:val="51C92E73"/>
    <w:rsid w:val="51CC64BF"/>
    <w:rsid w:val="51DA64ED"/>
    <w:rsid w:val="51DB7F4F"/>
    <w:rsid w:val="51DD247A"/>
    <w:rsid w:val="51DE160C"/>
    <w:rsid w:val="51E8486B"/>
    <w:rsid w:val="51EC090F"/>
    <w:rsid w:val="51EF6702"/>
    <w:rsid w:val="51F21DCD"/>
    <w:rsid w:val="51F67DA1"/>
    <w:rsid w:val="51FD0BB6"/>
    <w:rsid w:val="520818B6"/>
    <w:rsid w:val="520A6C76"/>
    <w:rsid w:val="520C5713"/>
    <w:rsid w:val="521F0CE5"/>
    <w:rsid w:val="5224454D"/>
    <w:rsid w:val="5227192A"/>
    <w:rsid w:val="522C3CE1"/>
    <w:rsid w:val="522D3402"/>
    <w:rsid w:val="52320A18"/>
    <w:rsid w:val="52391DB4"/>
    <w:rsid w:val="523B771C"/>
    <w:rsid w:val="523F4EE3"/>
    <w:rsid w:val="524546A2"/>
    <w:rsid w:val="5247354A"/>
    <w:rsid w:val="52525677"/>
    <w:rsid w:val="526A11AC"/>
    <w:rsid w:val="526B7928"/>
    <w:rsid w:val="526D6907"/>
    <w:rsid w:val="527C6137"/>
    <w:rsid w:val="527C758B"/>
    <w:rsid w:val="527E556C"/>
    <w:rsid w:val="529C0587"/>
    <w:rsid w:val="52A15B9E"/>
    <w:rsid w:val="52AD718C"/>
    <w:rsid w:val="52AE78A0"/>
    <w:rsid w:val="52B96A43"/>
    <w:rsid w:val="52C02D79"/>
    <w:rsid w:val="52CE17AF"/>
    <w:rsid w:val="52D41ACF"/>
    <w:rsid w:val="52E431D7"/>
    <w:rsid w:val="52E502A3"/>
    <w:rsid w:val="52E63A37"/>
    <w:rsid w:val="52EB483D"/>
    <w:rsid w:val="52ED6537"/>
    <w:rsid w:val="52EF3D6F"/>
    <w:rsid w:val="52F11DEE"/>
    <w:rsid w:val="52F537F4"/>
    <w:rsid w:val="52F932E4"/>
    <w:rsid w:val="52FA615D"/>
    <w:rsid w:val="52FE35FA"/>
    <w:rsid w:val="5300759F"/>
    <w:rsid w:val="530321A3"/>
    <w:rsid w:val="53086C68"/>
    <w:rsid w:val="530A48DD"/>
    <w:rsid w:val="53116579"/>
    <w:rsid w:val="531A55EE"/>
    <w:rsid w:val="531C00D0"/>
    <w:rsid w:val="53206076"/>
    <w:rsid w:val="53226CDE"/>
    <w:rsid w:val="53271025"/>
    <w:rsid w:val="53353F57"/>
    <w:rsid w:val="53364538"/>
    <w:rsid w:val="53380FA9"/>
    <w:rsid w:val="533A4B08"/>
    <w:rsid w:val="534529CD"/>
    <w:rsid w:val="53486019"/>
    <w:rsid w:val="535022B4"/>
    <w:rsid w:val="535075B2"/>
    <w:rsid w:val="53536636"/>
    <w:rsid w:val="535A55E1"/>
    <w:rsid w:val="535C1828"/>
    <w:rsid w:val="53603363"/>
    <w:rsid w:val="536A41E2"/>
    <w:rsid w:val="536C0605"/>
    <w:rsid w:val="536E636E"/>
    <w:rsid w:val="536F35A6"/>
    <w:rsid w:val="53794684"/>
    <w:rsid w:val="537B019D"/>
    <w:rsid w:val="537C1E10"/>
    <w:rsid w:val="537D1A12"/>
    <w:rsid w:val="53913AFC"/>
    <w:rsid w:val="539354E6"/>
    <w:rsid w:val="53B631FA"/>
    <w:rsid w:val="53C11F3C"/>
    <w:rsid w:val="53C438F2"/>
    <w:rsid w:val="53C77352"/>
    <w:rsid w:val="53D37FD9"/>
    <w:rsid w:val="53D77DB9"/>
    <w:rsid w:val="53E2599D"/>
    <w:rsid w:val="53E44C5E"/>
    <w:rsid w:val="53EB3ACC"/>
    <w:rsid w:val="53EB7D0C"/>
    <w:rsid w:val="53F549F0"/>
    <w:rsid w:val="53F8359B"/>
    <w:rsid w:val="53FA5565"/>
    <w:rsid w:val="54103A28"/>
    <w:rsid w:val="5410792C"/>
    <w:rsid w:val="54124A29"/>
    <w:rsid w:val="541C1A6F"/>
    <w:rsid w:val="541D1254"/>
    <w:rsid w:val="54206BAB"/>
    <w:rsid w:val="54222492"/>
    <w:rsid w:val="542757CF"/>
    <w:rsid w:val="54284497"/>
    <w:rsid w:val="542B571F"/>
    <w:rsid w:val="542C68CB"/>
    <w:rsid w:val="542C6F5C"/>
    <w:rsid w:val="542D3B70"/>
    <w:rsid w:val="543433F6"/>
    <w:rsid w:val="5439467A"/>
    <w:rsid w:val="543A32AD"/>
    <w:rsid w:val="5445347D"/>
    <w:rsid w:val="5445601B"/>
    <w:rsid w:val="54525277"/>
    <w:rsid w:val="545709BF"/>
    <w:rsid w:val="54624EB9"/>
    <w:rsid w:val="54661FA6"/>
    <w:rsid w:val="54692B85"/>
    <w:rsid w:val="546B4888"/>
    <w:rsid w:val="546C31A2"/>
    <w:rsid w:val="5471215C"/>
    <w:rsid w:val="54780C2F"/>
    <w:rsid w:val="548573BB"/>
    <w:rsid w:val="54877909"/>
    <w:rsid w:val="548E627B"/>
    <w:rsid w:val="549332C4"/>
    <w:rsid w:val="54957CEE"/>
    <w:rsid w:val="5499550F"/>
    <w:rsid w:val="549C03CB"/>
    <w:rsid w:val="54A12CB7"/>
    <w:rsid w:val="54A53D7C"/>
    <w:rsid w:val="54C14E3F"/>
    <w:rsid w:val="54C806BA"/>
    <w:rsid w:val="54CC7AC8"/>
    <w:rsid w:val="54D827E0"/>
    <w:rsid w:val="54DA272A"/>
    <w:rsid w:val="54DB06F3"/>
    <w:rsid w:val="54EA7EC3"/>
    <w:rsid w:val="54EB1352"/>
    <w:rsid w:val="54F1026B"/>
    <w:rsid w:val="54F1103D"/>
    <w:rsid w:val="54F25C8B"/>
    <w:rsid w:val="54FE4633"/>
    <w:rsid w:val="55045144"/>
    <w:rsid w:val="55055F70"/>
    <w:rsid w:val="55062C70"/>
    <w:rsid w:val="550B1575"/>
    <w:rsid w:val="55166762"/>
    <w:rsid w:val="552F56E3"/>
    <w:rsid w:val="55320D2F"/>
    <w:rsid w:val="5532240D"/>
    <w:rsid w:val="553623F6"/>
    <w:rsid w:val="553739C0"/>
    <w:rsid w:val="55421934"/>
    <w:rsid w:val="55450A62"/>
    <w:rsid w:val="554A0C9E"/>
    <w:rsid w:val="554F1507"/>
    <w:rsid w:val="554F1BF3"/>
    <w:rsid w:val="55582538"/>
    <w:rsid w:val="555F65A5"/>
    <w:rsid w:val="5564034E"/>
    <w:rsid w:val="5565489D"/>
    <w:rsid w:val="556A56B6"/>
    <w:rsid w:val="556E5D90"/>
    <w:rsid w:val="557E6181"/>
    <w:rsid w:val="5588094F"/>
    <w:rsid w:val="55945546"/>
    <w:rsid w:val="55A02195"/>
    <w:rsid w:val="55A41C2D"/>
    <w:rsid w:val="55A75279"/>
    <w:rsid w:val="55A81B76"/>
    <w:rsid w:val="55B00195"/>
    <w:rsid w:val="55B31E70"/>
    <w:rsid w:val="55B94FAC"/>
    <w:rsid w:val="55BF3799"/>
    <w:rsid w:val="55C36183"/>
    <w:rsid w:val="55C432C7"/>
    <w:rsid w:val="55C73193"/>
    <w:rsid w:val="55C76818"/>
    <w:rsid w:val="55C961B4"/>
    <w:rsid w:val="55D2625E"/>
    <w:rsid w:val="55DA38A0"/>
    <w:rsid w:val="55DB13C7"/>
    <w:rsid w:val="55EA33B8"/>
    <w:rsid w:val="55EC2AC1"/>
    <w:rsid w:val="55F14746"/>
    <w:rsid w:val="55F221C8"/>
    <w:rsid w:val="55F2604B"/>
    <w:rsid w:val="55F7482D"/>
    <w:rsid w:val="55F74830"/>
    <w:rsid w:val="56026953"/>
    <w:rsid w:val="560468F6"/>
    <w:rsid w:val="560C1580"/>
    <w:rsid w:val="56113843"/>
    <w:rsid w:val="5612548B"/>
    <w:rsid w:val="56144780"/>
    <w:rsid w:val="561F15E3"/>
    <w:rsid w:val="5622420A"/>
    <w:rsid w:val="562D6668"/>
    <w:rsid w:val="56312D95"/>
    <w:rsid w:val="5637264E"/>
    <w:rsid w:val="563945B3"/>
    <w:rsid w:val="563F0D72"/>
    <w:rsid w:val="56440687"/>
    <w:rsid w:val="56444AB4"/>
    <w:rsid w:val="56452BCB"/>
    <w:rsid w:val="564C6FD3"/>
    <w:rsid w:val="566025B8"/>
    <w:rsid w:val="56603417"/>
    <w:rsid w:val="56644F18"/>
    <w:rsid w:val="566748DD"/>
    <w:rsid w:val="56785D5C"/>
    <w:rsid w:val="56837A94"/>
    <w:rsid w:val="568836AC"/>
    <w:rsid w:val="56921A85"/>
    <w:rsid w:val="569C0B56"/>
    <w:rsid w:val="569C2AFB"/>
    <w:rsid w:val="56AB6D07"/>
    <w:rsid w:val="56AD2D63"/>
    <w:rsid w:val="56B93E41"/>
    <w:rsid w:val="56D227CA"/>
    <w:rsid w:val="56D402F0"/>
    <w:rsid w:val="56D94391"/>
    <w:rsid w:val="56DE186D"/>
    <w:rsid w:val="56E01FD3"/>
    <w:rsid w:val="56F72ACE"/>
    <w:rsid w:val="56F83D23"/>
    <w:rsid w:val="56FB1D20"/>
    <w:rsid w:val="57003F9B"/>
    <w:rsid w:val="57016C0B"/>
    <w:rsid w:val="57041072"/>
    <w:rsid w:val="570C4656"/>
    <w:rsid w:val="57154464"/>
    <w:rsid w:val="57174680"/>
    <w:rsid w:val="57347A2F"/>
    <w:rsid w:val="5735698D"/>
    <w:rsid w:val="573F088A"/>
    <w:rsid w:val="573F1A51"/>
    <w:rsid w:val="57481DED"/>
    <w:rsid w:val="574C6B1F"/>
    <w:rsid w:val="574E4D83"/>
    <w:rsid w:val="575718DC"/>
    <w:rsid w:val="57686DA9"/>
    <w:rsid w:val="57694C35"/>
    <w:rsid w:val="5774402B"/>
    <w:rsid w:val="5776562B"/>
    <w:rsid w:val="577F4CE4"/>
    <w:rsid w:val="57814294"/>
    <w:rsid w:val="578C633F"/>
    <w:rsid w:val="57945CD1"/>
    <w:rsid w:val="579542E2"/>
    <w:rsid w:val="57A05711"/>
    <w:rsid w:val="57A16CEB"/>
    <w:rsid w:val="57A9177C"/>
    <w:rsid w:val="57AB105E"/>
    <w:rsid w:val="57B10631"/>
    <w:rsid w:val="57B65C47"/>
    <w:rsid w:val="57B679F5"/>
    <w:rsid w:val="57B87ECB"/>
    <w:rsid w:val="57C00175"/>
    <w:rsid w:val="57C204E8"/>
    <w:rsid w:val="57C33EC0"/>
    <w:rsid w:val="57D8796C"/>
    <w:rsid w:val="57DB5B54"/>
    <w:rsid w:val="57E15E8A"/>
    <w:rsid w:val="57E5652D"/>
    <w:rsid w:val="57EF14B5"/>
    <w:rsid w:val="58005114"/>
    <w:rsid w:val="580A7D41"/>
    <w:rsid w:val="58170A85"/>
    <w:rsid w:val="581D5CC6"/>
    <w:rsid w:val="5822723A"/>
    <w:rsid w:val="582818A8"/>
    <w:rsid w:val="5830221D"/>
    <w:rsid w:val="583161A3"/>
    <w:rsid w:val="58337D56"/>
    <w:rsid w:val="583475F3"/>
    <w:rsid w:val="583B614D"/>
    <w:rsid w:val="583E2172"/>
    <w:rsid w:val="584A3CB1"/>
    <w:rsid w:val="5853793A"/>
    <w:rsid w:val="585A69C8"/>
    <w:rsid w:val="586466E1"/>
    <w:rsid w:val="586618D3"/>
    <w:rsid w:val="58675193"/>
    <w:rsid w:val="586B4C84"/>
    <w:rsid w:val="58746BD9"/>
    <w:rsid w:val="587F24DD"/>
    <w:rsid w:val="58841452"/>
    <w:rsid w:val="588E2720"/>
    <w:rsid w:val="58942A25"/>
    <w:rsid w:val="58977827"/>
    <w:rsid w:val="589B4229"/>
    <w:rsid w:val="58AD53C5"/>
    <w:rsid w:val="58B531C5"/>
    <w:rsid w:val="58BC5126"/>
    <w:rsid w:val="58BD6086"/>
    <w:rsid w:val="58C6010C"/>
    <w:rsid w:val="58DB6D15"/>
    <w:rsid w:val="58E81E30"/>
    <w:rsid w:val="58F46A27"/>
    <w:rsid w:val="58F479E3"/>
    <w:rsid w:val="58FD12DA"/>
    <w:rsid w:val="58FF22DB"/>
    <w:rsid w:val="590824D3"/>
    <w:rsid w:val="590A2C81"/>
    <w:rsid w:val="590B7C9C"/>
    <w:rsid w:val="5915074C"/>
    <w:rsid w:val="59195665"/>
    <w:rsid w:val="591A49CA"/>
    <w:rsid w:val="591F6673"/>
    <w:rsid w:val="59215342"/>
    <w:rsid w:val="59257140"/>
    <w:rsid w:val="592738E1"/>
    <w:rsid w:val="59305585"/>
    <w:rsid w:val="59361550"/>
    <w:rsid w:val="593D7C74"/>
    <w:rsid w:val="5947124D"/>
    <w:rsid w:val="594F58B5"/>
    <w:rsid w:val="59545718"/>
    <w:rsid w:val="595C637A"/>
    <w:rsid w:val="59653481"/>
    <w:rsid w:val="59657925"/>
    <w:rsid w:val="59693390"/>
    <w:rsid w:val="5973527B"/>
    <w:rsid w:val="59753252"/>
    <w:rsid w:val="59786A09"/>
    <w:rsid w:val="597914B4"/>
    <w:rsid w:val="597F06E3"/>
    <w:rsid w:val="5980290A"/>
    <w:rsid w:val="598729A5"/>
    <w:rsid w:val="598A2EE8"/>
    <w:rsid w:val="598A35B0"/>
    <w:rsid w:val="599124C8"/>
    <w:rsid w:val="599B3347"/>
    <w:rsid w:val="59A01D23"/>
    <w:rsid w:val="59A12B57"/>
    <w:rsid w:val="59A87D08"/>
    <w:rsid w:val="59AD44B1"/>
    <w:rsid w:val="59B17140"/>
    <w:rsid w:val="59B43525"/>
    <w:rsid w:val="59B611D6"/>
    <w:rsid w:val="59B678AD"/>
    <w:rsid w:val="59BA0642"/>
    <w:rsid w:val="59BA4AC3"/>
    <w:rsid w:val="59BA76B2"/>
    <w:rsid w:val="59BE19FA"/>
    <w:rsid w:val="59C33FA5"/>
    <w:rsid w:val="59C356A8"/>
    <w:rsid w:val="59C61D34"/>
    <w:rsid w:val="59CC564D"/>
    <w:rsid w:val="59CF1242"/>
    <w:rsid w:val="59E91753"/>
    <w:rsid w:val="59F94AC0"/>
    <w:rsid w:val="59FE6DC7"/>
    <w:rsid w:val="5A013D74"/>
    <w:rsid w:val="5A0802B0"/>
    <w:rsid w:val="5A0C1B4F"/>
    <w:rsid w:val="5A0F6902"/>
    <w:rsid w:val="5A0F707A"/>
    <w:rsid w:val="5A137B38"/>
    <w:rsid w:val="5A1B4488"/>
    <w:rsid w:val="5A1E1882"/>
    <w:rsid w:val="5A221372"/>
    <w:rsid w:val="5A251833"/>
    <w:rsid w:val="5A3022F6"/>
    <w:rsid w:val="5A35111C"/>
    <w:rsid w:val="5A357F97"/>
    <w:rsid w:val="5A3B5FA0"/>
    <w:rsid w:val="5A427B73"/>
    <w:rsid w:val="5A47702B"/>
    <w:rsid w:val="5A4F5EDF"/>
    <w:rsid w:val="5A5217AD"/>
    <w:rsid w:val="5A5D0617"/>
    <w:rsid w:val="5A6829A7"/>
    <w:rsid w:val="5A7029DE"/>
    <w:rsid w:val="5A715E56"/>
    <w:rsid w:val="5A764DB1"/>
    <w:rsid w:val="5A79768C"/>
    <w:rsid w:val="5A7B160F"/>
    <w:rsid w:val="5A7D778E"/>
    <w:rsid w:val="5A830771"/>
    <w:rsid w:val="5A871B1D"/>
    <w:rsid w:val="5A8A4D39"/>
    <w:rsid w:val="5A8D5B3C"/>
    <w:rsid w:val="5A900A91"/>
    <w:rsid w:val="5A911684"/>
    <w:rsid w:val="5A955FE8"/>
    <w:rsid w:val="5A971D60"/>
    <w:rsid w:val="5A987886"/>
    <w:rsid w:val="5AA71877"/>
    <w:rsid w:val="5AAB2214"/>
    <w:rsid w:val="5AAC5656"/>
    <w:rsid w:val="5AAC58EC"/>
    <w:rsid w:val="5AAE0E58"/>
    <w:rsid w:val="5AAE2C06"/>
    <w:rsid w:val="5AB61502"/>
    <w:rsid w:val="5AB660D5"/>
    <w:rsid w:val="5ABA3054"/>
    <w:rsid w:val="5AD02E77"/>
    <w:rsid w:val="5AD572B3"/>
    <w:rsid w:val="5ADC59C5"/>
    <w:rsid w:val="5AE76118"/>
    <w:rsid w:val="5AEB6539"/>
    <w:rsid w:val="5AF341FE"/>
    <w:rsid w:val="5AF34ABD"/>
    <w:rsid w:val="5AF56B7C"/>
    <w:rsid w:val="5B026770"/>
    <w:rsid w:val="5B0E7B10"/>
    <w:rsid w:val="5B101A24"/>
    <w:rsid w:val="5B1213E7"/>
    <w:rsid w:val="5B12588A"/>
    <w:rsid w:val="5B141BEC"/>
    <w:rsid w:val="5B14445E"/>
    <w:rsid w:val="5B162D21"/>
    <w:rsid w:val="5B3637FA"/>
    <w:rsid w:val="5B3A6B8F"/>
    <w:rsid w:val="5B3E21DC"/>
    <w:rsid w:val="5B402FBF"/>
    <w:rsid w:val="5B4041A6"/>
    <w:rsid w:val="5B466CB4"/>
    <w:rsid w:val="5B52424E"/>
    <w:rsid w:val="5B547C51"/>
    <w:rsid w:val="5B607464"/>
    <w:rsid w:val="5B6836FC"/>
    <w:rsid w:val="5B8B5DF2"/>
    <w:rsid w:val="5B8E3EFA"/>
    <w:rsid w:val="5B935248"/>
    <w:rsid w:val="5B94004E"/>
    <w:rsid w:val="5B962018"/>
    <w:rsid w:val="5B9938B6"/>
    <w:rsid w:val="5B9B5880"/>
    <w:rsid w:val="5BBB1A7E"/>
    <w:rsid w:val="5BC20A0D"/>
    <w:rsid w:val="5BCD355F"/>
    <w:rsid w:val="5BDE5E3D"/>
    <w:rsid w:val="5BE32D83"/>
    <w:rsid w:val="5BEA7864"/>
    <w:rsid w:val="5BED775E"/>
    <w:rsid w:val="5BF127C1"/>
    <w:rsid w:val="5BF12EF0"/>
    <w:rsid w:val="5BF1724E"/>
    <w:rsid w:val="5BF5277C"/>
    <w:rsid w:val="5BFA12D2"/>
    <w:rsid w:val="5BFE196B"/>
    <w:rsid w:val="5C0351D3"/>
    <w:rsid w:val="5C036F81"/>
    <w:rsid w:val="5C050F4B"/>
    <w:rsid w:val="5C05719D"/>
    <w:rsid w:val="5C0E0F8B"/>
    <w:rsid w:val="5C0E6052"/>
    <w:rsid w:val="5C1318BA"/>
    <w:rsid w:val="5C1955B4"/>
    <w:rsid w:val="5C2102D0"/>
    <w:rsid w:val="5C2E04A2"/>
    <w:rsid w:val="5C304591"/>
    <w:rsid w:val="5C356C4B"/>
    <w:rsid w:val="5C3706D2"/>
    <w:rsid w:val="5C384E7D"/>
    <w:rsid w:val="5C3977B6"/>
    <w:rsid w:val="5C3A119E"/>
    <w:rsid w:val="5C42409E"/>
    <w:rsid w:val="5C4F2412"/>
    <w:rsid w:val="5C525071"/>
    <w:rsid w:val="5C526D5D"/>
    <w:rsid w:val="5C583771"/>
    <w:rsid w:val="5C593AC2"/>
    <w:rsid w:val="5C685E55"/>
    <w:rsid w:val="5C6A7000"/>
    <w:rsid w:val="5C704E57"/>
    <w:rsid w:val="5C7834CB"/>
    <w:rsid w:val="5C78796F"/>
    <w:rsid w:val="5C787AFD"/>
    <w:rsid w:val="5C7D454D"/>
    <w:rsid w:val="5C82259C"/>
    <w:rsid w:val="5C98714B"/>
    <w:rsid w:val="5C9B540C"/>
    <w:rsid w:val="5C9C1945"/>
    <w:rsid w:val="5C9D2289"/>
    <w:rsid w:val="5CA415FB"/>
    <w:rsid w:val="5CA83399"/>
    <w:rsid w:val="5CBD0F3E"/>
    <w:rsid w:val="5CC23BA2"/>
    <w:rsid w:val="5CC5181A"/>
    <w:rsid w:val="5CD0702B"/>
    <w:rsid w:val="5CD252D1"/>
    <w:rsid w:val="5CD56B70"/>
    <w:rsid w:val="5CD64696"/>
    <w:rsid w:val="5CDF3213"/>
    <w:rsid w:val="5CE1177F"/>
    <w:rsid w:val="5CE15956"/>
    <w:rsid w:val="5CE17B0A"/>
    <w:rsid w:val="5CF0251D"/>
    <w:rsid w:val="5CF3349A"/>
    <w:rsid w:val="5CF44AE0"/>
    <w:rsid w:val="5CFA0384"/>
    <w:rsid w:val="5D0D6309"/>
    <w:rsid w:val="5D1458EA"/>
    <w:rsid w:val="5D235B2D"/>
    <w:rsid w:val="5D2672BC"/>
    <w:rsid w:val="5D27532B"/>
    <w:rsid w:val="5D301260"/>
    <w:rsid w:val="5D327B1E"/>
    <w:rsid w:val="5D3B6F2A"/>
    <w:rsid w:val="5D3E051F"/>
    <w:rsid w:val="5D441E39"/>
    <w:rsid w:val="5D515259"/>
    <w:rsid w:val="5D584A99"/>
    <w:rsid w:val="5D5C4B9B"/>
    <w:rsid w:val="5D613BCB"/>
    <w:rsid w:val="5D6250B4"/>
    <w:rsid w:val="5D631084"/>
    <w:rsid w:val="5D7E0E10"/>
    <w:rsid w:val="5D7F34E2"/>
    <w:rsid w:val="5D820D7F"/>
    <w:rsid w:val="5D876A04"/>
    <w:rsid w:val="5D884E5F"/>
    <w:rsid w:val="5D8F289A"/>
    <w:rsid w:val="5D9216EA"/>
    <w:rsid w:val="5D943DC1"/>
    <w:rsid w:val="5DA34FE8"/>
    <w:rsid w:val="5DA87DE0"/>
    <w:rsid w:val="5DAC0B1E"/>
    <w:rsid w:val="5DAF3EB2"/>
    <w:rsid w:val="5DB4354B"/>
    <w:rsid w:val="5DBE13B2"/>
    <w:rsid w:val="5DC15346"/>
    <w:rsid w:val="5DC170F4"/>
    <w:rsid w:val="5DC7223B"/>
    <w:rsid w:val="5DD24E5D"/>
    <w:rsid w:val="5DDC146F"/>
    <w:rsid w:val="5DE86870"/>
    <w:rsid w:val="5DEE02FC"/>
    <w:rsid w:val="5DF23751"/>
    <w:rsid w:val="5DF272AD"/>
    <w:rsid w:val="5DF64FF0"/>
    <w:rsid w:val="5DFD07C0"/>
    <w:rsid w:val="5E041FD8"/>
    <w:rsid w:val="5E0764B7"/>
    <w:rsid w:val="5E127071"/>
    <w:rsid w:val="5E1611EE"/>
    <w:rsid w:val="5E1704AA"/>
    <w:rsid w:val="5E18474A"/>
    <w:rsid w:val="5E1E3878"/>
    <w:rsid w:val="5E254020"/>
    <w:rsid w:val="5E2A6A47"/>
    <w:rsid w:val="5E2F35DF"/>
    <w:rsid w:val="5E345B18"/>
    <w:rsid w:val="5E39025D"/>
    <w:rsid w:val="5E427006"/>
    <w:rsid w:val="5E4A3516"/>
    <w:rsid w:val="5E4C4C10"/>
    <w:rsid w:val="5E4C55E9"/>
    <w:rsid w:val="5E4C6BBC"/>
    <w:rsid w:val="5E4F1CDA"/>
    <w:rsid w:val="5E5166CA"/>
    <w:rsid w:val="5E536942"/>
    <w:rsid w:val="5E545207"/>
    <w:rsid w:val="5E5810F8"/>
    <w:rsid w:val="5E5E2B95"/>
    <w:rsid w:val="5E60047B"/>
    <w:rsid w:val="5E6155FE"/>
    <w:rsid w:val="5E79352B"/>
    <w:rsid w:val="5E7C38CA"/>
    <w:rsid w:val="5E8124A0"/>
    <w:rsid w:val="5E8E26A4"/>
    <w:rsid w:val="5E9A7A2A"/>
    <w:rsid w:val="5EAA6DD9"/>
    <w:rsid w:val="5EAB402C"/>
    <w:rsid w:val="5EAE7678"/>
    <w:rsid w:val="5EAF3268"/>
    <w:rsid w:val="5EAF6076"/>
    <w:rsid w:val="5EB2314A"/>
    <w:rsid w:val="5EB56C59"/>
    <w:rsid w:val="5EC450EE"/>
    <w:rsid w:val="5EC648CD"/>
    <w:rsid w:val="5EC809F4"/>
    <w:rsid w:val="5EE20946"/>
    <w:rsid w:val="5EFA18BB"/>
    <w:rsid w:val="5EFF1C82"/>
    <w:rsid w:val="5F014F67"/>
    <w:rsid w:val="5F0264FA"/>
    <w:rsid w:val="5F03515E"/>
    <w:rsid w:val="5F0A20A2"/>
    <w:rsid w:val="5F0D1098"/>
    <w:rsid w:val="5F0E7A43"/>
    <w:rsid w:val="5F0F19B8"/>
    <w:rsid w:val="5F20181C"/>
    <w:rsid w:val="5F27521E"/>
    <w:rsid w:val="5F2E60FA"/>
    <w:rsid w:val="5F3608F5"/>
    <w:rsid w:val="5F3D00E1"/>
    <w:rsid w:val="5F3D3985"/>
    <w:rsid w:val="5F477C2A"/>
    <w:rsid w:val="5F49114F"/>
    <w:rsid w:val="5F561124"/>
    <w:rsid w:val="5F5E28DD"/>
    <w:rsid w:val="5F6076AF"/>
    <w:rsid w:val="5F795F2D"/>
    <w:rsid w:val="5F7F7F09"/>
    <w:rsid w:val="5F812DA9"/>
    <w:rsid w:val="5F814D8D"/>
    <w:rsid w:val="5F8613F6"/>
    <w:rsid w:val="5F864C19"/>
    <w:rsid w:val="5F8B1768"/>
    <w:rsid w:val="5F90442C"/>
    <w:rsid w:val="5F922535"/>
    <w:rsid w:val="5F973A30"/>
    <w:rsid w:val="5F9C1BC7"/>
    <w:rsid w:val="5FA01B9B"/>
    <w:rsid w:val="5FA47A9A"/>
    <w:rsid w:val="5FA62A45"/>
    <w:rsid w:val="5FA865BC"/>
    <w:rsid w:val="5FAF52EE"/>
    <w:rsid w:val="5FB130D0"/>
    <w:rsid w:val="5FB4701C"/>
    <w:rsid w:val="5FB54A36"/>
    <w:rsid w:val="5FB707AE"/>
    <w:rsid w:val="5FC34143"/>
    <w:rsid w:val="5FCB4CE9"/>
    <w:rsid w:val="5FE55FCE"/>
    <w:rsid w:val="5FED5F7E"/>
    <w:rsid w:val="5FEF48C7"/>
    <w:rsid w:val="5FF078FF"/>
    <w:rsid w:val="5FF13CC0"/>
    <w:rsid w:val="5FF4555F"/>
    <w:rsid w:val="5FF6646E"/>
    <w:rsid w:val="5FF92B75"/>
    <w:rsid w:val="601263B8"/>
    <w:rsid w:val="60136F65"/>
    <w:rsid w:val="601479AF"/>
    <w:rsid w:val="601B0B11"/>
    <w:rsid w:val="601F4A3C"/>
    <w:rsid w:val="6025396A"/>
    <w:rsid w:val="602A5424"/>
    <w:rsid w:val="602B3912"/>
    <w:rsid w:val="602C265E"/>
    <w:rsid w:val="60341DFF"/>
    <w:rsid w:val="60352AAC"/>
    <w:rsid w:val="60402552"/>
    <w:rsid w:val="60411AA3"/>
    <w:rsid w:val="60491A92"/>
    <w:rsid w:val="60494C8A"/>
    <w:rsid w:val="604E5030"/>
    <w:rsid w:val="60507E62"/>
    <w:rsid w:val="60580360"/>
    <w:rsid w:val="60624553"/>
    <w:rsid w:val="60633696"/>
    <w:rsid w:val="606359E6"/>
    <w:rsid w:val="60636240"/>
    <w:rsid w:val="606964C9"/>
    <w:rsid w:val="606E745A"/>
    <w:rsid w:val="607526B4"/>
    <w:rsid w:val="6084377A"/>
    <w:rsid w:val="608F4093"/>
    <w:rsid w:val="60A13198"/>
    <w:rsid w:val="60A24FBB"/>
    <w:rsid w:val="60A521A0"/>
    <w:rsid w:val="60AD2087"/>
    <w:rsid w:val="60AF2B98"/>
    <w:rsid w:val="60BB348D"/>
    <w:rsid w:val="60BD2AB5"/>
    <w:rsid w:val="60BD58AC"/>
    <w:rsid w:val="60C33FC4"/>
    <w:rsid w:val="60C72C73"/>
    <w:rsid w:val="60D63B2E"/>
    <w:rsid w:val="60D809DC"/>
    <w:rsid w:val="60DF1D6B"/>
    <w:rsid w:val="60E277A8"/>
    <w:rsid w:val="60E65FC9"/>
    <w:rsid w:val="60EA66DE"/>
    <w:rsid w:val="60FE666C"/>
    <w:rsid w:val="61050A04"/>
    <w:rsid w:val="61066AA3"/>
    <w:rsid w:val="61113EEE"/>
    <w:rsid w:val="61177312"/>
    <w:rsid w:val="61377DF9"/>
    <w:rsid w:val="61380167"/>
    <w:rsid w:val="613A3445"/>
    <w:rsid w:val="614147D4"/>
    <w:rsid w:val="6145155F"/>
    <w:rsid w:val="6149117D"/>
    <w:rsid w:val="614B7400"/>
    <w:rsid w:val="614E0C9F"/>
    <w:rsid w:val="61520175"/>
    <w:rsid w:val="61540222"/>
    <w:rsid w:val="6155202D"/>
    <w:rsid w:val="61614E76"/>
    <w:rsid w:val="61627EF2"/>
    <w:rsid w:val="616404C2"/>
    <w:rsid w:val="61690897"/>
    <w:rsid w:val="61694115"/>
    <w:rsid w:val="61696F28"/>
    <w:rsid w:val="617B5F04"/>
    <w:rsid w:val="61822EF6"/>
    <w:rsid w:val="61840B64"/>
    <w:rsid w:val="61867CBE"/>
    <w:rsid w:val="618C5FB1"/>
    <w:rsid w:val="619F774C"/>
    <w:rsid w:val="61A30A46"/>
    <w:rsid w:val="61A37FBF"/>
    <w:rsid w:val="61AD67D9"/>
    <w:rsid w:val="61BE00C7"/>
    <w:rsid w:val="61C667E4"/>
    <w:rsid w:val="61D05715"/>
    <w:rsid w:val="61DB43ED"/>
    <w:rsid w:val="61DD5C0E"/>
    <w:rsid w:val="61E1276F"/>
    <w:rsid w:val="61E84C4F"/>
    <w:rsid w:val="61F24E65"/>
    <w:rsid w:val="61FC6B54"/>
    <w:rsid w:val="6208709F"/>
    <w:rsid w:val="62132AC5"/>
    <w:rsid w:val="62143659"/>
    <w:rsid w:val="622112F5"/>
    <w:rsid w:val="622A102E"/>
    <w:rsid w:val="622D7B47"/>
    <w:rsid w:val="623916BE"/>
    <w:rsid w:val="62402A42"/>
    <w:rsid w:val="624E486D"/>
    <w:rsid w:val="62686413"/>
    <w:rsid w:val="626B289A"/>
    <w:rsid w:val="62870D02"/>
    <w:rsid w:val="628D57F7"/>
    <w:rsid w:val="6291178B"/>
    <w:rsid w:val="62937F82"/>
    <w:rsid w:val="629503BF"/>
    <w:rsid w:val="6295776A"/>
    <w:rsid w:val="629B323B"/>
    <w:rsid w:val="629E37E6"/>
    <w:rsid w:val="62B00A61"/>
    <w:rsid w:val="62B02E9C"/>
    <w:rsid w:val="62BC7E8A"/>
    <w:rsid w:val="62C21463"/>
    <w:rsid w:val="62C25C0C"/>
    <w:rsid w:val="62C60068"/>
    <w:rsid w:val="62C872C7"/>
    <w:rsid w:val="62CD5509"/>
    <w:rsid w:val="62CF1196"/>
    <w:rsid w:val="62DF0794"/>
    <w:rsid w:val="62E15AE5"/>
    <w:rsid w:val="62EA2C49"/>
    <w:rsid w:val="62ED7B55"/>
    <w:rsid w:val="63077F65"/>
    <w:rsid w:val="630930CF"/>
    <w:rsid w:val="630F445E"/>
    <w:rsid w:val="63232C71"/>
    <w:rsid w:val="63291928"/>
    <w:rsid w:val="63301343"/>
    <w:rsid w:val="63332842"/>
    <w:rsid w:val="633C694F"/>
    <w:rsid w:val="633D721D"/>
    <w:rsid w:val="633E4E82"/>
    <w:rsid w:val="633F11E7"/>
    <w:rsid w:val="6347009B"/>
    <w:rsid w:val="635025C8"/>
    <w:rsid w:val="6352254F"/>
    <w:rsid w:val="63552E8A"/>
    <w:rsid w:val="635B4CC7"/>
    <w:rsid w:val="636130E0"/>
    <w:rsid w:val="63666773"/>
    <w:rsid w:val="636A6886"/>
    <w:rsid w:val="636E564F"/>
    <w:rsid w:val="637349EC"/>
    <w:rsid w:val="637372C1"/>
    <w:rsid w:val="637D075E"/>
    <w:rsid w:val="63891F1F"/>
    <w:rsid w:val="638D1F52"/>
    <w:rsid w:val="63950C34"/>
    <w:rsid w:val="63992594"/>
    <w:rsid w:val="63A45B72"/>
    <w:rsid w:val="63A53508"/>
    <w:rsid w:val="63AA1BCD"/>
    <w:rsid w:val="63AE1B9F"/>
    <w:rsid w:val="63B06793"/>
    <w:rsid w:val="63B079EF"/>
    <w:rsid w:val="63BA261B"/>
    <w:rsid w:val="63C0668C"/>
    <w:rsid w:val="63C51931"/>
    <w:rsid w:val="63D00091"/>
    <w:rsid w:val="63D62269"/>
    <w:rsid w:val="63DA4A6C"/>
    <w:rsid w:val="63DB4576"/>
    <w:rsid w:val="63DE4D0F"/>
    <w:rsid w:val="63E034FC"/>
    <w:rsid w:val="63E86948"/>
    <w:rsid w:val="63FB5C60"/>
    <w:rsid w:val="64037F24"/>
    <w:rsid w:val="64046278"/>
    <w:rsid w:val="640E2967"/>
    <w:rsid w:val="64142999"/>
    <w:rsid w:val="641F338B"/>
    <w:rsid w:val="642C3EEA"/>
    <w:rsid w:val="642C54C7"/>
    <w:rsid w:val="642E7A37"/>
    <w:rsid w:val="643237A5"/>
    <w:rsid w:val="64346872"/>
    <w:rsid w:val="6436623C"/>
    <w:rsid w:val="643855FF"/>
    <w:rsid w:val="643A21BF"/>
    <w:rsid w:val="64414AEB"/>
    <w:rsid w:val="64484B87"/>
    <w:rsid w:val="644B7576"/>
    <w:rsid w:val="64607667"/>
    <w:rsid w:val="646144B1"/>
    <w:rsid w:val="64626A30"/>
    <w:rsid w:val="646F3406"/>
    <w:rsid w:val="64805613"/>
    <w:rsid w:val="64886EB0"/>
    <w:rsid w:val="648D7D30"/>
    <w:rsid w:val="649E1F3D"/>
    <w:rsid w:val="64AA2690"/>
    <w:rsid w:val="64B04BF4"/>
    <w:rsid w:val="64B8118E"/>
    <w:rsid w:val="64B976B2"/>
    <w:rsid w:val="64BC50A8"/>
    <w:rsid w:val="64D704F4"/>
    <w:rsid w:val="64D771FD"/>
    <w:rsid w:val="64DC78B8"/>
    <w:rsid w:val="64DF6B47"/>
    <w:rsid w:val="64E030DF"/>
    <w:rsid w:val="64E1336B"/>
    <w:rsid w:val="64E40E6A"/>
    <w:rsid w:val="64E42046"/>
    <w:rsid w:val="64EA5A43"/>
    <w:rsid w:val="64EB4CCD"/>
    <w:rsid w:val="64EB4FEC"/>
    <w:rsid w:val="64F54AB1"/>
    <w:rsid w:val="64F664FA"/>
    <w:rsid w:val="64FE4ED3"/>
    <w:rsid w:val="65002528"/>
    <w:rsid w:val="65064C01"/>
    <w:rsid w:val="65065370"/>
    <w:rsid w:val="6509385A"/>
    <w:rsid w:val="651135B3"/>
    <w:rsid w:val="651A0578"/>
    <w:rsid w:val="651B358E"/>
    <w:rsid w:val="6521758C"/>
    <w:rsid w:val="6522491C"/>
    <w:rsid w:val="6525440C"/>
    <w:rsid w:val="652B0517"/>
    <w:rsid w:val="652B4D81"/>
    <w:rsid w:val="652C2DFC"/>
    <w:rsid w:val="652E32C1"/>
    <w:rsid w:val="6531690D"/>
    <w:rsid w:val="653511CC"/>
    <w:rsid w:val="653F294D"/>
    <w:rsid w:val="654C2076"/>
    <w:rsid w:val="654C747E"/>
    <w:rsid w:val="6552134C"/>
    <w:rsid w:val="6553078D"/>
    <w:rsid w:val="656A42D9"/>
    <w:rsid w:val="656F3DC7"/>
    <w:rsid w:val="6579736B"/>
    <w:rsid w:val="657D1B52"/>
    <w:rsid w:val="65841133"/>
    <w:rsid w:val="658730AF"/>
    <w:rsid w:val="65876E75"/>
    <w:rsid w:val="65882D0B"/>
    <w:rsid w:val="65892A2A"/>
    <w:rsid w:val="659059BC"/>
    <w:rsid w:val="65943D2E"/>
    <w:rsid w:val="65994698"/>
    <w:rsid w:val="659D3FA3"/>
    <w:rsid w:val="65AA24B1"/>
    <w:rsid w:val="65AE4402"/>
    <w:rsid w:val="65B141EA"/>
    <w:rsid w:val="65B337C6"/>
    <w:rsid w:val="65B923E3"/>
    <w:rsid w:val="65C32A3D"/>
    <w:rsid w:val="65C50D1A"/>
    <w:rsid w:val="65D21DE8"/>
    <w:rsid w:val="65D315FF"/>
    <w:rsid w:val="65D5605E"/>
    <w:rsid w:val="65DA51F7"/>
    <w:rsid w:val="65E6594A"/>
    <w:rsid w:val="65E76CC4"/>
    <w:rsid w:val="65EC0A86"/>
    <w:rsid w:val="65F14EBD"/>
    <w:rsid w:val="65F917A1"/>
    <w:rsid w:val="6603712A"/>
    <w:rsid w:val="660C3AF8"/>
    <w:rsid w:val="660D2ED6"/>
    <w:rsid w:val="660D7B9C"/>
    <w:rsid w:val="660F50CF"/>
    <w:rsid w:val="66141D57"/>
    <w:rsid w:val="66187ACD"/>
    <w:rsid w:val="6620359F"/>
    <w:rsid w:val="66255B1F"/>
    <w:rsid w:val="662D11E6"/>
    <w:rsid w:val="662E7273"/>
    <w:rsid w:val="66365D84"/>
    <w:rsid w:val="66391F1D"/>
    <w:rsid w:val="663C7C5F"/>
    <w:rsid w:val="663D7E90"/>
    <w:rsid w:val="66461D63"/>
    <w:rsid w:val="6650370B"/>
    <w:rsid w:val="66527571"/>
    <w:rsid w:val="66540B05"/>
    <w:rsid w:val="6659436D"/>
    <w:rsid w:val="665D3D8F"/>
    <w:rsid w:val="66602BC7"/>
    <w:rsid w:val="6672542F"/>
    <w:rsid w:val="667A512E"/>
    <w:rsid w:val="667E42FD"/>
    <w:rsid w:val="6685036C"/>
    <w:rsid w:val="66876081"/>
    <w:rsid w:val="668A4527"/>
    <w:rsid w:val="668E78CD"/>
    <w:rsid w:val="66981404"/>
    <w:rsid w:val="669B5028"/>
    <w:rsid w:val="669C06FE"/>
    <w:rsid w:val="669C293B"/>
    <w:rsid w:val="66A24A95"/>
    <w:rsid w:val="66A7076B"/>
    <w:rsid w:val="66AC29D5"/>
    <w:rsid w:val="66AD46B9"/>
    <w:rsid w:val="66AE6350"/>
    <w:rsid w:val="66CD08B8"/>
    <w:rsid w:val="66D33235"/>
    <w:rsid w:val="66DB485A"/>
    <w:rsid w:val="66DC3E2C"/>
    <w:rsid w:val="66E0352A"/>
    <w:rsid w:val="66ED7FC0"/>
    <w:rsid w:val="66EF6D88"/>
    <w:rsid w:val="66F26570"/>
    <w:rsid w:val="66F6264B"/>
    <w:rsid w:val="66F756B2"/>
    <w:rsid w:val="66FD119D"/>
    <w:rsid w:val="67030A4B"/>
    <w:rsid w:val="6703521B"/>
    <w:rsid w:val="6705639B"/>
    <w:rsid w:val="670C780B"/>
    <w:rsid w:val="6712451C"/>
    <w:rsid w:val="671B6383"/>
    <w:rsid w:val="671C6AEB"/>
    <w:rsid w:val="672030DD"/>
    <w:rsid w:val="67204E8B"/>
    <w:rsid w:val="67300A7E"/>
    <w:rsid w:val="674509F6"/>
    <w:rsid w:val="674F0CAD"/>
    <w:rsid w:val="67582877"/>
    <w:rsid w:val="67595090"/>
    <w:rsid w:val="675C40F8"/>
    <w:rsid w:val="676077D1"/>
    <w:rsid w:val="676147DC"/>
    <w:rsid w:val="676254A4"/>
    <w:rsid w:val="67627252"/>
    <w:rsid w:val="6764746E"/>
    <w:rsid w:val="67672ABA"/>
    <w:rsid w:val="67676273"/>
    <w:rsid w:val="676B171D"/>
    <w:rsid w:val="676C5483"/>
    <w:rsid w:val="67746F85"/>
    <w:rsid w:val="6778101E"/>
    <w:rsid w:val="677A0A3F"/>
    <w:rsid w:val="677D22DE"/>
    <w:rsid w:val="677D408C"/>
    <w:rsid w:val="678371C8"/>
    <w:rsid w:val="67896ED4"/>
    <w:rsid w:val="679061BB"/>
    <w:rsid w:val="67916DB0"/>
    <w:rsid w:val="679B09B6"/>
    <w:rsid w:val="679D3CCD"/>
    <w:rsid w:val="67B0620F"/>
    <w:rsid w:val="67B54917"/>
    <w:rsid w:val="67B81568"/>
    <w:rsid w:val="67BD76E1"/>
    <w:rsid w:val="67CD5371"/>
    <w:rsid w:val="67D57A24"/>
    <w:rsid w:val="67E47BAF"/>
    <w:rsid w:val="67E72967"/>
    <w:rsid w:val="67EA748B"/>
    <w:rsid w:val="67EC1211"/>
    <w:rsid w:val="67ED44F9"/>
    <w:rsid w:val="67F21EBE"/>
    <w:rsid w:val="67F3434E"/>
    <w:rsid w:val="67FC4C82"/>
    <w:rsid w:val="67FC60B7"/>
    <w:rsid w:val="68103152"/>
    <w:rsid w:val="681A18DB"/>
    <w:rsid w:val="681C56E8"/>
    <w:rsid w:val="68232E85"/>
    <w:rsid w:val="68297D70"/>
    <w:rsid w:val="68336E40"/>
    <w:rsid w:val="68403AFD"/>
    <w:rsid w:val="684140AE"/>
    <w:rsid w:val="68541290"/>
    <w:rsid w:val="686113BA"/>
    <w:rsid w:val="68620649"/>
    <w:rsid w:val="68630D3F"/>
    <w:rsid w:val="68690E30"/>
    <w:rsid w:val="68721DB3"/>
    <w:rsid w:val="68727968"/>
    <w:rsid w:val="687D5A18"/>
    <w:rsid w:val="688731D3"/>
    <w:rsid w:val="688F42C9"/>
    <w:rsid w:val="68980099"/>
    <w:rsid w:val="689D3FFD"/>
    <w:rsid w:val="68AE7647"/>
    <w:rsid w:val="68B27FE5"/>
    <w:rsid w:val="68B33CBC"/>
    <w:rsid w:val="68BB130F"/>
    <w:rsid w:val="68BC404D"/>
    <w:rsid w:val="68C05073"/>
    <w:rsid w:val="68CC0D03"/>
    <w:rsid w:val="68D423D1"/>
    <w:rsid w:val="68E52BC5"/>
    <w:rsid w:val="68E71B98"/>
    <w:rsid w:val="68ED3493"/>
    <w:rsid w:val="68F24605"/>
    <w:rsid w:val="68F63FD0"/>
    <w:rsid w:val="68F951EB"/>
    <w:rsid w:val="68FA0D09"/>
    <w:rsid w:val="690507DD"/>
    <w:rsid w:val="690518E3"/>
    <w:rsid w:val="69074555"/>
    <w:rsid w:val="69090935"/>
    <w:rsid w:val="6913778D"/>
    <w:rsid w:val="692216E4"/>
    <w:rsid w:val="692349A9"/>
    <w:rsid w:val="6927100D"/>
    <w:rsid w:val="692844CB"/>
    <w:rsid w:val="6935729D"/>
    <w:rsid w:val="693B4526"/>
    <w:rsid w:val="69433CAC"/>
    <w:rsid w:val="69434E61"/>
    <w:rsid w:val="694A2693"/>
    <w:rsid w:val="694A4D27"/>
    <w:rsid w:val="694A610B"/>
    <w:rsid w:val="69557280"/>
    <w:rsid w:val="69647910"/>
    <w:rsid w:val="696F1FF4"/>
    <w:rsid w:val="697E2410"/>
    <w:rsid w:val="69852A6B"/>
    <w:rsid w:val="698612A5"/>
    <w:rsid w:val="69872CF3"/>
    <w:rsid w:val="698C2CAC"/>
    <w:rsid w:val="699157A6"/>
    <w:rsid w:val="69A82381"/>
    <w:rsid w:val="69AC2A06"/>
    <w:rsid w:val="69AE43A7"/>
    <w:rsid w:val="69AE7BC5"/>
    <w:rsid w:val="69AF0748"/>
    <w:rsid w:val="69B67D29"/>
    <w:rsid w:val="69D11FEA"/>
    <w:rsid w:val="69D64E44"/>
    <w:rsid w:val="69D81A4D"/>
    <w:rsid w:val="69D95D21"/>
    <w:rsid w:val="69E42DF0"/>
    <w:rsid w:val="69E71C2E"/>
    <w:rsid w:val="69F97731"/>
    <w:rsid w:val="6A0202FD"/>
    <w:rsid w:val="6A0518F8"/>
    <w:rsid w:val="6A07269B"/>
    <w:rsid w:val="6A107439"/>
    <w:rsid w:val="6A1E49EE"/>
    <w:rsid w:val="6A2627B9"/>
    <w:rsid w:val="6A356EA0"/>
    <w:rsid w:val="6A366774"/>
    <w:rsid w:val="6A4C6CBB"/>
    <w:rsid w:val="6A5E0111"/>
    <w:rsid w:val="6A66504A"/>
    <w:rsid w:val="6A6F316D"/>
    <w:rsid w:val="6A884765"/>
    <w:rsid w:val="6A912DE0"/>
    <w:rsid w:val="6A943F85"/>
    <w:rsid w:val="6A9B5332"/>
    <w:rsid w:val="6A9E2C97"/>
    <w:rsid w:val="6AA73C14"/>
    <w:rsid w:val="6AAC487C"/>
    <w:rsid w:val="6AAD3143"/>
    <w:rsid w:val="6AAF3E38"/>
    <w:rsid w:val="6AB029CA"/>
    <w:rsid w:val="6ABC4ECB"/>
    <w:rsid w:val="6AC2152D"/>
    <w:rsid w:val="6AD26F50"/>
    <w:rsid w:val="6AD466B8"/>
    <w:rsid w:val="6AD54350"/>
    <w:rsid w:val="6ADE7537"/>
    <w:rsid w:val="6AE61B76"/>
    <w:rsid w:val="6AF96F3D"/>
    <w:rsid w:val="6B043F03"/>
    <w:rsid w:val="6B080100"/>
    <w:rsid w:val="6B1017A5"/>
    <w:rsid w:val="6B1C57E8"/>
    <w:rsid w:val="6B222A27"/>
    <w:rsid w:val="6B2E35BA"/>
    <w:rsid w:val="6B3233DF"/>
    <w:rsid w:val="6B3A6E3B"/>
    <w:rsid w:val="6B3D34FE"/>
    <w:rsid w:val="6B453112"/>
    <w:rsid w:val="6B4E448C"/>
    <w:rsid w:val="6B517AAC"/>
    <w:rsid w:val="6B557938"/>
    <w:rsid w:val="6B5A3C35"/>
    <w:rsid w:val="6B66741E"/>
    <w:rsid w:val="6B671EB9"/>
    <w:rsid w:val="6B67752D"/>
    <w:rsid w:val="6B713F07"/>
    <w:rsid w:val="6B757D60"/>
    <w:rsid w:val="6B87372B"/>
    <w:rsid w:val="6B8E29C0"/>
    <w:rsid w:val="6B900117"/>
    <w:rsid w:val="6B96396E"/>
    <w:rsid w:val="6BA72B30"/>
    <w:rsid w:val="6BA86101"/>
    <w:rsid w:val="6BB57E47"/>
    <w:rsid w:val="6BB77B3F"/>
    <w:rsid w:val="6BBD714D"/>
    <w:rsid w:val="6BC03782"/>
    <w:rsid w:val="6BC229B5"/>
    <w:rsid w:val="6BCB40EA"/>
    <w:rsid w:val="6BCC7390"/>
    <w:rsid w:val="6BD149A6"/>
    <w:rsid w:val="6BD44EF8"/>
    <w:rsid w:val="6BD57763"/>
    <w:rsid w:val="6BD9117D"/>
    <w:rsid w:val="6BDC2D4F"/>
    <w:rsid w:val="6BDF1392"/>
    <w:rsid w:val="6BE50451"/>
    <w:rsid w:val="6BE7241B"/>
    <w:rsid w:val="6BE749C8"/>
    <w:rsid w:val="6BEB3756"/>
    <w:rsid w:val="6BEF2B0E"/>
    <w:rsid w:val="6BF2489C"/>
    <w:rsid w:val="6BFE5F35"/>
    <w:rsid w:val="6C040115"/>
    <w:rsid w:val="6C060AF4"/>
    <w:rsid w:val="6C0D4ACE"/>
    <w:rsid w:val="6C1929E0"/>
    <w:rsid w:val="6C1A634D"/>
    <w:rsid w:val="6C1B20D8"/>
    <w:rsid w:val="6C225202"/>
    <w:rsid w:val="6C292BE1"/>
    <w:rsid w:val="6C346A47"/>
    <w:rsid w:val="6C393583"/>
    <w:rsid w:val="6C3B762A"/>
    <w:rsid w:val="6C4038DA"/>
    <w:rsid w:val="6C430EC6"/>
    <w:rsid w:val="6C450EF0"/>
    <w:rsid w:val="6C460B8D"/>
    <w:rsid w:val="6C4C4B88"/>
    <w:rsid w:val="6C5238F7"/>
    <w:rsid w:val="6C574124"/>
    <w:rsid w:val="6C60203D"/>
    <w:rsid w:val="6C604856"/>
    <w:rsid w:val="6C6217A7"/>
    <w:rsid w:val="6C740C4D"/>
    <w:rsid w:val="6C747D90"/>
    <w:rsid w:val="6C7A6DEC"/>
    <w:rsid w:val="6C860A2C"/>
    <w:rsid w:val="6C88775B"/>
    <w:rsid w:val="6C895962"/>
    <w:rsid w:val="6CA02C98"/>
    <w:rsid w:val="6CA127B4"/>
    <w:rsid w:val="6CA27B74"/>
    <w:rsid w:val="6CA34594"/>
    <w:rsid w:val="6CA67BE1"/>
    <w:rsid w:val="6CAE2F39"/>
    <w:rsid w:val="6CAE382B"/>
    <w:rsid w:val="6CB00A5F"/>
    <w:rsid w:val="6CB55D42"/>
    <w:rsid w:val="6CB8671C"/>
    <w:rsid w:val="6CB90EA6"/>
    <w:rsid w:val="6CBA7A7E"/>
    <w:rsid w:val="6CBA7B30"/>
    <w:rsid w:val="6CC40F20"/>
    <w:rsid w:val="6CCB5481"/>
    <w:rsid w:val="6CCE5B95"/>
    <w:rsid w:val="6CD01102"/>
    <w:rsid w:val="6CDB5E4B"/>
    <w:rsid w:val="6CDF604B"/>
    <w:rsid w:val="6CEB0CC5"/>
    <w:rsid w:val="6CF20041"/>
    <w:rsid w:val="6CF43042"/>
    <w:rsid w:val="6CF500CA"/>
    <w:rsid w:val="6CFA617E"/>
    <w:rsid w:val="6CFD1C68"/>
    <w:rsid w:val="6D091F16"/>
    <w:rsid w:val="6D0D4104"/>
    <w:rsid w:val="6D1347EA"/>
    <w:rsid w:val="6D1B2C9B"/>
    <w:rsid w:val="6D210F22"/>
    <w:rsid w:val="6D2471EB"/>
    <w:rsid w:val="6D321474"/>
    <w:rsid w:val="6D3A50DF"/>
    <w:rsid w:val="6D503BE3"/>
    <w:rsid w:val="6D5164B6"/>
    <w:rsid w:val="6D5F318C"/>
    <w:rsid w:val="6D614FFE"/>
    <w:rsid w:val="6D6840E5"/>
    <w:rsid w:val="6D6A21E0"/>
    <w:rsid w:val="6D7427C5"/>
    <w:rsid w:val="6D8223FC"/>
    <w:rsid w:val="6D8E6FF3"/>
    <w:rsid w:val="6D8F6A09"/>
    <w:rsid w:val="6D910EB2"/>
    <w:rsid w:val="6D940381"/>
    <w:rsid w:val="6D963072"/>
    <w:rsid w:val="6DA118E1"/>
    <w:rsid w:val="6DA33AB1"/>
    <w:rsid w:val="6DA34120"/>
    <w:rsid w:val="6DA61D89"/>
    <w:rsid w:val="6DAB1855"/>
    <w:rsid w:val="6DB00E73"/>
    <w:rsid w:val="6DCC01D6"/>
    <w:rsid w:val="6DD841D1"/>
    <w:rsid w:val="6DD9273F"/>
    <w:rsid w:val="6DE1112A"/>
    <w:rsid w:val="6DE2483C"/>
    <w:rsid w:val="6DE62234"/>
    <w:rsid w:val="6DEE1DA5"/>
    <w:rsid w:val="6DEE5CE3"/>
    <w:rsid w:val="6DF077AB"/>
    <w:rsid w:val="6DF131D9"/>
    <w:rsid w:val="6DF362F1"/>
    <w:rsid w:val="6DFC0A94"/>
    <w:rsid w:val="6E0A419F"/>
    <w:rsid w:val="6E0E7E73"/>
    <w:rsid w:val="6E163B54"/>
    <w:rsid w:val="6E166FE8"/>
    <w:rsid w:val="6E1F3AB9"/>
    <w:rsid w:val="6E22598D"/>
    <w:rsid w:val="6E273436"/>
    <w:rsid w:val="6E291B51"/>
    <w:rsid w:val="6E2B5B70"/>
    <w:rsid w:val="6E2B7BD0"/>
    <w:rsid w:val="6E2E2225"/>
    <w:rsid w:val="6E3260E0"/>
    <w:rsid w:val="6E391146"/>
    <w:rsid w:val="6E46026B"/>
    <w:rsid w:val="6E5B2C4D"/>
    <w:rsid w:val="6E663B0E"/>
    <w:rsid w:val="6E6F1069"/>
    <w:rsid w:val="6E7043F7"/>
    <w:rsid w:val="6E711FBB"/>
    <w:rsid w:val="6E7C20AF"/>
    <w:rsid w:val="6E82467D"/>
    <w:rsid w:val="6E8D0A23"/>
    <w:rsid w:val="6E917D94"/>
    <w:rsid w:val="6E95615F"/>
    <w:rsid w:val="6E9879FD"/>
    <w:rsid w:val="6EB4221B"/>
    <w:rsid w:val="6EB97C9A"/>
    <w:rsid w:val="6EBA3EC2"/>
    <w:rsid w:val="6EBF3EC0"/>
    <w:rsid w:val="6EC425A0"/>
    <w:rsid w:val="6ED547AD"/>
    <w:rsid w:val="6ED8429D"/>
    <w:rsid w:val="6ED973FC"/>
    <w:rsid w:val="6EED5F9B"/>
    <w:rsid w:val="6EEF3C2A"/>
    <w:rsid w:val="6EF2535F"/>
    <w:rsid w:val="6EF471C0"/>
    <w:rsid w:val="6F0C365F"/>
    <w:rsid w:val="6F174DC6"/>
    <w:rsid w:val="6F1B7BF4"/>
    <w:rsid w:val="6F1E1894"/>
    <w:rsid w:val="6F23376B"/>
    <w:rsid w:val="6F265009"/>
    <w:rsid w:val="6F2D6397"/>
    <w:rsid w:val="6F341033"/>
    <w:rsid w:val="6F34735B"/>
    <w:rsid w:val="6F484F7F"/>
    <w:rsid w:val="6F4A059E"/>
    <w:rsid w:val="6F4B1788"/>
    <w:rsid w:val="6F4E3947"/>
    <w:rsid w:val="6F4E6A14"/>
    <w:rsid w:val="6F5C0A2B"/>
    <w:rsid w:val="6F6135D9"/>
    <w:rsid w:val="6F693749"/>
    <w:rsid w:val="6F6A3147"/>
    <w:rsid w:val="6F7458D1"/>
    <w:rsid w:val="6F807B27"/>
    <w:rsid w:val="6F8166E3"/>
    <w:rsid w:val="6F8416CF"/>
    <w:rsid w:val="6F857F81"/>
    <w:rsid w:val="6F8F7052"/>
    <w:rsid w:val="6F95179B"/>
    <w:rsid w:val="6F9D7BE5"/>
    <w:rsid w:val="6F9E7295"/>
    <w:rsid w:val="6F9F2AB4"/>
    <w:rsid w:val="6FAD1286"/>
    <w:rsid w:val="6FAD4CF3"/>
    <w:rsid w:val="6FB645DF"/>
    <w:rsid w:val="6FB77864"/>
    <w:rsid w:val="6FC07FB0"/>
    <w:rsid w:val="6FC17269"/>
    <w:rsid w:val="6FCC75D9"/>
    <w:rsid w:val="6FD269A1"/>
    <w:rsid w:val="6FDD0023"/>
    <w:rsid w:val="6FF173C5"/>
    <w:rsid w:val="6FF62C2D"/>
    <w:rsid w:val="700510C2"/>
    <w:rsid w:val="700D3C59"/>
    <w:rsid w:val="70115BD2"/>
    <w:rsid w:val="701D3990"/>
    <w:rsid w:val="70236185"/>
    <w:rsid w:val="70311EB7"/>
    <w:rsid w:val="70315562"/>
    <w:rsid w:val="703620CB"/>
    <w:rsid w:val="703823E9"/>
    <w:rsid w:val="703D260A"/>
    <w:rsid w:val="703E5F7E"/>
    <w:rsid w:val="70415E91"/>
    <w:rsid w:val="704240C4"/>
    <w:rsid w:val="7046362A"/>
    <w:rsid w:val="70511328"/>
    <w:rsid w:val="705A19BC"/>
    <w:rsid w:val="705A27F4"/>
    <w:rsid w:val="705C4791"/>
    <w:rsid w:val="7060062E"/>
    <w:rsid w:val="706338B4"/>
    <w:rsid w:val="70666005"/>
    <w:rsid w:val="707E3936"/>
    <w:rsid w:val="70807928"/>
    <w:rsid w:val="70875F7B"/>
    <w:rsid w:val="709F1517"/>
    <w:rsid w:val="70A00DEB"/>
    <w:rsid w:val="70A61135"/>
    <w:rsid w:val="70A7675A"/>
    <w:rsid w:val="70B477CF"/>
    <w:rsid w:val="70B623BC"/>
    <w:rsid w:val="70B65F8C"/>
    <w:rsid w:val="70B66341"/>
    <w:rsid w:val="70B81788"/>
    <w:rsid w:val="70BE62B2"/>
    <w:rsid w:val="70C456BC"/>
    <w:rsid w:val="70CE7706"/>
    <w:rsid w:val="70CF1EC5"/>
    <w:rsid w:val="70D32F6E"/>
    <w:rsid w:val="70D56CE6"/>
    <w:rsid w:val="70D7170B"/>
    <w:rsid w:val="70DF3B22"/>
    <w:rsid w:val="70E233A7"/>
    <w:rsid w:val="70E92792"/>
    <w:rsid w:val="70EB1D07"/>
    <w:rsid w:val="70ED4030"/>
    <w:rsid w:val="70FF26CB"/>
    <w:rsid w:val="71047056"/>
    <w:rsid w:val="71080E6A"/>
    <w:rsid w:val="711315BD"/>
    <w:rsid w:val="711E3CE1"/>
    <w:rsid w:val="712E4649"/>
    <w:rsid w:val="713438AD"/>
    <w:rsid w:val="713A123F"/>
    <w:rsid w:val="714C1194"/>
    <w:rsid w:val="714C1A59"/>
    <w:rsid w:val="714C59B7"/>
    <w:rsid w:val="71551766"/>
    <w:rsid w:val="71557E27"/>
    <w:rsid w:val="7163703D"/>
    <w:rsid w:val="71667B1B"/>
    <w:rsid w:val="717304A3"/>
    <w:rsid w:val="7175660B"/>
    <w:rsid w:val="717750A4"/>
    <w:rsid w:val="717866CF"/>
    <w:rsid w:val="71856665"/>
    <w:rsid w:val="718A7A50"/>
    <w:rsid w:val="719E4941"/>
    <w:rsid w:val="71A83AF7"/>
    <w:rsid w:val="71A843FB"/>
    <w:rsid w:val="71AD13D4"/>
    <w:rsid w:val="71B150FD"/>
    <w:rsid w:val="71B308F2"/>
    <w:rsid w:val="71BB412E"/>
    <w:rsid w:val="71BD3A7A"/>
    <w:rsid w:val="71C56D5B"/>
    <w:rsid w:val="71C64881"/>
    <w:rsid w:val="71C77AE4"/>
    <w:rsid w:val="71D376CA"/>
    <w:rsid w:val="71D47A7F"/>
    <w:rsid w:val="71D85B59"/>
    <w:rsid w:val="71DA06AB"/>
    <w:rsid w:val="71E4203D"/>
    <w:rsid w:val="71E82A49"/>
    <w:rsid w:val="71E926CD"/>
    <w:rsid w:val="71ED62B2"/>
    <w:rsid w:val="71F509A5"/>
    <w:rsid w:val="72071A82"/>
    <w:rsid w:val="72083B33"/>
    <w:rsid w:val="720B57FE"/>
    <w:rsid w:val="720B62BF"/>
    <w:rsid w:val="720D24B0"/>
    <w:rsid w:val="720D3D20"/>
    <w:rsid w:val="72165809"/>
    <w:rsid w:val="72203F91"/>
    <w:rsid w:val="72216562"/>
    <w:rsid w:val="72277008"/>
    <w:rsid w:val="7229261B"/>
    <w:rsid w:val="722C01C9"/>
    <w:rsid w:val="72304722"/>
    <w:rsid w:val="7242215A"/>
    <w:rsid w:val="724A3704"/>
    <w:rsid w:val="724E3E15"/>
    <w:rsid w:val="724F5E6C"/>
    <w:rsid w:val="725D1AA0"/>
    <w:rsid w:val="72657495"/>
    <w:rsid w:val="72692740"/>
    <w:rsid w:val="72693B8A"/>
    <w:rsid w:val="726E117A"/>
    <w:rsid w:val="72764326"/>
    <w:rsid w:val="72781F16"/>
    <w:rsid w:val="72793834"/>
    <w:rsid w:val="727E2D0B"/>
    <w:rsid w:val="728032BA"/>
    <w:rsid w:val="728D4FDC"/>
    <w:rsid w:val="72914E8F"/>
    <w:rsid w:val="729659C7"/>
    <w:rsid w:val="729A209E"/>
    <w:rsid w:val="729D3834"/>
    <w:rsid w:val="729E390D"/>
    <w:rsid w:val="729F135A"/>
    <w:rsid w:val="72A41241"/>
    <w:rsid w:val="72A535B2"/>
    <w:rsid w:val="72AA78B4"/>
    <w:rsid w:val="72B868C0"/>
    <w:rsid w:val="72BC3359"/>
    <w:rsid w:val="72C40186"/>
    <w:rsid w:val="72C63A44"/>
    <w:rsid w:val="72C730FE"/>
    <w:rsid w:val="72E34342"/>
    <w:rsid w:val="72E613A6"/>
    <w:rsid w:val="72E8337C"/>
    <w:rsid w:val="72E90827"/>
    <w:rsid w:val="72EB0BF8"/>
    <w:rsid w:val="72F21DD2"/>
    <w:rsid w:val="72F434FA"/>
    <w:rsid w:val="72F62F44"/>
    <w:rsid w:val="72FA2A34"/>
    <w:rsid w:val="72FE5E6C"/>
    <w:rsid w:val="73057DF0"/>
    <w:rsid w:val="730B2421"/>
    <w:rsid w:val="730B2A5D"/>
    <w:rsid w:val="730D1C62"/>
    <w:rsid w:val="731356C2"/>
    <w:rsid w:val="73151916"/>
    <w:rsid w:val="73184198"/>
    <w:rsid w:val="731B4281"/>
    <w:rsid w:val="73262E6D"/>
    <w:rsid w:val="73373C05"/>
    <w:rsid w:val="73394622"/>
    <w:rsid w:val="733F63CB"/>
    <w:rsid w:val="734168B5"/>
    <w:rsid w:val="73490DFC"/>
    <w:rsid w:val="734A5387"/>
    <w:rsid w:val="73527C7D"/>
    <w:rsid w:val="73555688"/>
    <w:rsid w:val="736C1BDF"/>
    <w:rsid w:val="736E2B3F"/>
    <w:rsid w:val="7370719A"/>
    <w:rsid w:val="737218FE"/>
    <w:rsid w:val="73754FD7"/>
    <w:rsid w:val="73767EDB"/>
    <w:rsid w:val="737C7606"/>
    <w:rsid w:val="738E4CE0"/>
    <w:rsid w:val="739A5FC5"/>
    <w:rsid w:val="73A26CD8"/>
    <w:rsid w:val="73AA26AC"/>
    <w:rsid w:val="73B34E42"/>
    <w:rsid w:val="73B83040"/>
    <w:rsid w:val="73BA1DA6"/>
    <w:rsid w:val="73BF2DAF"/>
    <w:rsid w:val="73C17A92"/>
    <w:rsid w:val="73C90A44"/>
    <w:rsid w:val="73CA5289"/>
    <w:rsid w:val="73D2575F"/>
    <w:rsid w:val="73D2750D"/>
    <w:rsid w:val="73E14BDD"/>
    <w:rsid w:val="73E35202"/>
    <w:rsid w:val="73E829D8"/>
    <w:rsid w:val="73EC6716"/>
    <w:rsid w:val="73F2112A"/>
    <w:rsid w:val="73F62B37"/>
    <w:rsid w:val="73F94CA3"/>
    <w:rsid w:val="74075EA5"/>
    <w:rsid w:val="74094E3D"/>
    <w:rsid w:val="740D2C3B"/>
    <w:rsid w:val="7410198C"/>
    <w:rsid w:val="7416389E"/>
    <w:rsid w:val="741F54A2"/>
    <w:rsid w:val="742257B8"/>
    <w:rsid w:val="742331AE"/>
    <w:rsid w:val="7428537F"/>
    <w:rsid w:val="742A10F7"/>
    <w:rsid w:val="742F2BB2"/>
    <w:rsid w:val="743553DE"/>
    <w:rsid w:val="743D0A2B"/>
    <w:rsid w:val="744F3906"/>
    <w:rsid w:val="74551EB3"/>
    <w:rsid w:val="745A0FA0"/>
    <w:rsid w:val="74610709"/>
    <w:rsid w:val="74797F6C"/>
    <w:rsid w:val="74876A28"/>
    <w:rsid w:val="74884175"/>
    <w:rsid w:val="749132B1"/>
    <w:rsid w:val="749D15EC"/>
    <w:rsid w:val="74A5312C"/>
    <w:rsid w:val="74A76BEC"/>
    <w:rsid w:val="74AC6BC6"/>
    <w:rsid w:val="74BD1F6B"/>
    <w:rsid w:val="74D13C69"/>
    <w:rsid w:val="74D271DD"/>
    <w:rsid w:val="74DB29B2"/>
    <w:rsid w:val="74DF3CDB"/>
    <w:rsid w:val="74E04982"/>
    <w:rsid w:val="74E314C0"/>
    <w:rsid w:val="74F160B9"/>
    <w:rsid w:val="74F236DC"/>
    <w:rsid w:val="74FD697A"/>
    <w:rsid w:val="751A5826"/>
    <w:rsid w:val="752129D4"/>
    <w:rsid w:val="752B5127"/>
    <w:rsid w:val="752C6AB2"/>
    <w:rsid w:val="7530273D"/>
    <w:rsid w:val="75322959"/>
    <w:rsid w:val="7534397E"/>
    <w:rsid w:val="753540AD"/>
    <w:rsid w:val="75355AB1"/>
    <w:rsid w:val="75377F70"/>
    <w:rsid w:val="753C7334"/>
    <w:rsid w:val="7540442C"/>
    <w:rsid w:val="75492994"/>
    <w:rsid w:val="75494AE8"/>
    <w:rsid w:val="754D7793"/>
    <w:rsid w:val="75664928"/>
    <w:rsid w:val="756A2C6E"/>
    <w:rsid w:val="756C5695"/>
    <w:rsid w:val="75720FA8"/>
    <w:rsid w:val="75735A2A"/>
    <w:rsid w:val="75774810"/>
    <w:rsid w:val="75826D11"/>
    <w:rsid w:val="75836B45"/>
    <w:rsid w:val="75845947"/>
    <w:rsid w:val="75850468"/>
    <w:rsid w:val="75866BE9"/>
    <w:rsid w:val="758E56B6"/>
    <w:rsid w:val="759B6003"/>
    <w:rsid w:val="759C32BC"/>
    <w:rsid w:val="75A04F3B"/>
    <w:rsid w:val="75A07819"/>
    <w:rsid w:val="75A26BC4"/>
    <w:rsid w:val="75AE59C7"/>
    <w:rsid w:val="75B61842"/>
    <w:rsid w:val="75BC78AF"/>
    <w:rsid w:val="75C604F3"/>
    <w:rsid w:val="75C97681"/>
    <w:rsid w:val="75CB7BF0"/>
    <w:rsid w:val="75D06B7B"/>
    <w:rsid w:val="75D22390"/>
    <w:rsid w:val="75D62BEE"/>
    <w:rsid w:val="75D74EF8"/>
    <w:rsid w:val="75E20E90"/>
    <w:rsid w:val="75E27AE1"/>
    <w:rsid w:val="75FE283B"/>
    <w:rsid w:val="76066358"/>
    <w:rsid w:val="760719A1"/>
    <w:rsid w:val="760A52CC"/>
    <w:rsid w:val="760C4ED0"/>
    <w:rsid w:val="760D3186"/>
    <w:rsid w:val="7617699B"/>
    <w:rsid w:val="76201226"/>
    <w:rsid w:val="7621477C"/>
    <w:rsid w:val="76261C26"/>
    <w:rsid w:val="76261D92"/>
    <w:rsid w:val="762F2954"/>
    <w:rsid w:val="76342701"/>
    <w:rsid w:val="76380CAE"/>
    <w:rsid w:val="76384F46"/>
    <w:rsid w:val="7646764A"/>
    <w:rsid w:val="76493DBA"/>
    <w:rsid w:val="764D5571"/>
    <w:rsid w:val="764E1B03"/>
    <w:rsid w:val="76572242"/>
    <w:rsid w:val="76636B42"/>
    <w:rsid w:val="766703E1"/>
    <w:rsid w:val="76780840"/>
    <w:rsid w:val="767C19B2"/>
    <w:rsid w:val="767E66C8"/>
    <w:rsid w:val="7683069C"/>
    <w:rsid w:val="76891A32"/>
    <w:rsid w:val="76966F18"/>
    <w:rsid w:val="76A27DD7"/>
    <w:rsid w:val="76A96C4B"/>
    <w:rsid w:val="76AD15F9"/>
    <w:rsid w:val="76BE4F30"/>
    <w:rsid w:val="76C70E7F"/>
    <w:rsid w:val="76CD220E"/>
    <w:rsid w:val="76CD451D"/>
    <w:rsid w:val="76D22E2E"/>
    <w:rsid w:val="76DD065E"/>
    <w:rsid w:val="76DF08BF"/>
    <w:rsid w:val="76EE2591"/>
    <w:rsid w:val="76EF7D2C"/>
    <w:rsid w:val="76F0798D"/>
    <w:rsid w:val="76F246E6"/>
    <w:rsid w:val="76F53C3E"/>
    <w:rsid w:val="76F96011"/>
    <w:rsid w:val="76FC6F22"/>
    <w:rsid w:val="770318FD"/>
    <w:rsid w:val="7711659E"/>
    <w:rsid w:val="77146E97"/>
    <w:rsid w:val="771766AF"/>
    <w:rsid w:val="7719763B"/>
    <w:rsid w:val="771D558A"/>
    <w:rsid w:val="772A140E"/>
    <w:rsid w:val="773D41CF"/>
    <w:rsid w:val="773E26D2"/>
    <w:rsid w:val="77403575"/>
    <w:rsid w:val="7748368E"/>
    <w:rsid w:val="774F6700"/>
    <w:rsid w:val="77533F2B"/>
    <w:rsid w:val="77543014"/>
    <w:rsid w:val="775517FF"/>
    <w:rsid w:val="776C6C6C"/>
    <w:rsid w:val="777860D8"/>
    <w:rsid w:val="778E7BEF"/>
    <w:rsid w:val="7792252C"/>
    <w:rsid w:val="77991C3E"/>
    <w:rsid w:val="779A6594"/>
    <w:rsid w:val="77A83CB3"/>
    <w:rsid w:val="77AE0291"/>
    <w:rsid w:val="77AE7402"/>
    <w:rsid w:val="77B238DE"/>
    <w:rsid w:val="77B533CE"/>
    <w:rsid w:val="77B70EF4"/>
    <w:rsid w:val="77BF5BB1"/>
    <w:rsid w:val="77C33D3D"/>
    <w:rsid w:val="77C87BF6"/>
    <w:rsid w:val="77C96E79"/>
    <w:rsid w:val="77DF4943"/>
    <w:rsid w:val="77E837A3"/>
    <w:rsid w:val="77F26063"/>
    <w:rsid w:val="77F4039A"/>
    <w:rsid w:val="780B4A40"/>
    <w:rsid w:val="781B42F8"/>
    <w:rsid w:val="781B72AA"/>
    <w:rsid w:val="781C67C3"/>
    <w:rsid w:val="78315590"/>
    <w:rsid w:val="783C2021"/>
    <w:rsid w:val="783F079D"/>
    <w:rsid w:val="7847671C"/>
    <w:rsid w:val="78533C42"/>
    <w:rsid w:val="78595654"/>
    <w:rsid w:val="785F235F"/>
    <w:rsid w:val="78615844"/>
    <w:rsid w:val="78623A97"/>
    <w:rsid w:val="786A679E"/>
    <w:rsid w:val="787468C6"/>
    <w:rsid w:val="787E207D"/>
    <w:rsid w:val="787E7C64"/>
    <w:rsid w:val="78827754"/>
    <w:rsid w:val="78841D97"/>
    <w:rsid w:val="78872FBC"/>
    <w:rsid w:val="78900078"/>
    <w:rsid w:val="78946D0A"/>
    <w:rsid w:val="789A1ACA"/>
    <w:rsid w:val="78A56AB5"/>
    <w:rsid w:val="78C620B9"/>
    <w:rsid w:val="78C966FA"/>
    <w:rsid w:val="78CB1B99"/>
    <w:rsid w:val="78CE2454"/>
    <w:rsid w:val="78D67AA0"/>
    <w:rsid w:val="78DC5A8E"/>
    <w:rsid w:val="78DD498A"/>
    <w:rsid w:val="78E91F32"/>
    <w:rsid w:val="78F12B57"/>
    <w:rsid w:val="78F44474"/>
    <w:rsid w:val="790463BB"/>
    <w:rsid w:val="79093888"/>
    <w:rsid w:val="790A315A"/>
    <w:rsid w:val="790D6D3D"/>
    <w:rsid w:val="790E7239"/>
    <w:rsid w:val="791648AD"/>
    <w:rsid w:val="791F1D70"/>
    <w:rsid w:val="79217712"/>
    <w:rsid w:val="79311193"/>
    <w:rsid w:val="79360258"/>
    <w:rsid w:val="7937681E"/>
    <w:rsid w:val="793F5645"/>
    <w:rsid w:val="794331C4"/>
    <w:rsid w:val="79440AEE"/>
    <w:rsid w:val="794A1A4C"/>
    <w:rsid w:val="796C31B8"/>
    <w:rsid w:val="797855A3"/>
    <w:rsid w:val="797967FE"/>
    <w:rsid w:val="797F1EE5"/>
    <w:rsid w:val="79872276"/>
    <w:rsid w:val="79890FF4"/>
    <w:rsid w:val="7989257D"/>
    <w:rsid w:val="79907C4E"/>
    <w:rsid w:val="79922D97"/>
    <w:rsid w:val="79927E6B"/>
    <w:rsid w:val="79A454A8"/>
    <w:rsid w:val="79AA26DF"/>
    <w:rsid w:val="79B70EF8"/>
    <w:rsid w:val="79C15542"/>
    <w:rsid w:val="79C75326"/>
    <w:rsid w:val="79CD0EA3"/>
    <w:rsid w:val="79D927FA"/>
    <w:rsid w:val="79E93803"/>
    <w:rsid w:val="79EB497D"/>
    <w:rsid w:val="79F6754E"/>
    <w:rsid w:val="79FB0261"/>
    <w:rsid w:val="79FB2DAF"/>
    <w:rsid w:val="79FD4387"/>
    <w:rsid w:val="7A087BDF"/>
    <w:rsid w:val="7A0B5527"/>
    <w:rsid w:val="7A0C565C"/>
    <w:rsid w:val="7A1C2352"/>
    <w:rsid w:val="7A1C61A9"/>
    <w:rsid w:val="7A2B7977"/>
    <w:rsid w:val="7A41719B"/>
    <w:rsid w:val="7A484CAA"/>
    <w:rsid w:val="7A4A24F3"/>
    <w:rsid w:val="7A5001CD"/>
    <w:rsid w:val="7A5E7D4D"/>
    <w:rsid w:val="7A5F3524"/>
    <w:rsid w:val="7A62317A"/>
    <w:rsid w:val="7A6510DB"/>
    <w:rsid w:val="7A6D1D3E"/>
    <w:rsid w:val="7A7721AD"/>
    <w:rsid w:val="7A807CC3"/>
    <w:rsid w:val="7A813A3B"/>
    <w:rsid w:val="7A817172"/>
    <w:rsid w:val="7A885FEA"/>
    <w:rsid w:val="7A890F22"/>
    <w:rsid w:val="7A916DEC"/>
    <w:rsid w:val="7A94551C"/>
    <w:rsid w:val="7A955A03"/>
    <w:rsid w:val="7A9F2CF5"/>
    <w:rsid w:val="7AA23342"/>
    <w:rsid w:val="7AA53BCD"/>
    <w:rsid w:val="7AA60701"/>
    <w:rsid w:val="7AAC0AB8"/>
    <w:rsid w:val="7AAE5C60"/>
    <w:rsid w:val="7ABE4C8F"/>
    <w:rsid w:val="7AC0465B"/>
    <w:rsid w:val="7AC322A6"/>
    <w:rsid w:val="7AC926EB"/>
    <w:rsid w:val="7ACE2AB8"/>
    <w:rsid w:val="7AD128A9"/>
    <w:rsid w:val="7AD2187C"/>
    <w:rsid w:val="7ADC456B"/>
    <w:rsid w:val="7AE45DA6"/>
    <w:rsid w:val="7AE46F51"/>
    <w:rsid w:val="7AEA0DF1"/>
    <w:rsid w:val="7AEF309B"/>
    <w:rsid w:val="7AF67F85"/>
    <w:rsid w:val="7AF95CC7"/>
    <w:rsid w:val="7B05488D"/>
    <w:rsid w:val="7B095F0A"/>
    <w:rsid w:val="7B0A06CB"/>
    <w:rsid w:val="7B0D17BE"/>
    <w:rsid w:val="7B18614D"/>
    <w:rsid w:val="7B1F0B72"/>
    <w:rsid w:val="7B1F572E"/>
    <w:rsid w:val="7B284E41"/>
    <w:rsid w:val="7B345352"/>
    <w:rsid w:val="7B354232"/>
    <w:rsid w:val="7B430CF1"/>
    <w:rsid w:val="7B4754DF"/>
    <w:rsid w:val="7B4E3BEA"/>
    <w:rsid w:val="7B532E03"/>
    <w:rsid w:val="7B5B603A"/>
    <w:rsid w:val="7B626231"/>
    <w:rsid w:val="7B656EB9"/>
    <w:rsid w:val="7B6F568B"/>
    <w:rsid w:val="7B766ACA"/>
    <w:rsid w:val="7B77377A"/>
    <w:rsid w:val="7B813614"/>
    <w:rsid w:val="7B8639A2"/>
    <w:rsid w:val="7B8706E0"/>
    <w:rsid w:val="7B925A79"/>
    <w:rsid w:val="7B931C78"/>
    <w:rsid w:val="7B98728E"/>
    <w:rsid w:val="7B9D3ED8"/>
    <w:rsid w:val="7B9E4FF6"/>
    <w:rsid w:val="7BA07EF1"/>
    <w:rsid w:val="7BAA2A01"/>
    <w:rsid w:val="7BAA3449"/>
    <w:rsid w:val="7BAC2D3A"/>
    <w:rsid w:val="7BAD0F8C"/>
    <w:rsid w:val="7BAE2C50"/>
    <w:rsid w:val="7BB51BEE"/>
    <w:rsid w:val="7BB526B3"/>
    <w:rsid w:val="7BB75847"/>
    <w:rsid w:val="7BB75966"/>
    <w:rsid w:val="7BC912FA"/>
    <w:rsid w:val="7BD03832"/>
    <w:rsid w:val="7BD10038"/>
    <w:rsid w:val="7BD302C6"/>
    <w:rsid w:val="7BD71211"/>
    <w:rsid w:val="7BE06574"/>
    <w:rsid w:val="7BE50268"/>
    <w:rsid w:val="7BF07FCB"/>
    <w:rsid w:val="7BFF730D"/>
    <w:rsid w:val="7C01327F"/>
    <w:rsid w:val="7C014FB3"/>
    <w:rsid w:val="7C0244F2"/>
    <w:rsid w:val="7C0D18E9"/>
    <w:rsid w:val="7C181EB2"/>
    <w:rsid w:val="7C262AEC"/>
    <w:rsid w:val="7C2B4424"/>
    <w:rsid w:val="7C2C5002"/>
    <w:rsid w:val="7C304F8E"/>
    <w:rsid w:val="7C336FB7"/>
    <w:rsid w:val="7C39281F"/>
    <w:rsid w:val="7C3C3CD9"/>
    <w:rsid w:val="7C4371FA"/>
    <w:rsid w:val="7C4C370C"/>
    <w:rsid w:val="7C4F089D"/>
    <w:rsid w:val="7C5238E1"/>
    <w:rsid w:val="7C5D7BDC"/>
    <w:rsid w:val="7C5D7E4F"/>
    <w:rsid w:val="7C605B0C"/>
    <w:rsid w:val="7C630C65"/>
    <w:rsid w:val="7C740D99"/>
    <w:rsid w:val="7C760599"/>
    <w:rsid w:val="7C7C5114"/>
    <w:rsid w:val="7C88789A"/>
    <w:rsid w:val="7C935AB5"/>
    <w:rsid w:val="7C9D7092"/>
    <w:rsid w:val="7CA87E11"/>
    <w:rsid w:val="7CB4634A"/>
    <w:rsid w:val="7CC62D8B"/>
    <w:rsid w:val="7CCA4662"/>
    <w:rsid w:val="7CCF762A"/>
    <w:rsid w:val="7CDD2818"/>
    <w:rsid w:val="7CE04A49"/>
    <w:rsid w:val="7CE31D1F"/>
    <w:rsid w:val="7CF60710"/>
    <w:rsid w:val="7D00333D"/>
    <w:rsid w:val="7D040449"/>
    <w:rsid w:val="7D0A5491"/>
    <w:rsid w:val="7D140B97"/>
    <w:rsid w:val="7D1D2D01"/>
    <w:rsid w:val="7D231188"/>
    <w:rsid w:val="7D357EBC"/>
    <w:rsid w:val="7D407128"/>
    <w:rsid w:val="7D435848"/>
    <w:rsid w:val="7D4A331D"/>
    <w:rsid w:val="7D582BD3"/>
    <w:rsid w:val="7D633A67"/>
    <w:rsid w:val="7D636FBD"/>
    <w:rsid w:val="7D6F29AF"/>
    <w:rsid w:val="7D705CBB"/>
    <w:rsid w:val="7D7E3B4B"/>
    <w:rsid w:val="7D80447E"/>
    <w:rsid w:val="7D8103DB"/>
    <w:rsid w:val="7D817656"/>
    <w:rsid w:val="7D845D1C"/>
    <w:rsid w:val="7D8862B7"/>
    <w:rsid w:val="7D8C71F3"/>
    <w:rsid w:val="7D935E67"/>
    <w:rsid w:val="7D99109C"/>
    <w:rsid w:val="7D9B184A"/>
    <w:rsid w:val="7D9F519D"/>
    <w:rsid w:val="7DA3023D"/>
    <w:rsid w:val="7DA43CC8"/>
    <w:rsid w:val="7DAB6D2C"/>
    <w:rsid w:val="7DAC7D9A"/>
    <w:rsid w:val="7DAE0FEB"/>
    <w:rsid w:val="7DB61C4E"/>
    <w:rsid w:val="7DB71C83"/>
    <w:rsid w:val="7DB84577"/>
    <w:rsid w:val="7DBF5565"/>
    <w:rsid w:val="7DC9372F"/>
    <w:rsid w:val="7DCF44F8"/>
    <w:rsid w:val="7DD303DA"/>
    <w:rsid w:val="7DD9273F"/>
    <w:rsid w:val="7DE20C95"/>
    <w:rsid w:val="7DE40F78"/>
    <w:rsid w:val="7DE871B4"/>
    <w:rsid w:val="7DEA0341"/>
    <w:rsid w:val="7DEB37E9"/>
    <w:rsid w:val="7DF82266"/>
    <w:rsid w:val="7E0751A3"/>
    <w:rsid w:val="7E197282"/>
    <w:rsid w:val="7E1A5C35"/>
    <w:rsid w:val="7E1D3A7B"/>
    <w:rsid w:val="7E2766A8"/>
    <w:rsid w:val="7E297621"/>
    <w:rsid w:val="7E2C4707"/>
    <w:rsid w:val="7E35325C"/>
    <w:rsid w:val="7E393919"/>
    <w:rsid w:val="7E395B7B"/>
    <w:rsid w:val="7E397153"/>
    <w:rsid w:val="7E493D4F"/>
    <w:rsid w:val="7E4A6504"/>
    <w:rsid w:val="7E4B03ED"/>
    <w:rsid w:val="7E4D4360"/>
    <w:rsid w:val="7E4E1E86"/>
    <w:rsid w:val="7E5E5A0F"/>
    <w:rsid w:val="7E61603D"/>
    <w:rsid w:val="7E6E2528"/>
    <w:rsid w:val="7E786F03"/>
    <w:rsid w:val="7E795086"/>
    <w:rsid w:val="7E7E09BD"/>
    <w:rsid w:val="7E845D81"/>
    <w:rsid w:val="7E8813E9"/>
    <w:rsid w:val="7E9E696A"/>
    <w:rsid w:val="7EA96C28"/>
    <w:rsid w:val="7EAB45DB"/>
    <w:rsid w:val="7EB97C47"/>
    <w:rsid w:val="7EBF64A4"/>
    <w:rsid w:val="7EC00C27"/>
    <w:rsid w:val="7EC27667"/>
    <w:rsid w:val="7EC62364"/>
    <w:rsid w:val="7ECB606F"/>
    <w:rsid w:val="7ECF0986"/>
    <w:rsid w:val="7EE268D3"/>
    <w:rsid w:val="7EE328E6"/>
    <w:rsid w:val="7EEA3505"/>
    <w:rsid w:val="7EEB3B79"/>
    <w:rsid w:val="7EEC6DDC"/>
    <w:rsid w:val="7EF20E16"/>
    <w:rsid w:val="7EF22037"/>
    <w:rsid w:val="7EF649F8"/>
    <w:rsid w:val="7EF71012"/>
    <w:rsid w:val="7EF77AD5"/>
    <w:rsid w:val="7F0C5FC9"/>
    <w:rsid w:val="7F1050B8"/>
    <w:rsid w:val="7F1175B5"/>
    <w:rsid w:val="7F121106"/>
    <w:rsid w:val="7F1B445E"/>
    <w:rsid w:val="7F261F6C"/>
    <w:rsid w:val="7F2F74D9"/>
    <w:rsid w:val="7F4008AF"/>
    <w:rsid w:val="7F4B329E"/>
    <w:rsid w:val="7F4B424A"/>
    <w:rsid w:val="7F4D3F17"/>
    <w:rsid w:val="7F691204"/>
    <w:rsid w:val="7F711704"/>
    <w:rsid w:val="7F737DF6"/>
    <w:rsid w:val="7F796BA3"/>
    <w:rsid w:val="7F7A3700"/>
    <w:rsid w:val="7F7E4E2C"/>
    <w:rsid w:val="7F9014F2"/>
    <w:rsid w:val="7F9020BE"/>
    <w:rsid w:val="7F906B71"/>
    <w:rsid w:val="7F911291"/>
    <w:rsid w:val="7FB623D9"/>
    <w:rsid w:val="7FC33FFE"/>
    <w:rsid w:val="7FC625E9"/>
    <w:rsid w:val="7FCE57F4"/>
    <w:rsid w:val="7FD5285F"/>
    <w:rsid w:val="7FD64829"/>
    <w:rsid w:val="7FDE0B57"/>
    <w:rsid w:val="7FE02050"/>
    <w:rsid w:val="7FE2578F"/>
    <w:rsid w:val="7FEB2083"/>
    <w:rsid w:val="7FF13411"/>
    <w:rsid w:val="7FF408E5"/>
    <w:rsid w:val="7FF60A27"/>
    <w:rsid w:val="7FF672E6"/>
    <w:rsid w:val="7FFF5F4E"/>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iPriority="99"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qFormat/>
    <w:uiPriority w:val="0"/>
    <w:pPr>
      <w:keepNext/>
      <w:keepLines/>
      <w:adjustRightInd w:val="0"/>
      <w:snapToGrid w:val="0"/>
      <w:spacing w:before="156" w:line="360" w:lineRule="auto"/>
      <w:outlineLvl w:val="1"/>
    </w:pPr>
    <w:rPr>
      <w:b/>
      <w:sz w:val="24"/>
    </w:rPr>
  </w:style>
  <w:style w:type="paragraph" w:styleId="4">
    <w:name w:val="heading 3"/>
    <w:basedOn w:val="1"/>
    <w:next w:val="1"/>
    <w:autoRedefine/>
    <w:qFormat/>
    <w:uiPriority w:val="0"/>
    <w:pPr>
      <w:keepNext/>
      <w:keepLines/>
      <w:spacing w:line="360" w:lineRule="auto"/>
      <w:ind w:left="852"/>
      <w:outlineLvl w:val="2"/>
    </w:pPr>
    <w:rPr>
      <w:rFonts w:eastAsia="黑体"/>
      <w:b/>
      <w:kern w:val="0"/>
      <w:sz w:val="24"/>
    </w:rPr>
  </w:style>
  <w:style w:type="paragraph" w:styleId="5">
    <w:name w:val="heading 4"/>
    <w:basedOn w:val="1"/>
    <w:next w:val="1"/>
    <w:autoRedefine/>
    <w:qFormat/>
    <w:uiPriority w:val="0"/>
    <w:pPr>
      <w:keepNext/>
      <w:keepLines/>
      <w:spacing w:line="360" w:lineRule="auto"/>
      <w:outlineLvl w:val="3"/>
    </w:pPr>
    <w:rPr>
      <w:b/>
      <w:sz w:val="24"/>
    </w:rPr>
  </w:style>
  <w:style w:type="character" w:default="1" w:styleId="35">
    <w:name w:val="Default Paragraph Font"/>
    <w:autoRedefine/>
    <w:semiHidden/>
    <w:unhideWhenUsed/>
    <w:qFormat/>
    <w:uiPriority w:val="1"/>
  </w:style>
  <w:style w:type="table" w:default="1" w:styleId="33">
    <w:name w:val="Normal Table"/>
    <w:autoRedefine/>
    <w:semiHidden/>
    <w:unhideWhenUsed/>
    <w:qFormat/>
    <w:uiPriority w:val="99"/>
    <w:tblPr>
      <w:tblCellMar>
        <w:top w:w="0" w:type="dxa"/>
        <w:left w:w="108" w:type="dxa"/>
        <w:bottom w:w="0" w:type="dxa"/>
        <w:right w:w="108" w:type="dxa"/>
      </w:tblCellMar>
    </w:tblPr>
  </w:style>
  <w:style w:type="paragraph" w:styleId="6">
    <w:name w:val="List 3"/>
    <w:basedOn w:val="1"/>
    <w:unhideWhenUsed/>
    <w:qFormat/>
    <w:uiPriority w:val="99"/>
    <w:pPr>
      <w:ind w:left="1260" w:hanging="420"/>
    </w:pPr>
  </w:style>
  <w:style w:type="paragraph" w:styleId="7">
    <w:name w:val="table of authorities"/>
    <w:basedOn w:val="1"/>
    <w:next w:val="1"/>
    <w:semiHidden/>
    <w:qFormat/>
    <w:uiPriority w:val="0"/>
    <w:pPr>
      <w:ind w:left="420" w:leftChars="200"/>
    </w:pPr>
  </w:style>
  <w:style w:type="paragraph" w:styleId="8">
    <w:name w:val="index 8"/>
    <w:basedOn w:val="1"/>
    <w:next w:val="1"/>
    <w:qFormat/>
    <w:uiPriority w:val="0"/>
    <w:pPr>
      <w:shd w:val="clear" w:color="auto" w:fill="FFFFFF"/>
    </w:pPr>
  </w:style>
  <w:style w:type="paragraph" w:styleId="9">
    <w:name w:val="Normal Indent"/>
    <w:basedOn w:val="1"/>
    <w:autoRedefine/>
    <w:qFormat/>
    <w:uiPriority w:val="0"/>
    <w:pPr>
      <w:ind w:firstLine="420" w:firstLineChars="200"/>
    </w:pPr>
  </w:style>
  <w:style w:type="paragraph" w:styleId="10">
    <w:name w:val="caption"/>
    <w:basedOn w:val="1"/>
    <w:next w:val="1"/>
    <w:autoRedefine/>
    <w:qFormat/>
    <w:uiPriority w:val="0"/>
    <w:rPr>
      <w:rFonts w:ascii="Arial" w:hAnsi="Arial" w:eastAsia="黑体" w:cs="Arial"/>
      <w:sz w:val="20"/>
      <w:szCs w:val="20"/>
    </w:rPr>
  </w:style>
  <w:style w:type="paragraph" w:styleId="11">
    <w:name w:val="toa heading"/>
    <w:basedOn w:val="1"/>
    <w:next w:val="1"/>
    <w:autoRedefine/>
    <w:unhideWhenUsed/>
    <w:qFormat/>
    <w:uiPriority w:val="99"/>
    <w:pPr>
      <w:spacing w:before="120"/>
    </w:pPr>
    <w:rPr>
      <w:rFonts w:ascii="Cambria" w:hAnsi="Cambria"/>
      <w:sz w:val="24"/>
    </w:rPr>
  </w:style>
  <w:style w:type="paragraph" w:styleId="12">
    <w:name w:val="annotation text"/>
    <w:basedOn w:val="1"/>
    <w:link w:val="144"/>
    <w:autoRedefine/>
    <w:qFormat/>
    <w:uiPriority w:val="0"/>
    <w:pPr>
      <w:jc w:val="left"/>
    </w:pPr>
  </w:style>
  <w:style w:type="paragraph" w:styleId="13">
    <w:name w:val="Salutation"/>
    <w:basedOn w:val="1"/>
    <w:next w:val="1"/>
    <w:autoRedefine/>
    <w:qFormat/>
    <w:uiPriority w:val="0"/>
  </w:style>
  <w:style w:type="paragraph" w:styleId="14">
    <w:name w:val="Body Text"/>
    <w:basedOn w:val="1"/>
    <w:autoRedefine/>
    <w:qFormat/>
    <w:uiPriority w:val="0"/>
    <w:pPr>
      <w:spacing w:after="120"/>
    </w:pPr>
  </w:style>
  <w:style w:type="paragraph" w:styleId="15">
    <w:name w:val="Body Text Indent"/>
    <w:basedOn w:val="1"/>
    <w:next w:val="1"/>
    <w:autoRedefine/>
    <w:qFormat/>
    <w:uiPriority w:val="0"/>
    <w:pPr>
      <w:widowControl/>
      <w:spacing w:after="120"/>
      <w:ind w:left="420" w:leftChars="200"/>
      <w:jc w:val="left"/>
    </w:pPr>
    <w:rPr>
      <w:kern w:val="0"/>
      <w:sz w:val="24"/>
    </w:rPr>
  </w:style>
  <w:style w:type="paragraph" w:styleId="16">
    <w:name w:val="Block Text"/>
    <w:basedOn w:val="1"/>
    <w:autoRedefine/>
    <w:qFormat/>
    <w:uiPriority w:val="0"/>
    <w:pPr>
      <w:spacing w:after="120"/>
      <w:ind w:left="1440" w:leftChars="700" w:right="1440" w:rightChars="700"/>
    </w:pPr>
  </w:style>
  <w:style w:type="paragraph" w:styleId="17">
    <w:name w:val="Plain Text"/>
    <w:basedOn w:val="1"/>
    <w:next w:val="18"/>
    <w:autoRedefine/>
    <w:qFormat/>
    <w:uiPriority w:val="0"/>
    <w:rPr>
      <w:rFonts w:ascii="宋体" w:hAnsi="Courier New"/>
    </w:rPr>
  </w:style>
  <w:style w:type="paragraph" w:customStyle="1" w:styleId="18">
    <w:name w:val="Default"/>
    <w:basedOn w:val="19"/>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9">
    <w:name w:val="纯文本1"/>
    <w:basedOn w:val="1"/>
    <w:autoRedefine/>
    <w:qFormat/>
    <w:uiPriority w:val="0"/>
    <w:pPr>
      <w:adjustRightInd w:val="0"/>
    </w:pPr>
    <w:rPr>
      <w:rFonts w:ascii="宋体" w:hAnsi="Courier New"/>
      <w:szCs w:val="20"/>
    </w:rPr>
  </w:style>
  <w:style w:type="paragraph" w:styleId="20">
    <w:name w:val="Date"/>
    <w:basedOn w:val="1"/>
    <w:next w:val="1"/>
    <w:autoRedefine/>
    <w:qFormat/>
    <w:uiPriority w:val="0"/>
    <w:rPr>
      <w:sz w:val="24"/>
      <w:szCs w:val="20"/>
    </w:rPr>
  </w:style>
  <w:style w:type="paragraph" w:styleId="21">
    <w:name w:val="Body Text Indent 2"/>
    <w:basedOn w:val="1"/>
    <w:autoRedefine/>
    <w:qFormat/>
    <w:uiPriority w:val="0"/>
    <w:pPr>
      <w:spacing w:after="120" w:line="480" w:lineRule="auto"/>
      <w:ind w:left="200" w:leftChars="200"/>
    </w:pPr>
    <w:rPr>
      <w:sz w:val="24"/>
    </w:rPr>
  </w:style>
  <w:style w:type="paragraph" w:styleId="22">
    <w:name w:val="Balloon Text"/>
    <w:basedOn w:val="1"/>
    <w:link w:val="146"/>
    <w:autoRedefine/>
    <w:qFormat/>
    <w:uiPriority w:val="0"/>
    <w:rPr>
      <w:sz w:val="18"/>
      <w:szCs w:val="18"/>
    </w:rPr>
  </w:style>
  <w:style w:type="paragraph" w:styleId="23">
    <w:name w:val="footer"/>
    <w:basedOn w:val="1"/>
    <w:link w:val="155"/>
    <w:autoRedefine/>
    <w:qFormat/>
    <w:uiPriority w:val="99"/>
    <w:pPr>
      <w:tabs>
        <w:tab w:val="center" w:pos="4153"/>
        <w:tab w:val="right" w:pos="8306"/>
      </w:tabs>
      <w:snapToGrid w:val="0"/>
      <w:jc w:val="left"/>
    </w:pPr>
    <w:rPr>
      <w:kern w:val="0"/>
      <w:sz w:val="18"/>
      <w:szCs w:val="20"/>
    </w:rPr>
  </w:style>
  <w:style w:type="paragraph" w:styleId="24">
    <w:name w:val="header"/>
    <w:basedOn w:val="1"/>
    <w:next w:val="1"/>
    <w:link w:val="154"/>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5">
    <w:name w:val="toc 1"/>
    <w:basedOn w:val="1"/>
    <w:next w:val="1"/>
    <w:autoRedefine/>
    <w:qFormat/>
    <w:uiPriority w:val="0"/>
  </w:style>
  <w:style w:type="paragraph" w:styleId="26">
    <w:name w:val="index heading"/>
    <w:basedOn w:val="1"/>
    <w:next w:val="27"/>
    <w:autoRedefine/>
    <w:qFormat/>
    <w:uiPriority w:val="0"/>
    <w:rPr>
      <w:rFonts w:ascii="Arial" w:hAnsi="Arial"/>
      <w:b/>
    </w:rPr>
  </w:style>
  <w:style w:type="paragraph" w:styleId="27">
    <w:name w:val="index 1"/>
    <w:basedOn w:val="1"/>
    <w:next w:val="1"/>
    <w:autoRedefine/>
    <w:semiHidden/>
    <w:qFormat/>
    <w:uiPriority w:val="0"/>
    <w:pPr>
      <w:adjustRightInd w:val="0"/>
      <w:snapToGrid w:val="0"/>
      <w:ind w:firstLine="823" w:firstLineChars="358"/>
      <w:jc w:val="left"/>
    </w:pPr>
    <w:rPr>
      <w:rFonts w:ascii="宋体" w:hAnsi="宋体"/>
      <w:spacing w:val="10"/>
    </w:rPr>
  </w:style>
  <w:style w:type="paragraph" w:styleId="28">
    <w:name w:val="Body Text Indent 3"/>
    <w:basedOn w:val="1"/>
    <w:autoRedefine/>
    <w:qFormat/>
    <w:uiPriority w:val="0"/>
    <w:pPr>
      <w:spacing w:after="120"/>
      <w:ind w:left="420" w:leftChars="200"/>
    </w:pPr>
    <w:rPr>
      <w:sz w:val="16"/>
      <w:szCs w:val="16"/>
    </w:rPr>
  </w:style>
  <w:style w:type="paragraph" w:styleId="29">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30">
    <w:name w:val="annotation subject"/>
    <w:basedOn w:val="12"/>
    <w:next w:val="12"/>
    <w:link w:val="145"/>
    <w:autoRedefine/>
    <w:qFormat/>
    <w:uiPriority w:val="0"/>
    <w:rPr>
      <w:b/>
      <w:bCs/>
    </w:rPr>
  </w:style>
  <w:style w:type="paragraph" w:styleId="31">
    <w:name w:val="Body Text First Indent"/>
    <w:basedOn w:val="14"/>
    <w:next w:val="1"/>
    <w:autoRedefine/>
    <w:qFormat/>
    <w:uiPriority w:val="0"/>
    <w:pPr>
      <w:ind w:firstLine="420" w:firstLineChars="100"/>
    </w:pPr>
    <w:rPr>
      <w:sz w:val="24"/>
    </w:rPr>
  </w:style>
  <w:style w:type="paragraph" w:styleId="32">
    <w:name w:val="Body Text First Indent 2"/>
    <w:basedOn w:val="1"/>
    <w:next w:val="31"/>
    <w:autoRedefine/>
    <w:qFormat/>
    <w:uiPriority w:val="0"/>
    <w:pPr>
      <w:widowControl w:val="0"/>
      <w:ind w:firstLine="420" w:firstLineChars="200"/>
      <w:jc w:val="both"/>
    </w:pPr>
    <w:rPr>
      <w:kern w:val="2"/>
      <w:sz w:val="21"/>
    </w:rPr>
  </w:style>
  <w:style w:type="table" w:styleId="34">
    <w:name w:val="Table Grid"/>
    <w:basedOn w:val="3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autoRedefine/>
    <w:qFormat/>
    <w:uiPriority w:val="0"/>
    <w:rPr>
      <w:b/>
      <w:bCs/>
      <w:sz w:val="20"/>
      <w:szCs w:val="20"/>
    </w:rPr>
  </w:style>
  <w:style w:type="character" w:styleId="37">
    <w:name w:val="page number"/>
    <w:basedOn w:val="35"/>
    <w:autoRedefine/>
    <w:qFormat/>
    <w:uiPriority w:val="0"/>
  </w:style>
  <w:style w:type="character" w:styleId="38">
    <w:name w:val="FollowedHyperlink"/>
    <w:basedOn w:val="35"/>
    <w:qFormat/>
    <w:uiPriority w:val="0"/>
    <w:rPr>
      <w:color w:val="800080"/>
      <w:u w:val="none"/>
    </w:rPr>
  </w:style>
  <w:style w:type="character" w:styleId="39">
    <w:name w:val="Emphasis"/>
    <w:autoRedefine/>
    <w:qFormat/>
    <w:uiPriority w:val="20"/>
  </w:style>
  <w:style w:type="character" w:styleId="40">
    <w:name w:val="HTML Definition"/>
    <w:basedOn w:val="35"/>
    <w:qFormat/>
    <w:uiPriority w:val="0"/>
    <w:rPr>
      <w:i/>
      <w:iCs/>
    </w:rPr>
  </w:style>
  <w:style w:type="character" w:styleId="41">
    <w:name w:val="Hyperlink"/>
    <w:basedOn w:val="35"/>
    <w:autoRedefine/>
    <w:qFormat/>
    <w:uiPriority w:val="0"/>
    <w:rPr>
      <w:color w:val="000000"/>
      <w:u w:val="none"/>
    </w:rPr>
  </w:style>
  <w:style w:type="character" w:styleId="42">
    <w:name w:val="HTML Code"/>
    <w:basedOn w:val="35"/>
    <w:qFormat/>
    <w:uiPriority w:val="0"/>
    <w:rPr>
      <w:rFonts w:hint="default" w:ascii="Consolas" w:hAnsi="Consolas" w:eastAsia="Consolas" w:cs="Consolas"/>
      <w:color w:val="C7254E"/>
      <w:sz w:val="21"/>
      <w:szCs w:val="21"/>
      <w:shd w:val="clear" w:fill="F9F2F4"/>
    </w:rPr>
  </w:style>
  <w:style w:type="character" w:styleId="43">
    <w:name w:val="annotation reference"/>
    <w:basedOn w:val="35"/>
    <w:autoRedefine/>
    <w:qFormat/>
    <w:uiPriority w:val="0"/>
    <w:rPr>
      <w:sz w:val="21"/>
    </w:rPr>
  </w:style>
  <w:style w:type="character" w:styleId="44">
    <w:name w:val="HTML Keyboard"/>
    <w:basedOn w:val="35"/>
    <w:qFormat/>
    <w:uiPriority w:val="0"/>
    <w:rPr>
      <w:rFonts w:hint="default" w:ascii="Consolas" w:hAnsi="Consolas" w:eastAsia="Consolas" w:cs="Consolas"/>
      <w:color w:val="FFFFFF"/>
      <w:sz w:val="21"/>
      <w:szCs w:val="21"/>
      <w:shd w:val="clear" w:fill="333333"/>
    </w:rPr>
  </w:style>
  <w:style w:type="character" w:styleId="45">
    <w:name w:val="HTML Sample"/>
    <w:basedOn w:val="35"/>
    <w:qFormat/>
    <w:uiPriority w:val="0"/>
    <w:rPr>
      <w:rFonts w:ascii="Consolas" w:hAnsi="Consolas" w:eastAsia="Consolas" w:cs="Consolas"/>
      <w:sz w:val="21"/>
      <w:szCs w:val="21"/>
    </w:rPr>
  </w:style>
  <w:style w:type="paragraph" w:customStyle="1" w:styleId="46">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47">
    <w:name w:val="样式 标题 1 + 四号 段前: 0 磅 段后: 0 磅 行距: 1.5 倍行距"/>
    <w:basedOn w:val="48"/>
    <w:autoRedefine/>
    <w:qFormat/>
    <w:uiPriority w:val="0"/>
    <w:pPr>
      <w:spacing w:line="360" w:lineRule="auto"/>
      <w:jc w:val="center"/>
    </w:pPr>
  </w:style>
  <w:style w:type="paragraph" w:customStyle="1" w:styleId="48">
    <w:name w:val="1正文"/>
    <w:basedOn w:val="1"/>
    <w:qFormat/>
    <w:uiPriority w:val="0"/>
    <w:pPr>
      <w:spacing w:line="500" w:lineRule="exact"/>
      <w:ind w:firstLine="588" w:firstLineChars="196"/>
    </w:pPr>
    <w:rPr>
      <w:rFonts w:eastAsia="楷体_GB2312"/>
      <w:sz w:val="30"/>
      <w:szCs w:val="30"/>
    </w:rPr>
  </w:style>
  <w:style w:type="paragraph" w:customStyle="1" w:styleId="49">
    <w:name w:val="正文1"/>
    <w:basedOn w:val="31"/>
    <w:autoRedefine/>
    <w:qFormat/>
    <w:uiPriority w:val="0"/>
    <w:pPr>
      <w:spacing w:line="240" w:lineRule="auto"/>
      <w:ind w:firstLine="0" w:firstLineChars="0"/>
      <w:jc w:val="center"/>
    </w:pPr>
  </w:style>
  <w:style w:type="paragraph" w:customStyle="1" w:styleId="50">
    <w:name w:val="新格式表"/>
    <w:basedOn w:val="1"/>
    <w:qFormat/>
    <w:uiPriority w:val="0"/>
    <w:pPr>
      <w:adjustRightInd w:val="0"/>
      <w:snapToGrid w:val="0"/>
      <w:spacing w:line="0" w:lineRule="atLeast"/>
      <w:jc w:val="center"/>
    </w:pPr>
    <w:rPr>
      <w:color w:val="000000"/>
      <w:kern w:val="0"/>
      <w:szCs w:val="21"/>
    </w:rPr>
  </w:style>
  <w:style w:type="paragraph" w:customStyle="1" w:styleId="51">
    <w:name w:val="正文LTT"/>
    <w:basedOn w:val="1"/>
    <w:link w:val="53"/>
    <w:autoRedefine/>
    <w:qFormat/>
    <w:uiPriority w:val="0"/>
    <w:pPr>
      <w:spacing w:line="360" w:lineRule="auto"/>
      <w:ind w:firstLine="440" w:firstLineChars="200"/>
    </w:pPr>
    <w:rPr>
      <w:sz w:val="24"/>
    </w:rPr>
  </w:style>
  <w:style w:type="paragraph" w:customStyle="1" w:styleId="52">
    <w:name w:val="表标题LTT"/>
    <w:basedOn w:val="1"/>
    <w:next w:val="51"/>
    <w:autoRedefine/>
    <w:qFormat/>
    <w:uiPriority w:val="0"/>
    <w:pPr>
      <w:spacing w:before="60"/>
      <w:jc w:val="center"/>
    </w:pPr>
    <w:rPr>
      <w:b/>
    </w:rPr>
  </w:style>
  <w:style w:type="character" w:customStyle="1" w:styleId="53">
    <w:name w:val="正文LTT Char"/>
    <w:link w:val="51"/>
    <w:autoRedefine/>
    <w:qFormat/>
    <w:uiPriority w:val="0"/>
    <w:rPr>
      <w:rFonts w:ascii="Times New Roman" w:hAnsi="Times New Roman" w:eastAsia="宋体"/>
      <w:sz w:val="24"/>
    </w:rPr>
  </w:style>
  <w:style w:type="paragraph" w:customStyle="1" w:styleId="54">
    <w:name w:val="文本正文"/>
    <w:basedOn w:val="1"/>
    <w:autoRedefine/>
    <w:qFormat/>
    <w:uiPriority w:val="0"/>
    <w:pPr>
      <w:snapToGrid w:val="0"/>
      <w:spacing w:line="360" w:lineRule="auto"/>
      <w:ind w:firstLine="510"/>
      <w:jc w:val="left"/>
    </w:pPr>
    <w:rPr>
      <w:spacing w:val="4"/>
      <w:kern w:val="24"/>
      <w:lang w:val="zh-CN"/>
    </w:rPr>
  </w:style>
  <w:style w:type="paragraph" w:customStyle="1" w:styleId="55">
    <w:name w:val="报告表正文"/>
    <w:basedOn w:val="1"/>
    <w:autoRedefine/>
    <w:qFormat/>
    <w:uiPriority w:val="0"/>
    <w:pPr>
      <w:adjustRightInd w:val="0"/>
      <w:spacing w:line="312" w:lineRule="auto"/>
      <w:ind w:left="113" w:right="113" w:firstLine="482"/>
      <w:jc w:val="left"/>
      <w:textAlignment w:val="baseline"/>
    </w:pPr>
    <w:rPr>
      <w:kern w:val="0"/>
      <w:sz w:val="24"/>
    </w:rPr>
  </w:style>
  <w:style w:type="paragraph" w:customStyle="1" w:styleId="56">
    <w:name w:val="样式 黑色 行距: 最小值 26 磅"/>
    <w:basedOn w:val="1"/>
    <w:autoRedefine/>
    <w:qFormat/>
    <w:uiPriority w:val="0"/>
    <w:pPr>
      <w:ind w:firstLine="200" w:firstLineChars="200"/>
      <w:jc w:val="left"/>
    </w:pPr>
    <w:rPr>
      <w:rFonts w:eastAsia="楷体_GB2312" w:cs="宋体"/>
      <w:color w:val="000000"/>
      <w:spacing w:val="6"/>
      <w:sz w:val="28"/>
      <w:szCs w:val="20"/>
    </w:rPr>
  </w:style>
  <w:style w:type="paragraph" w:customStyle="1" w:styleId="57">
    <w:name w:val="表格"/>
    <w:basedOn w:val="9"/>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58">
    <w:name w:val="图标题"/>
    <w:basedOn w:val="1"/>
    <w:autoRedefine/>
    <w:qFormat/>
    <w:uiPriority w:val="0"/>
    <w:pPr>
      <w:tabs>
        <w:tab w:val="left" w:pos="1035"/>
      </w:tabs>
      <w:spacing w:afterLines="100"/>
      <w:jc w:val="center"/>
    </w:pPr>
    <w:rPr>
      <w:sz w:val="24"/>
    </w:rPr>
  </w:style>
  <w:style w:type="paragraph" w:customStyle="1" w:styleId="59">
    <w:name w:val="表格及表头"/>
    <w:basedOn w:val="1"/>
    <w:next w:val="1"/>
    <w:autoRedefine/>
    <w:qFormat/>
    <w:uiPriority w:val="0"/>
    <w:rPr>
      <w:szCs w:val="21"/>
    </w:rPr>
  </w:style>
  <w:style w:type="paragraph" w:customStyle="1" w:styleId="60">
    <w:name w:val="p17"/>
    <w:basedOn w:val="1"/>
    <w:autoRedefine/>
    <w:qFormat/>
    <w:uiPriority w:val="0"/>
    <w:pPr>
      <w:widowControl/>
      <w:spacing w:after="120"/>
    </w:pPr>
    <w:rPr>
      <w:kern w:val="0"/>
      <w:sz w:val="30"/>
      <w:szCs w:val="30"/>
    </w:rPr>
  </w:style>
  <w:style w:type="paragraph" w:customStyle="1" w:styleId="61">
    <w:name w:val="文本内容"/>
    <w:basedOn w:val="1"/>
    <w:autoRedefine/>
    <w:qFormat/>
    <w:uiPriority w:val="0"/>
    <w:pPr>
      <w:adjustRightInd w:val="0"/>
      <w:snapToGrid w:val="0"/>
      <w:spacing w:line="360" w:lineRule="auto"/>
      <w:ind w:firstLine="546" w:firstLineChars="200"/>
    </w:pPr>
    <w:rPr>
      <w:rFonts w:ascii="Calibri" w:hAnsi="Calibri"/>
      <w:sz w:val="28"/>
    </w:rPr>
  </w:style>
  <w:style w:type="character" w:customStyle="1" w:styleId="62">
    <w:name w:val="ggzbt011"/>
    <w:basedOn w:val="35"/>
    <w:autoRedefine/>
    <w:qFormat/>
    <w:uiPriority w:val="0"/>
  </w:style>
  <w:style w:type="paragraph" w:customStyle="1" w:styleId="63">
    <w:name w:val="中文报告书样式"/>
    <w:basedOn w:val="1"/>
    <w:autoRedefine/>
    <w:qFormat/>
    <w:uiPriority w:val="0"/>
    <w:pPr>
      <w:adjustRightInd w:val="0"/>
      <w:spacing w:line="480" w:lineRule="atLeast"/>
      <w:ind w:firstLine="482"/>
      <w:textAlignment w:val="baseline"/>
    </w:pPr>
    <w:rPr>
      <w:kern w:val="24"/>
      <w:sz w:val="24"/>
      <w:szCs w:val="20"/>
    </w:rPr>
  </w:style>
  <w:style w:type="character" w:customStyle="1" w:styleId="64">
    <w:name w:val="dz1"/>
    <w:autoRedefine/>
    <w:qFormat/>
    <w:uiPriority w:val="0"/>
    <w:rPr>
      <w:rFonts w:hint="default" w:ascii="Geneva" w:hAnsi="Geneva"/>
      <w:sz w:val="20"/>
      <w:szCs w:val="20"/>
    </w:rPr>
  </w:style>
  <w:style w:type="paragraph" w:customStyle="1" w:styleId="65">
    <w:name w:val="制表格"/>
    <w:basedOn w:val="1"/>
    <w:autoRedefine/>
    <w:qFormat/>
    <w:uiPriority w:val="0"/>
    <w:pPr>
      <w:jc w:val="center"/>
    </w:pPr>
    <w:rPr>
      <w:snapToGrid w:val="0"/>
      <w:kern w:val="0"/>
      <w:szCs w:val="28"/>
    </w:rPr>
  </w:style>
  <w:style w:type="paragraph" w:customStyle="1" w:styleId="66">
    <w:name w:val="环科院正文"/>
    <w:basedOn w:val="1"/>
    <w:autoRedefine/>
    <w:qFormat/>
    <w:uiPriority w:val="0"/>
    <w:pPr>
      <w:tabs>
        <w:tab w:val="left" w:pos="5760"/>
      </w:tabs>
      <w:spacing w:line="360" w:lineRule="auto"/>
      <w:ind w:firstLine="480" w:firstLineChars="200"/>
    </w:pPr>
    <w:rPr>
      <w:rFonts w:hAnsi="宋体"/>
      <w:bCs/>
      <w:sz w:val="24"/>
      <w:szCs w:val="20"/>
    </w:rPr>
  </w:style>
  <w:style w:type="paragraph" w:customStyle="1" w:styleId="67">
    <w:name w:val="11"/>
    <w:basedOn w:val="14"/>
    <w:next w:val="16"/>
    <w:qFormat/>
    <w:uiPriority w:val="0"/>
    <w:pPr>
      <w:autoSpaceDE w:val="0"/>
      <w:autoSpaceDN w:val="0"/>
      <w:adjustRightInd w:val="0"/>
      <w:spacing w:after="0" w:line="360" w:lineRule="auto"/>
      <w:ind w:firstLine="1320" w:firstLineChars="550"/>
      <w:textAlignment w:val="baseline"/>
    </w:pPr>
    <w:rPr>
      <w:sz w:val="24"/>
    </w:rPr>
  </w:style>
  <w:style w:type="paragraph" w:customStyle="1" w:styleId="68">
    <w:name w:val="样式 小四 行距: 1.5 倍行距"/>
    <w:autoRedefine/>
    <w:qFormat/>
    <w:uiPriority w:val="0"/>
    <w:pPr>
      <w:adjustRightInd w:val="0"/>
      <w:snapToGrid w:val="0"/>
      <w:spacing w:line="360" w:lineRule="auto"/>
      <w:ind w:firstLine="480" w:firstLineChars="200"/>
    </w:pPr>
    <w:rPr>
      <w:rFonts w:ascii="Times New Roman" w:hAnsi="Times New Roman" w:eastAsia="宋体" w:cs="Times New Roman"/>
      <w:sz w:val="24"/>
      <w:lang w:val="en-US" w:eastAsia="zh-CN" w:bidi="ar-SA"/>
    </w:rPr>
  </w:style>
  <w:style w:type="paragraph" w:customStyle="1" w:styleId="69">
    <w:name w:val="WPSOffice手动目录 1"/>
    <w:autoRedefine/>
    <w:qFormat/>
    <w:uiPriority w:val="0"/>
    <w:rPr>
      <w:rFonts w:ascii="Times New Roman" w:hAnsi="Times New Roman" w:eastAsia="宋体" w:cs="Times New Roman"/>
      <w:lang w:val="en-US" w:eastAsia="zh-CN" w:bidi="ar-SA"/>
    </w:rPr>
  </w:style>
  <w:style w:type="paragraph" w:customStyle="1" w:styleId="70">
    <w:name w:val="表头（书）"/>
    <w:basedOn w:val="1"/>
    <w:next w:val="57"/>
    <w:autoRedefine/>
    <w:qFormat/>
    <w:uiPriority w:val="0"/>
    <w:pPr>
      <w:numPr>
        <w:ilvl w:val="4"/>
        <w:numId w:val="1"/>
      </w:numPr>
      <w:jc w:val="center"/>
    </w:pPr>
    <w:rPr>
      <w:b/>
      <w:bCs/>
    </w:rPr>
  </w:style>
  <w:style w:type="paragraph" w:customStyle="1" w:styleId="71">
    <w:name w:val="无间隔1"/>
    <w:autoRedefine/>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72">
    <w:name w:val="p0"/>
    <w:basedOn w:val="1"/>
    <w:autoRedefine/>
    <w:qFormat/>
    <w:uiPriority w:val="0"/>
    <w:pPr>
      <w:widowControl/>
    </w:pPr>
    <w:rPr>
      <w:rFonts w:eastAsia="Arial Unicode MS"/>
      <w:kern w:val="0"/>
      <w:szCs w:val="21"/>
    </w:rPr>
  </w:style>
  <w:style w:type="paragraph" w:customStyle="1" w:styleId="73">
    <w:name w:val="赵"/>
    <w:basedOn w:val="1"/>
    <w:autoRedefine/>
    <w:qFormat/>
    <w:uiPriority w:val="0"/>
    <w:pPr>
      <w:spacing w:line="360" w:lineRule="auto"/>
      <w:ind w:firstLine="200" w:firstLineChars="200"/>
    </w:pPr>
    <w:rPr>
      <w:color w:val="000000"/>
      <w:kern w:val="0"/>
      <w:sz w:val="24"/>
    </w:rPr>
  </w:style>
  <w:style w:type="paragraph" w:customStyle="1" w:styleId="74">
    <w:name w:val="表题"/>
    <w:autoRedefine/>
    <w:qFormat/>
    <w:uiPriority w:val="0"/>
    <w:pPr>
      <w:adjustRightInd w:val="0"/>
      <w:snapToGrid w:val="0"/>
      <w:spacing w:before="156" w:after="156"/>
      <w:jc w:val="center"/>
    </w:pPr>
    <w:rPr>
      <w:rFonts w:ascii="Times New Roman" w:hAnsi="Times New Roman" w:eastAsia="PMingLiU" w:cs="Times New Roman"/>
      <w:sz w:val="24"/>
      <w:lang w:val="en-US" w:eastAsia="zh-CN" w:bidi="ar-SA"/>
    </w:rPr>
  </w:style>
  <w:style w:type="paragraph" w:customStyle="1" w:styleId="75">
    <w:name w:val="填表5中"/>
    <w:basedOn w:val="1"/>
    <w:next w:val="1"/>
    <w:autoRedefine/>
    <w:qFormat/>
    <w:uiPriority w:val="0"/>
    <w:pPr>
      <w:spacing w:line="300" w:lineRule="exact"/>
      <w:jc w:val="center"/>
    </w:pPr>
    <w:rPr>
      <w:rFonts w:ascii="宋体"/>
      <w:sz w:val="24"/>
      <w:szCs w:val="21"/>
    </w:rPr>
  </w:style>
  <w:style w:type="character" w:customStyle="1" w:styleId="76">
    <w:name w:val="fw2"/>
    <w:basedOn w:val="35"/>
    <w:autoRedefine/>
    <w:qFormat/>
    <w:uiPriority w:val="0"/>
  </w:style>
  <w:style w:type="paragraph" w:customStyle="1" w:styleId="77">
    <w:name w:val="_Style 2"/>
    <w:autoRedefine/>
    <w:qFormat/>
    <w:uiPriority w:val="0"/>
    <w:pPr>
      <w:widowControl w:val="0"/>
      <w:spacing w:line="240" w:lineRule="atLeast"/>
      <w:jc w:val="both"/>
    </w:pPr>
    <w:rPr>
      <w:rFonts w:ascii="Calibri" w:hAnsi="Calibri" w:eastAsia="宋体" w:cs="Times New Roman"/>
      <w:kern w:val="2"/>
      <w:sz w:val="21"/>
      <w:szCs w:val="22"/>
      <w:lang w:val="en-US" w:eastAsia="zh-CN" w:bidi="ar-SA"/>
    </w:rPr>
  </w:style>
  <w:style w:type="paragraph" w:customStyle="1" w:styleId="78">
    <w:name w:val="1文章"/>
    <w:basedOn w:val="1"/>
    <w:autoRedefine/>
    <w:qFormat/>
    <w:uiPriority w:val="0"/>
    <w:pPr>
      <w:spacing w:line="360" w:lineRule="auto"/>
      <w:ind w:firstLine="573"/>
    </w:pPr>
    <w:rPr>
      <w:rFonts w:eastAsia="楷体_GB2312"/>
      <w:sz w:val="28"/>
      <w:szCs w:val="20"/>
    </w:rPr>
  </w:style>
  <w:style w:type="paragraph" w:customStyle="1" w:styleId="79">
    <w:name w:val="正文内容"/>
    <w:autoRedefine/>
    <w:qFormat/>
    <w:uiPriority w:val="0"/>
    <w:pPr>
      <w:widowControl w:val="0"/>
      <w:snapToGrid w:val="0"/>
      <w:spacing w:before="60" w:after="60" w:line="44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80">
    <w:name w:val="列出段落1"/>
    <w:basedOn w:val="1"/>
    <w:autoRedefine/>
    <w:qFormat/>
    <w:uiPriority w:val="0"/>
    <w:pPr>
      <w:ind w:firstLine="420" w:firstLineChars="200"/>
    </w:pPr>
    <w:rPr>
      <w:szCs w:val="22"/>
    </w:rPr>
  </w:style>
  <w:style w:type="paragraph" w:customStyle="1" w:styleId="81">
    <w:name w:val="报告表格"/>
    <w:basedOn w:val="1"/>
    <w:autoRedefine/>
    <w:qFormat/>
    <w:uiPriority w:val="0"/>
    <w:pPr>
      <w:autoSpaceDE w:val="0"/>
      <w:autoSpaceDN w:val="0"/>
      <w:adjustRightInd w:val="0"/>
      <w:spacing w:before="40" w:after="40"/>
      <w:jc w:val="center"/>
    </w:pPr>
    <w:rPr>
      <w:kern w:val="0"/>
    </w:rPr>
  </w:style>
  <w:style w:type="paragraph" w:customStyle="1" w:styleId="82">
    <w:name w:val="正文01"/>
    <w:basedOn w:val="3"/>
    <w:link w:val="83"/>
    <w:autoRedefine/>
    <w:qFormat/>
    <w:uiPriority w:val="0"/>
    <w:pPr>
      <w:keepNext w:val="0"/>
      <w:keepLines w:val="0"/>
      <w:adjustRightInd/>
      <w:snapToGrid/>
      <w:spacing w:before="60" w:line="460" w:lineRule="exact"/>
      <w:ind w:firstLine="200" w:firstLineChars="200"/>
      <w:outlineLvl w:val="9"/>
    </w:pPr>
    <w:rPr>
      <w:b w:val="0"/>
    </w:rPr>
  </w:style>
  <w:style w:type="character" w:customStyle="1" w:styleId="83">
    <w:name w:val="正文01 Char"/>
    <w:link w:val="82"/>
    <w:autoRedefine/>
    <w:qFormat/>
    <w:uiPriority w:val="0"/>
    <w:rPr>
      <w:rFonts w:ascii="Times New Roman" w:hAnsi="Times New Roman"/>
    </w:rPr>
  </w:style>
  <w:style w:type="paragraph" w:customStyle="1" w:styleId="84">
    <w:name w:val="表格 32"/>
    <w:basedOn w:val="1"/>
    <w:autoRedefine/>
    <w:qFormat/>
    <w:uiPriority w:val="0"/>
    <w:pPr>
      <w:autoSpaceDE w:val="0"/>
      <w:autoSpaceDN w:val="0"/>
      <w:adjustRightInd w:val="0"/>
      <w:jc w:val="center"/>
      <w:textAlignment w:val="baseline"/>
    </w:pPr>
    <w:rPr>
      <w:rFonts w:ascii="宋体" w:hAnsi="Impact"/>
      <w:kern w:val="24"/>
    </w:rPr>
  </w:style>
  <w:style w:type="paragraph" w:customStyle="1" w:styleId="85">
    <w:name w:val="reader-word-layer reader-word-s6-8"/>
    <w:basedOn w:val="1"/>
    <w:autoRedefine/>
    <w:qFormat/>
    <w:uiPriority w:val="0"/>
    <w:pPr>
      <w:widowControl/>
      <w:spacing w:before="100" w:beforeAutospacing="1" w:after="100" w:afterAutospacing="1"/>
      <w:jc w:val="left"/>
    </w:pPr>
    <w:rPr>
      <w:rFonts w:cs="宋体"/>
      <w:kern w:val="0"/>
      <w:sz w:val="24"/>
    </w:rPr>
  </w:style>
  <w:style w:type="paragraph" w:customStyle="1" w:styleId="86">
    <w:name w:val="正文样式1"/>
    <w:basedOn w:val="1"/>
    <w:autoRedefine/>
    <w:qFormat/>
    <w:uiPriority w:val="0"/>
    <w:pPr>
      <w:adjustRightInd w:val="0"/>
      <w:spacing w:line="288" w:lineRule="auto"/>
      <w:ind w:firstLine="360" w:firstLineChars="150"/>
      <w:textAlignment w:val="baseline"/>
    </w:pPr>
    <w:rPr>
      <w:kern w:val="0"/>
      <w:sz w:val="24"/>
      <w:szCs w:val="20"/>
    </w:rPr>
  </w:style>
  <w:style w:type="character" w:customStyle="1" w:styleId="87">
    <w:name w:val="正文文本 Char1"/>
    <w:autoRedefine/>
    <w:qFormat/>
    <w:uiPriority w:val="0"/>
    <w:rPr>
      <w:rFonts w:eastAsia="宋体"/>
      <w:kern w:val="2"/>
      <w:sz w:val="28"/>
      <w:szCs w:val="24"/>
      <w:lang w:val="en-US" w:eastAsia="zh-CN" w:bidi="ar-SA"/>
    </w:rPr>
  </w:style>
  <w:style w:type="paragraph" w:customStyle="1" w:styleId="88">
    <w:name w:val="文本22"/>
    <w:basedOn w:val="1"/>
    <w:autoRedefine/>
    <w:qFormat/>
    <w:uiPriority w:val="0"/>
    <w:pPr>
      <w:autoSpaceDE w:val="0"/>
      <w:autoSpaceDN w:val="0"/>
      <w:adjustRightInd w:val="0"/>
      <w:spacing w:line="360" w:lineRule="auto"/>
      <w:ind w:firstLine="480" w:firstLineChars="200"/>
    </w:pPr>
    <w:rPr>
      <w:sz w:val="24"/>
    </w:rPr>
  </w:style>
  <w:style w:type="paragraph" w:customStyle="1" w:styleId="89">
    <w:name w:val="样式 cucd-0 + (西文) Arial (中文) 仿宋_GB2312"/>
    <w:basedOn w:val="1"/>
    <w:autoRedefine/>
    <w:qFormat/>
    <w:uiPriority w:val="0"/>
    <w:pPr>
      <w:widowControl/>
      <w:spacing w:line="360" w:lineRule="auto"/>
      <w:ind w:firstLine="480" w:firstLineChars="200"/>
      <w:jc w:val="left"/>
    </w:pPr>
    <w:rPr>
      <w:rFonts w:ascii="Arial" w:hAnsi="Arial" w:eastAsia="仿宋_GB2312"/>
      <w:sz w:val="28"/>
      <w:szCs w:val="21"/>
    </w:rPr>
  </w:style>
  <w:style w:type="paragraph" w:customStyle="1" w:styleId="90">
    <w:name w:val="缩进2正文"/>
    <w:basedOn w:val="91"/>
    <w:autoRedefine/>
    <w:qFormat/>
    <w:uiPriority w:val="0"/>
    <w:pPr>
      <w:tabs>
        <w:tab w:val="left" w:pos="4860"/>
      </w:tabs>
      <w:ind w:firstLine="560"/>
      <w:jc w:val="both"/>
    </w:pPr>
    <w:rPr>
      <w:sz w:val="28"/>
      <w:szCs w:val="28"/>
    </w:rPr>
  </w:style>
  <w:style w:type="paragraph" w:customStyle="1" w:styleId="91">
    <w:name w:val="报告正文"/>
    <w:basedOn w:val="1"/>
    <w:autoRedefine/>
    <w:qFormat/>
    <w:uiPriority w:val="0"/>
    <w:pPr>
      <w:spacing w:line="360" w:lineRule="auto"/>
      <w:ind w:firstLine="200" w:firstLineChars="200"/>
      <w:jc w:val="left"/>
    </w:pPr>
    <w:rPr>
      <w:sz w:val="24"/>
    </w:rPr>
  </w:style>
  <w:style w:type="paragraph" w:customStyle="1" w:styleId="92">
    <w:name w:val="列出段落11"/>
    <w:basedOn w:val="1"/>
    <w:autoRedefine/>
    <w:qFormat/>
    <w:uiPriority w:val="34"/>
    <w:pPr>
      <w:ind w:firstLine="420" w:firstLineChars="200"/>
    </w:pPr>
    <w:rPr>
      <w:szCs w:val="20"/>
    </w:rPr>
  </w:style>
  <w:style w:type="paragraph" w:customStyle="1" w:styleId="93">
    <w:name w:val="Char"/>
    <w:basedOn w:val="1"/>
    <w:autoRedefine/>
    <w:qFormat/>
    <w:uiPriority w:val="0"/>
    <w:pPr>
      <w:snapToGrid w:val="0"/>
      <w:spacing w:line="360" w:lineRule="auto"/>
      <w:ind w:firstLine="529" w:firstLineChars="200"/>
    </w:pPr>
  </w:style>
  <w:style w:type="paragraph" w:customStyle="1" w:styleId="94">
    <w:name w:val="Table Paragraph"/>
    <w:basedOn w:val="1"/>
    <w:autoRedefine/>
    <w:unhideWhenUsed/>
    <w:qFormat/>
    <w:uiPriority w:val="1"/>
    <w:rPr>
      <w:sz w:val="24"/>
    </w:rPr>
  </w:style>
  <w:style w:type="paragraph" w:customStyle="1" w:styleId="95">
    <w:name w:val="样式1"/>
    <w:basedOn w:val="7"/>
    <w:autoRedefine/>
    <w:qFormat/>
    <w:uiPriority w:val="0"/>
    <w:pPr>
      <w:spacing w:before="160" w:after="170" w:line="372" w:lineRule="auto"/>
    </w:pPr>
    <w:rPr>
      <w:rFonts w:eastAsia="仿宋_GB2312"/>
    </w:rPr>
  </w:style>
  <w:style w:type="paragraph" w:customStyle="1" w:styleId="96">
    <w:name w:val="样式 (西文) Times New Roman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97">
    <w:name w:val="表格小五"/>
    <w:basedOn w:val="1"/>
    <w:autoRedefine/>
    <w:qFormat/>
    <w:uiPriority w:val="0"/>
    <w:pPr>
      <w:adjustRightInd w:val="0"/>
      <w:snapToGrid w:val="0"/>
      <w:spacing w:after="93" w:afterLines="30" w:line="240" w:lineRule="atLeast"/>
      <w:ind w:firstLine="510"/>
      <w:jc w:val="left"/>
    </w:pPr>
    <w:rPr>
      <w:spacing w:val="16"/>
      <w:kern w:val="0"/>
      <w:sz w:val="18"/>
      <w:szCs w:val="20"/>
    </w:rPr>
  </w:style>
  <w:style w:type="paragraph" w:customStyle="1" w:styleId="98">
    <w:name w:val="表格内容"/>
    <w:basedOn w:val="99"/>
    <w:next w:val="2"/>
    <w:autoRedefine/>
    <w:qFormat/>
    <w:uiPriority w:val="0"/>
    <w:pPr>
      <w:adjustRightInd w:val="0"/>
      <w:snapToGrid w:val="0"/>
      <w:jc w:val="center"/>
    </w:pPr>
    <w:rPr>
      <w:rFonts w:eastAsia="Times New Roman"/>
      <w:szCs w:val="21"/>
    </w:rPr>
  </w:style>
  <w:style w:type="paragraph" w:customStyle="1" w:styleId="99">
    <w:name w:val="表格标题"/>
    <w:basedOn w:val="1"/>
    <w:next w:val="1"/>
    <w:autoRedefine/>
    <w:qFormat/>
    <w:uiPriority w:val="0"/>
    <w:pPr>
      <w:spacing w:line="540" w:lineRule="exact"/>
      <w:jc w:val="center"/>
    </w:pPr>
    <w:rPr>
      <w:rFonts w:ascii="宋体" w:hAnsi="宋体"/>
      <w:bCs/>
      <w:sz w:val="24"/>
    </w:rPr>
  </w:style>
  <w:style w:type="paragraph" w:customStyle="1" w:styleId="100">
    <w:name w:val="1正文段落"/>
    <w:basedOn w:val="1"/>
    <w:autoRedefine/>
    <w:unhideWhenUsed/>
    <w:qFormat/>
    <w:uiPriority w:val="0"/>
    <w:pPr>
      <w:spacing w:line="360" w:lineRule="auto"/>
      <w:ind w:firstLine="200" w:firstLineChars="200"/>
    </w:pPr>
    <w:rPr>
      <w:snapToGrid w:val="0"/>
      <w:kern w:val="0"/>
      <w:sz w:val="24"/>
    </w:rPr>
  </w:style>
  <w:style w:type="paragraph" w:customStyle="1" w:styleId="101">
    <w:name w:val="表格文字"/>
    <w:basedOn w:val="95"/>
    <w:next w:val="1"/>
    <w:autoRedefine/>
    <w:qFormat/>
    <w:uiPriority w:val="0"/>
    <w:pPr>
      <w:spacing w:line="320" w:lineRule="exact"/>
      <w:jc w:val="center"/>
    </w:pPr>
    <w:rPr>
      <w:rFonts w:ascii="宋体"/>
      <w:szCs w:val="24"/>
    </w:rPr>
  </w:style>
  <w:style w:type="paragraph" w:customStyle="1" w:styleId="102">
    <w:name w:val="方案正文"/>
    <w:basedOn w:val="1"/>
    <w:autoRedefine/>
    <w:qFormat/>
    <w:uiPriority w:val="0"/>
    <w:rPr>
      <w:kern w:val="0"/>
      <w:sz w:val="24"/>
      <w:szCs w:val="20"/>
    </w:rPr>
  </w:style>
  <w:style w:type="paragraph" w:customStyle="1" w:styleId="103">
    <w:name w:val="1、正文文本"/>
    <w:next w:val="1"/>
    <w:autoRedefine/>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104">
    <w:name w:val="表头"/>
    <w:basedOn w:val="1"/>
    <w:next w:val="1"/>
    <w:autoRedefine/>
    <w:qFormat/>
    <w:uiPriority w:val="0"/>
    <w:pPr>
      <w:spacing w:line="360" w:lineRule="auto"/>
      <w:ind w:firstLine="2169" w:firstLineChars="1029"/>
    </w:pPr>
    <w:rPr>
      <w:rFonts w:ascii="宋体" w:hAnsi="宋体"/>
      <w:b/>
      <w:kern w:val="0"/>
      <w:szCs w:val="21"/>
    </w:rPr>
  </w:style>
  <w:style w:type="character" w:customStyle="1" w:styleId="105">
    <w:name w:val="font01"/>
    <w:basedOn w:val="35"/>
    <w:autoRedefine/>
    <w:qFormat/>
    <w:uiPriority w:val="0"/>
    <w:rPr>
      <w:rFonts w:hint="eastAsia" w:ascii="宋体" w:hAnsi="宋体" w:eastAsia="宋体" w:cs="宋体"/>
      <w:color w:val="000000"/>
      <w:sz w:val="21"/>
      <w:szCs w:val="21"/>
      <w:u w:val="none"/>
    </w:rPr>
  </w:style>
  <w:style w:type="character" w:customStyle="1" w:styleId="106">
    <w:name w:val="font21"/>
    <w:basedOn w:val="35"/>
    <w:autoRedefine/>
    <w:qFormat/>
    <w:uiPriority w:val="0"/>
    <w:rPr>
      <w:rFonts w:hint="default" w:ascii="Times New Roman" w:hAnsi="Times New Roman" w:cs="Times New Roman"/>
      <w:color w:val="000000"/>
      <w:sz w:val="21"/>
      <w:szCs w:val="21"/>
      <w:u w:val="none"/>
    </w:rPr>
  </w:style>
  <w:style w:type="character" w:customStyle="1" w:styleId="107">
    <w:name w:val="font41"/>
    <w:basedOn w:val="35"/>
    <w:autoRedefine/>
    <w:qFormat/>
    <w:uiPriority w:val="0"/>
    <w:rPr>
      <w:rFonts w:hint="default" w:ascii="Times New Roman" w:hAnsi="Times New Roman" w:cs="Times New Roman"/>
      <w:b/>
      <w:bCs/>
      <w:color w:val="000000"/>
      <w:sz w:val="21"/>
      <w:szCs w:val="21"/>
      <w:u w:val="none"/>
    </w:rPr>
  </w:style>
  <w:style w:type="character" w:customStyle="1" w:styleId="108">
    <w:name w:val="font31"/>
    <w:basedOn w:val="35"/>
    <w:autoRedefine/>
    <w:qFormat/>
    <w:uiPriority w:val="0"/>
    <w:rPr>
      <w:rFonts w:hint="default" w:ascii="Times New Roman" w:hAnsi="Times New Roman" w:cs="Times New Roman"/>
      <w:color w:val="000000"/>
      <w:sz w:val="21"/>
      <w:szCs w:val="21"/>
      <w:u w:val="none"/>
    </w:rPr>
  </w:style>
  <w:style w:type="character" w:customStyle="1" w:styleId="109">
    <w:name w:val="font51"/>
    <w:basedOn w:val="35"/>
    <w:autoRedefine/>
    <w:qFormat/>
    <w:uiPriority w:val="0"/>
    <w:rPr>
      <w:rFonts w:hint="default" w:ascii="Times New Roman" w:hAnsi="Times New Roman" w:cs="Times New Roman"/>
      <w:color w:val="000000"/>
      <w:sz w:val="21"/>
      <w:szCs w:val="21"/>
      <w:u w:val="none"/>
      <w:vertAlign w:val="subscript"/>
    </w:rPr>
  </w:style>
  <w:style w:type="character" w:customStyle="1" w:styleId="110">
    <w:name w:val="正文文本_"/>
    <w:link w:val="111"/>
    <w:autoRedefine/>
    <w:qFormat/>
    <w:locked/>
    <w:uiPriority w:val="99"/>
    <w:rPr>
      <w:rFonts w:ascii="MingLiU" w:hAnsi="MingLiU" w:eastAsia="MingLiU"/>
      <w:spacing w:val="10"/>
      <w:kern w:val="0"/>
      <w:szCs w:val="21"/>
    </w:rPr>
  </w:style>
  <w:style w:type="paragraph" w:customStyle="1" w:styleId="111">
    <w:name w:val="正文文本3"/>
    <w:basedOn w:val="1"/>
    <w:link w:val="110"/>
    <w:autoRedefine/>
    <w:qFormat/>
    <w:uiPriority w:val="99"/>
    <w:pPr>
      <w:shd w:val="clear" w:color="auto" w:fill="FFFFFF"/>
      <w:spacing w:before="240" w:line="466" w:lineRule="exact"/>
      <w:ind w:hanging="480"/>
      <w:jc w:val="distribute"/>
    </w:pPr>
    <w:rPr>
      <w:rFonts w:ascii="MingLiU" w:hAnsi="MingLiU" w:eastAsia="MingLiU"/>
      <w:spacing w:val="10"/>
      <w:kern w:val="0"/>
      <w:szCs w:val="21"/>
    </w:rPr>
  </w:style>
  <w:style w:type="paragraph" w:customStyle="1" w:styleId="112">
    <w:name w:val="wlm表格"/>
    <w:basedOn w:val="1"/>
    <w:autoRedefine/>
    <w:qFormat/>
    <w:uiPriority w:val="0"/>
    <w:pPr>
      <w:snapToGrid w:val="0"/>
      <w:jc w:val="center"/>
    </w:pPr>
    <w:rPr>
      <w:snapToGrid w:val="0"/>
      <w:spacing w:val="2"/>
      <w:szCs w:val="21"/>
    </w:rPr>
  </w:style>
  <w:style w:type="paragraph" w:customStyle="1" w:styleId="113">
    <w:name w:val="正文四号"/>
    <w:basedOn w:val="1"/>
    <w:autoRedefine/>
    <w:qFormat/>
    <w:uiPriority w:val="0"/>
    <w:pPr>
      <w:spacing w:line="600" w:lineRule="exact"/>
      <w:ind w:firstLine="200" w:firstLineChars="200"/>
    </w:pPr>
    <w:rPr>
      <w:rFonts w:ascii="Calibri" w:hAnsi="Calibri" w:eastAsia="仿宋_GB2312"/>
      <w:sz w:val="28"/>
      <w:szCs w:val="28"/>
    </w:rPr>
  </w:style>
  <w:style w:type="paragraph" w:customStyle="1" w:styleId="114">
    <w:name w:val="表头、图尾"/>
    <w:basedOn w:val="1"/>
    <w:autoRedefine/>
    <w:qFormat/>
    <w:uiPriority w:val="0"/>
    <w:pPr>
      <w:spacing w:beforeLines="50" w:afterLines="20"/>
      <w:jc w:val="center"/>
      <w:outlineLvl w:val="1"/>
    </w:pPr>
    <w:rPr>
      <w:b/>
    </w:rPr>
  </w:style>
  <w:style w:type="character" w:customStyle="1" w:styleId="115">
    <w:name w:val="NormalCharacter"/>
    <w:autoRedefine/>
    <w:qFormat/>
    <w:uiPriority w:val="0"/>
  </w:style>
  <w:style w:type="paragraph" w:customStyle="1" w:styleId="116">
    <w:name w:val="cucd-0"/>
    <w:autoRedefine/>
    <w:qFormat/>
    <w:uiPriority w:val="0"/>
    <w:pPr>
      <w:spacing w:line="360" w:lineRule="auto"/>
      <w:ind w:firstLine="480" w:firstLineChars="200"/>
    </w:pPr>
    <w:rPr>
      <w:rFonts w:ascii="Times New Roman" w:hAnsi="Times New Roman" w:eastAsia="Times New Roman" w:cs="Times New Roman"/>
      <w:szCs w:val="24"/>
      <w:lang w:val="en-US" w:eastAsia="zh-CN" w:bidi="ar-SA"/>
    </w:rPr>
  </w:style>
  <w:style w:type="character" w:customStyle="1" w:styleId="117">
    <w:name w:val="viewthreadtxt"/>
    <w:basedOn w:val="35"/>
    <w:autoRedefine/>
    <w:qFormat/>
    <w:uiPriority w:val="0"/>
  </w:style>
  <w:style w:type="paragraph" w:customStyle="1" w:styleId="118">
    <w:name w:val="Char Char Char Char"/>
    <w:basedOn w:val="1"/>
    <w:autoRedefine/>
    <w:qFormat/>
    <w:uiPriority w:val="0"/>
    <w:pPr>
      <w:snapToGrid w:val="0"/>
      <w:spacing w:line="360" w:lineRule="auto"/>
      <w:ind w:firstLine="200" w:firstLineChars="200"/>
    </w:pPr>
    <w:rPr>
      <w:szCs w:val="20"/>
    </w:rPr>
  </w:style>
  <w:style w:type="character" w:customStyle="1" w:styleId="119">
    <w:name w:val="font11"/>
    <w:basedOn w:val="35"/>
    <w:autoRedefine/>
    <w:qFormat/>
    <w:uiPriority w:val="0"/>
    <w:rPr>
      <w:rFonts w:hint="eastAsia" w:ascii="宋体" w:hAnsi="宋体" w:eastAsia="宋体" w:cs="宋体"/>
      <w:color w:val="000000"/>
      <w:sz w:val="21"/>
      <w:szCs w:val="21"/>
      <w:u w:val="none"/>
    </w:rPr>
  </w:style>
  <w:style w:type="paragraph" w:customStyle="1" w:styleId="120">
    <w:name w:val="文本"/>
    <w:basedOn w:val="1"/>
    <w:autoRedefine/>
    <w:qFormat/>
    <w:uiPriority w:val="0"/>
    <w:pPr>
      <w:ind w:firstLine="480" w:firstLineChars="200"/>
    </w:pPr>
  </w:style>
  <w:style w:type="character" w:customStyle="1" w:styleId="121">
    <w:name w:val="font61"/>
    <w:basedOn w:val="35"/>
    <w:autoRedefine/>
    <w:qFormat/>
    <w:uiPriority w:val="0"/>
    <w:rPr>
      <w:rFonts w:hint="default" w:ascii="Times New Roman" w:hAnsi="Times New Roman" w:cs="Times New Roman"/>
      <w:color w:val="000000"/>
      <w:sz w:val="21"/>
      <w:szCs w:val="21"/>
      <w:u w:val="none"/>
      <w:vertAlign w:val="subscript"/>
    </w:rPr>
  </w:style>
  <w:style w:type="character" w:customStyle="1" w:styleId="122">
    <w:name w:val="全部 Char Char"/>
    <w:link w:val="123"/>
    <w:autoRedefine/>
    <w:qFormat/>
    <w:uiPriority w:val="0"/>
    <w:rPr>
      <w:rFonts w:ascii="宋体" w:hAnsi="宋体"/>
      <w:color w:val="000000"/>
      <w:sz w:val="24"/>
    </w:rPr>
  </w:style>
  <w:style w:type="paragraph" w:customStyle="1" w:styleId="123">
    <w:name w:val="全部"/>
    <w:basedOn w:val="1"/>
    <w:link w:val="122"/>
    <w:autoRedefine/>
    <w:qFormat/>
    <w:uiPriority w:val="0"/>
    <w:pPr>
      <w:spacing w:before="156" w:beforeLines="50" w:after="156" w:afterLines="50" w:line="360" w:lineRule="auto"/>
      <w:ind w:firstLine="480" w:firstLineChars="200"/>
    </w:pPr>
    <w:rPr>
      <w:rFonts w:ascii="宋体" w:hAnsi="宋体"/>
      <w:color w:val="000000"/>
      <w:sz w:val="24"/>
    </w:rPr>
  </w:style>
  <w:style w:type="character" w:customStyle="1" w:styleId="124">
    <w:name w:val="样式 样式 小四 段前: 7.8 磅 段后: 7.8 磅 行距: 1.5 倍行距 + 首行缩进:  2 字符 Char Char"/>
    <w:link w:val="125"/>
    <w:autoRedefine/>
    <w:qFormat/>
    <w:uiPriority w:val="0"/>
    <w:rPr>
      <w:spacing w:val="20"/>
      <w:sz w:val="24"/>
    </w:rPr>
  </w:style>
  <w:style w:type="paragraph" w:customStyle="1" w:styleId="125">
    <w:name w:val="样式 样式 小四 段前: 7.8 磅 段后: 7.8 磅 行距: 1.5 倍行距 + 首行缩进:  2 字符"/>
    <w:basedOn w:val="1"/>
    <w:link w:val="124"/>
    <w:autoRedefine/>
    <w:qFormat/>
    <w:uiPriority w:val="0"/>
    <w:pPr>
      <w:spacing w:before="156" w:after="156" w:line="360" w:lineRule="auto"/>
      <w:ind w:firstLine="560" w:firstLineChars="200"/>
    </w:pPr>
    <w:rPr>
      <w:spacing w:val="20"/>
      <w:sz w:val="24"/>
    </w:rPr>
  </w:style>
  <w:style w:type="character" w:customStyle="1" w:styleId="126">
    <w:name w:val="fontstyle01"/>
    <w:basedOn w:val="35"/>
    <w:autoRedefine/>
    <w:qFormat/>
    <w:uiPriority w:val="0"/>
    <w:rPr>
      <w:rFonts w:hint="eastAsia" w:ascii="宋体" w:hAnsi="宋体" w:eastAsia="宋体"/>
      <w:color w:val="000000"/>
      <w:sz w:val="24"/>
      <w:szCs w:val="24"/>
    </w:rPr>
  </w:style>
  <w:style w:type="paragraph" w:customStyle="1" w:styleId="127">
    <w:name w:val="表题LTT"/>
    <w:basedOn w:val="1"/>
    <w:next w:val="1"/>
    <w:autoRedefine/>
    <w:qFormat/>
    <w:uiPriority w:val="0"/>
    <w:pPr>
      <w:widowControl/>
      <w:spacing w:before="120"/>
      <w:jc w:val="center"/>
    </w:pPr>
    <w:rPr>
      <w:b/>
      <w:bCs/>
    </w:rPr>
  </w:style>
  <w:style w:type="paragraph" w:customStyle="1" w:styleId="128">
    <w:name w:val="表格文字LTT2磅"/>
    <w:basedOn w:val="1"/>
    <w:link w:val="140"/>
    <w:autoRedefine/>
    <w:qFormat/>
    <w:uiPriority w:val="0"/>
    <w:pPr>
      <w:widowControl/>
      <w:spacing w:before="40" w:after="40"/>
      <w:jc w:val="center"/>
    </w:pPr>
    <w:rPr>
      <w:bCs/>
      <w:szCs w:val="21"/>
    </w:rPr>
  </w:style>
  <w:style w:type="paragraph" w:customStyle="1" w:styleId="129">
    <w:name w:val="表格文字LTT0磅"/>
    <w:basedOn w:val="130"/>
    <w:link w:val="141"/>
    <w:autoRedefine/>
    <w:qFormat/>
    <w:uiPriority w:val="0"/>
    <w:pPr>
      <w:spacing w:line="240" w:lineRule="auto"/>
      <w:ind w:firstLine="0"/>
      <w:jc w:val="center"/>
    </w:pPr>
    <w:rPr>
      <w:rFonts w:ascii="Times New Roman" w:hAnsi="Times New Roman" w:eastAsia="宋体"/>
      <w:sz w:val="21"/>
    </w:rPr>
  </w:style>
  <w:style w:type="paragraph" w:customStyle="1" w:styleId="130">
    <w:name w:val="正 文"/>
    <w:autoRedefine/>
    <w:qFormat/>
    <w:uiPriority w:val="0"/>
    <w:pPr>
      <w:widowControl w:val="0"/>
      <w:spacing w:line="480" w:lineRule="exact"/>
      <w:ind w:firstLine="471"/>
      <w:jc w:val="both"/>
    </w:pPr>
    <w:rPr>
      <w:rFonts w:ascii="Arial" w:hAnsi="Arial" w:eastAsia="Times New Roman" w:cs="Times New Roman"/>
      <w:kern w:val="2"/>
      <w:sz w:val="24"/>
      <w:lang w:val="en-US" w:eastAsia="zh-CN" w:bidi="ar-SA"/>
    </w:rPr>
  </w:style>
  <w:style w:type="character" w:customStyle="1" w:styleId="131">
    <w:name w:val="fontstyle21"/>
    <w:basedOn w:val="35"/>
    <w:autoRedefine/>
    <w:qFormat/>
    <w:uiPriority w:val="0"/>
    <w:rPr>
      <w:rFonts w:ascii="TimesNewRomanPSMT" w:hAnsi="TimesNewRomanPSMT" w:eastAsia="TimesNewRomanPSMT" w:cs="TimesNewRomanPSMT"/>
      <w:color w:val="000000"/>
      <w:sz w:val="22"/>
      <w:szCs w:val="22"/>
    </w:rPr>
  </w:style>
  <w:style w:type="character" w:customStyle="1" w:styleId="132">
    <w:name w:val="fontstyle31"/>
    <w:basedOn w:val="35"/>
    <w:autoRedefine/>
    <w:qFormat/>
    <w:uiPriority w:val="0"/>
    <w:rPr>
      <w:rFonts w:ascii="宋体" w:hAnsi="宋体" w:eastAsia="宋体" w:cs="宋体"/>
      <w:color w:val="000000"/>
      <w:sz w:val="22"/>
      <w:szCs w:val="22"/>
    </w:rPr>
  </w:style>
  <w:style w:type="paragraph" w:customStyle="1" w:styleId="133">
    <w:name w:val="图题LTT"/>
    <w:basedOn w:val="1"/>
    <w:next w:val="1"/>
    <w:autoRedefine/>
    <w:qFormat/>
    <w:uiPriority w:val="0"/>
    <w:pPr>
      <w:spacing w:after="120"/>
      <w:jc w:val="center"/>
    </w:pPr>
    <w:rPr>
      <w:b/>
    </w:rPr>
  </w:style>
  <w:style w:type="paragraph" w:customStyle="1" w:styleId="134">
    <w:name w:val="表格标题LTT"/>
    <w:basedOn w:val="1"/>
    <w:next w:val="51"/>
    <w:autoRedefine/>
    <w:qFormat/>
    <w:uiPriority w:val="0"/>
    <w:pPr>
      <w:spacing w:before="120"/>
      <w:jc w:val="center"/>
    </w:pPr>
    <w:rPr>
      <w:b/>
    </w:rPr>
  </w:style>
  <w:style w:type="paragraph" w:customStyle="1" w:styleId="135">
    <w:name w:val="表格文字2磅"/>
    <w:basedOn w:val="1"/>
    <w:autoRedefine/>
    <w:qFormat/>
    <w:uiPriority w:val="0"/>
    <w:pPr>
      <w:widowControl/>
      <w:spacing w:before="40" w:after="40"/>
      <w:jc w:val="center"/>
    </w:pPr>
    <w:rPr>
      <w:bCs/>
      <w:szCs w:val="21"/>
    </w:rPr>
  </w:style>
  <w:style w:type="paragraph" w:customStyle="1" w:styleId="136">
    <w:name w:val="翔一表格"/>
    <w:basedOn w:val="1"/>
    <w:next w:val="1"/>
    <w:autoRedefine/>
    <w:qFormat/>
    <w:uiPriority w:val="0"/>
    <w:pPr>
      <w:autoSpaceDE w:val="0"/>
      <w:autoSpaceDN w:val="0"/>
      <w:jc w:val="center"/>
      <w:textAlignment w:val="baseline"/>
    </w:pPr>
    <w:rPr>
      <w:kern w:val="0"/>
      <w:szCs w:val="21"/>
    </w:rPr>
  </w:style>
  <w:style w:type="paragraph" w:customStyle="1" w:styleId="137">
    <w:name w:val="表格文字LTT"/>
    <w:basedOn w:val="1"/>
    <w:next w:val="1"/>
    <w:link w:val="142"/>
    <w:qFormat/>
    <w:uiPriority w:val="0"/>
    <w:pPr>
      <w:spacing w:before="40" w:after="40"/>
      <w:jc w:val="center"/>
    </w:pPr>
  </w:style>
  <w:style w:type="character" w:customStyle="1" w:styleId="138">
    <w:name w:val="fontstyle11"/>
    <w:basedOn w:val="35"/>
    <w:autoRedefine/>
    <w:qFormat/>
    <w:uiPriority w:val="0"/>
    <w:rPr>
      <w:rFonts w:ascii="TimesNewRomanPSMT" w:hAnsi="TimesNewRomanPSMT" w:eastAsia="TimesNewRomanPSMT" w:cs="TimesNewRomanPSMT"/>
      <w:color w:val="000000"/>
      <w:sz w:val="24"/>
      <w:szCs w:val="24"/>
    </w:rPr>
  </w:style>
  <w:style w:type="paragraph" w:customStyle="1" w:styleId="139">
    <w:name w:val="正文首行缩进2"/>
    <w:basedOn w:val="14"/>
    <w:autoRedefine/>
    <w:qFormat/>
    <w:uiPriority w:val="99"/>
    <w:pPr>
      <w:spacing w:line="500" w:lineRule="atLeast"/>
      <w:ind w:firstLine="560"/>
    </w:pPr>
  </w:style>
  <w:style w:type="character" w:customStyle="1" w:styleId="140">
    <w:name w:val="表格文字LTT2磅 Char"/>
    <w:link w:val="128"/>
    <w:autoRedefine/>
    <w:qFormat/>
    <w:uiPriority w:val="0"/>
    <w:rPr>
      <w:rFonts w:ascii="Times New Roman" w:hAnsi="Times New Roman" w:eastAsia="宋体"/>
      <w:bCs/>
      <w:szCs w:val="21"/>
    </w:rPr>
  </w:style>
  <w:style w:type="character" w:customStyle="1" w:styleId="141">
    <w:name w:val="表格文字LTT0磅 Char"/>
    <w:link w:val="129"/>
    <w:autoRedefine/>
    <w:qFormat/>
    <w:uiPriority w:val="0"/>
    <w:rPr>
      <w:rFonts w:ascii="Times New Roman" w:hAnsi="Times New Roman" w:eastAsia="宋体"/>
      <w:sz w:val="21"/>
    </w:rPr>
  </w:style>
  <w:style w:type="character" w:customStyle="1" w:styleId="142">
    <w:name w:val="表格文字LTT Char"/>
    <w:link w:val="137"/>
    <w:autoRedefine/>
    <w:qFormat/>
    <w:uiPriority w:val="0"/>
    <w:rPr>
      <w:rFonts w:ascii="Times New Roman" w:hAnsi="Times New Roman" w:eastAsia="宋体"/>
      <w:sz w:val="21"/>
    </w:rPr>
  </w:style>
  <w:style w:type="paragraph" w:customStyle="1" w:styleId="143">
    <w:name w:val="Default1"/>
    <w:next w:val="1"/>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144">
    <w:name w:val="批注文字 Char"/>
    <w:basedOn w:val="35"/>
    <w:link w:val="12"/>
    <w:autoRedefine/>
    <w:qFormat/>
    <w:uiPriority w:val="0"/>
    <w:rPr>
      <w:kern w:val="2"/>
      <w:sz w:val="21"/>
      <w:szCs w:val="24"/>
    </w:rPr>
  </w:style>
  <w:style w:type="character" w:customStyle="1" w:styleId="145">
    <w:name w:val="批注主题 Char"/>
    <w:basedOn w:val="144"/>
    <w:link w:val="30"/>
    <w:autoRedefine/>
    <w:qFormat/>
    <w:uiPriority w:val="0"/>
    <w:rPr>
      <w:b/>
      <w:bCs/>
      <w:kern w:val="2"/>
      <w:sz w:val="21"/>
      <w:szCs w:val="24"/>
    </w:rPr>
  </w:style>
  <w:style w:type="character" w:customStyle="1" w:styleId="146">
    <w:name w:val="批注框文本 Char"/>
    <w:basedOn w:val="35"/>
    <w:link w:val="22"/>
    <w:qFormat/>
    <w:uiPriority w:val="0"/>
    <w:rPr>
      <w:kern w:val="2"/>
      <w:sz w:val="18"/>
      <w:szCs w:val="18"/>
    </w:rPr>
  </w:style>
  <w:style w:type="paragraph" w:customStyle="1" w:styleId="147">
    <w:name w:val="_Style 5"/>
    <w:basedOn w:val="1"/>
    <w:qFormat/>
    <w:uiPriority w:val="0"/>
    <w:pPr>
      <w:spacing w:line="360" w:lineRule="auto"/>
      <w:ind w:firstLine="420" w:firstLineChars="200"/>
    </w:pPr>
    <w:rPr>
      <w:rFonts w:ascii="Calibri" w:hAnsi="Calibri"/>
      <w:kern w:val="0"/>
      <w:sz w:val="24"/>
      <w:szCs w:val="20"/>
    </w:rPr>
  </w:style>
  <w:style w:type="paragraph" w:customStyle="1" w:styleId="148">
    <w:name w:val="1正文-报告表"/>
    <w:basedOn w:val="1"/>
    <w:autoRedefine/>
    <w:qFormat/>
    <w:uiPriority w:val="0"/>
    <w:pPr>
      <w:ind w:firstLine="480" w:firstLineChars="200"/>
    </w:pPr>
    <w:rPr>
      <w:kern w:val="0"/>
      <w:sz w:val="24"/>
    </w:rPr>
  </w:style>
  <w:style w:type="paragraph" w:customStyle="1" w:styleId="149">
    <w:name w:val="0正文"/>
    <w:basedOn w:val="1"/>
    <w:autoRedefine/>
    <w:semiHidden/>
    <w:qFormat/>
    <w:uiPriority w:val="0"/>
    <w:pPr>
      <w:spacing w:line="360" w:lineRule="auto"/>
      <w:ind w:firstLine="720" w:firstLineChars="200"/>
      <w:jc w:val="left"/>
    </w:pPr>
    <w:rPr>
      <w:kern w:val="0"/>
      <w:sz w:val="24"/>
    </w:rPr>
  </w:style>
  <w:style w:type="paragraph" w:customStyle="1" w:styleId="150">
    <w:name w:val="正文（首行缩进两字）m"/>
    <w:basedOn w:val="9"/>
    <w:autoRedefine/>
    <w:qFormat/>
    <w:uiPriority w:val="0"/>
    <w:pPr>
      <w:tabs>
        <w:tab w:val="left" w:pos="1848"/>
        <w:tab w:val="left" w:pos="6061"/>
        <w:tab w:val="left" w:pos="8665"/>
      </w:tabs>
      <w:adjustRightInd w:val="0"/>
      <w:snapToGrid w:val="0"/>
      <w:spacing w:beforeLines="50" w:line="460" w:lineRule="exact"/>
      <w:ind w:firstLine="480"/>
    </w:pPr>
    <w:rPr>
      <w:color w:val="339966"/>
    </w:rPr>
  </w:style>
  <w:style w:type="paragraph" w:customStyle="1" w:styleId="151">
    <w:name w:val="正文环评"/>
    <w:basedOn w:val="1"/>
    <w:autoRedefine/>
    <w:qFormat/>
    <w:uiPriority w:val="0"/>
    <w:pPr>
      <w:spacing w:line="360" w:lineRule="auto"/>
      <w:ind w:firstLine="200" w:firstLineChars="200"/>
    </w:pPr>
    <w:rPr>
      <w:sz w:val="24"/>
      <w:szCs w:val="22"/>
    </w:rPr>
  </w:style>
  <w:style w:type="paragraph" w:customStyle="1" w:styleId="152">
    <w:name w:val="样式 正文缩进正文缩进2正文缩进 Char Char正文缩进 Char Char Char Char正文缩进 Char ..."/>
    <w:basedOn w:val="9"/>
    <w:autoRedefine/>
    <w:qFormat/>
    <w:uiPriority w:val="0"/>
    <w:pPr>
      <w:spacing w:line="360" w:lineRule="auto"/>
      <w:ind w:firstLine="200"/>
    </w:pPr>
    <w:rPr>
      <w:rFonts w:cs="宋体"/>
    </w:rPr>
  </w:style>
  <w:style w:type="paragraph" w:customStyle="1" w:styleId="153">
    <w:name w:val="123456"/>
    <w:basedOn w:val="1"/>
    <w:autoRedefine/>
    <w:qFormat/>
    <w:uiPriority w:val="0"/>
  </w:style>
  <w:style w:type="character" w:customStyle="1" w:styleId="154">
    <w:name w:val="页眉 字符"/>
    <w:basedOn w:val="35"/>
    <w:link w:val="24"/>
    <w:qFormat/>
    <w:uiPriority w:val="0"/>
    <w:rPr>
      <w:rFonts w:hint="default" w:ascii="Calibri" w:hAnsi="Calibri" w:cs="Calibri"/>
    </w:rPr>
  </w:style>
  <w:style w:type="character" w:customStyle="1" w:styleId="155">
    <w:name w:val="页脚 字符"/>
    <w:basedOn w:val="35"/>
    <w:link w:val="23"/>
    <w:qFormat/>
    <w:uiPriority w:val="0"/>
    <w:rPr>
      <w:rFonts w:hint="default" w:ascii="Calibri" w:hAnsi="Calibri" w:cs="Calibri"/>
    </w:rPr>
  </w:style>
  <w:style w:type="paragraph" w:customStyle="1" w:styleId="156">
    <w:name w:val="A表表格"/>
    <w:next w:val="31"/>
    <w:qFormat/>
    <w:uiPriority w:val="0"/>
    <w:pPr>
      <w:spacing w:line="240" w:lineRule="auto"/>
      <w:jc w:val="center"/>
    </w:pPr>
    <w:rPr>
      <w:rFonts w:ascii="Times New Roman" w:hAnsi="Times New Roman" w:eastAsia="宋体" w:cs="Times New Roman"/>
      <w:kern w:val="0"/>
      <w:sz w:val="18"/>
      <w:szCs w:val="24"/>
      <w:lang w:val="en-US" w:eastAsia="zh-CN" w:bidi="ar-SA"/>
      <w14:ligatures w14:val="none"/>
    </w:rPr>
  </w:style>
  <w:style w:type="paragraph" w:customStyle="1" w:styleId="157">
    <w:name w:val="报告表3级"/>
    <w:basedOn w:val="1"/>
    <w:next w:val="1"/>
    <w:qFormat/>
    <w:uiPriority w:val="0"/>
    <w:pPr>
      <w:widowControl/>
      <w:spacing w:line="360" w:lineRule="auto"/>
      <w:jc w:val="left"/>
    </w:pPr>
    <w:rPr>
      <w:b/>
      <w:bCs/>
      <w:sz w:val="24"/>
    </w:rPr>
  </w:style>
  <w:style w:type="character" w:customStyle="1" w:styleId="158">
    <w:name w:val="ui-icon"/>
    <w:basedOn w:val="35"/>
    <w:qFormat/>
    <w:uiPriority w:val="0"/>
  </w:style>
  <w:style w:type="character" w:customStyle="1" w:styleId="159">
    <w:name w:val="before"/>
    <w:basedOn w:val="35"/>
    <w:qFormat/>
    <w:uiPriority w:val="0"/>
    <w:rPr>
      <w:rFonts w:hint="default" w:ascii="FontAwesome" w:hAnsi="FontAwesome" w:eastAsia="FontAwesome" w:cs="FontAwesome"/>
      <w:color w:val="888888"/>
      <w:sz w:val="18"/>
      <w:szCs w:val="18"/>
    </w:rPr>
  </w:style>
  <w:style w:type="character" w:customStyle="1" w:styleId="160">
    <w:name w:val="before1"/>
    <w:basedOn w:val="35"/>
    <w:qFormat/>
    <w:uiPriority w:val="0"/>
    <w:rPr>
      <w:rFonts w:hint="default" w:ascii="FontAwesome" w:hAnsi="FontAwesome" w:eastAsia="FontAwesome" w:cs="FontAwesome"/>
      <w:color w:val="888888"/>
      <w:sz w:val="18"/>
      <w:szCs w:val="18"/>
    </w:rPr>
  </w:style>
  <w:style w:type="character" w:customStyle="1" w:styleId="161">
    <w:name w:val="checkbox10"/>
    <w:basedOn w:val="35"/>
    <w:qFormat/>
    <w:uiPriority w:val="0"/>
  </w:style>
  <w:style w:type="character" w:customStyle="1" w:styleId="162">
    <w:name w:val="input-icon2"/>
    <w:basedOn w:val="35"/>
    <w:qFormat/>
    <w:uiPriority w:val="0"/>
  </w:style>
  <w:style w:type="character" w:customStyle="1" w:styleId="163">
    <w:name w:val="ui-jqgrid-resize"/>
    <w:basedOn w:val="35"/>
    <w:qFormat/>
    <w:uiPriority w:val="0"/>
  </w:style>
  <w:style w:type="character" w:customStyle="1" w:styleId="164">
    <w:name w:val="ui-jqgrid-resize1"/>
    <w:basedOn w:val="35"/>
    <w:qFormat/>
    <w:uiPriority w:val="0"/>
  </w:style>
  <w:style w:type="paragraph" w:customStyle="1" w:styleId="165">
    <w:name w:val="！正文 Alt+0"/>
    <w:basedOn w:val="1"/>
    <w:qFormat/>
    <w:uiPriority w:val="0"/>
  </w:style>
  <w:style w:type="table" w:customStyle="1" w:styleId="166">
    <w:name w:val="Table Normal"/>
    <w:autoRedefine/>
    <w:unhideWhenUsed/>
    <w:qFormat/>
    <w:uiPriority w:val="0"/>
    <w:tblPr>
      <w:tblCellMar>
        <w:top w:w="0" w:type="dxa"/>
        <w:left w:w="0" w:type="dxa"/>
        <w:bottom w:w="0" w:type="dxa"/>
        <w:right w:w="0" w:type="dxa"/>
      </w:tblCellMar>
    </w:tblPr>
  </w:style>
  <w:style w:type="paragraph" w:styleId="167">
    <w:name w:val="List Paragraph"/>
    <w:basedOn w:val="1"/>
    <w:qFormat/>
    <w:uiPriority w:val="1"/>
    <w:pPr>
      <w:ind w:left="1602" w:hanging="527"/>
    </w:pPr>
    <w:rPr>
      <w:rFonts w:ascii="宋体" w:hAnsi="宋体" w:eastAsia="宋体" w:cs="宋体"/>
      <w:lang w:val="zh-CN" w:eastAsia="zh-CN" w:bidi="zh-CN"/>
    </w:rPr>
  </w:style>
  <w:style w:type="paragraph" w:customStyle="1" w:styleId="168">
    <w:name w:val="Normal Indent1"/>
    <w:basedOn w:val="1"/>
    <w:autoRedefine/>
    <w:qFormat/>
    <w:uiPriority w:val="0"/>
    <w:pPr>
      <w:ind w:firstLine="420" w:firstLineChars="200"/>
    </w:pPr>
  </w:style>
  <w:style w:type="paragraph" w:customStyle="1" w:styleId="169">
    <w:name w:val="报告表格内中"/>
    <w:basedOn w:val="1"/>
    <w:qFormat/>
    <w:uiPriority w:val="0"/>
    <w:pPr>
      <w:spacing w:before="100" w:beforeAutospacing="1"/>
      <w:ind w:firstLine="1440" w:firstLineChars="200"/>
      <w:jc w:val="center"/>
    </w:pPr>
    <w:rPr>
      <w:bCs/>
      <w:sz w:val="24"/>
    </w:rPr>
  </w:style>
  <w:style w:type="paragraph" w:customStyle="1" w:styleId="170">
    <w:name w:val="lxy-TM表格文字"/>
    <w:basedOn w:val="1"/>
    <w:qFormat/>
    <w:uiPriority w:val="0"/>
    <w:pPr>
      <w:spacing w:line="240" w:lineRule="exact"/>
      <w:jc w:val="center"/>
    </w:pPr>
    <w:rPr>
      <w:sz w:val="18"/>
      <w:szCs w:val="21"/>
    </w:rPr>
  </w:style>
  <w:style w:type="paragraph" w:customStyle="1" w:styleId="171">
    <w:name w:val="正文001"/>
    <w:basedOn w:val="1"/>
    <w:qFormat/>
    <w:uiPriority w:val="0"/>
    <w:pPr>
      <w:spacing w:line="360" w:lineRule="auto"/>
      <w:ind w:firstLine="482"/>
    </w:pPr>
    <w:rPr>
      <w:sz w:val="24"/>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wmf"/><Relationship Id="rId6" Type="http://schemas.openxmlformats.org/officeDocument/2006/relationships/oleObject" Target="embeddings/oleObject1.bin"/><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3.wmf"/><Relationship Id="rId50" Type="http://schemas.openxmlformats.org/officeDocument/2006/relationships/oleObject" Target="embeddings/oleObject13.bin"/><Relationship Id="rId5" Type="http://schemas.openxmlformats.org/officeDocument/2006/relationships/theme" Target="theme/theme1.xml"/><Relationship Id="rId49" Type="http://schemas.openxmlformats.org/officeDocument/2006/relationships/image" Target="media/image32.wmf"/><Relationship Id="rId48" Type="http://schemas.openxmlformats.org/officeDocument/2006/relationships/oleObject" Target="embeddings/oleObject12.bin"/><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footer" Target="footer2.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oleObject" Target="embeddings/oleObject11.bin"/><Relationship Id="rId35" Type="http://schemas.openxmlformats.org/officeDocument/2006/relationships/image" Target="media/image20.wmf"/><Relationship Id="rId34" Type="http://schemas.openxmlformats.org/officeDocument/2006/relationships/oleObject" Target="embeddings/oleObject10.bin"/><Relationship Id="rId33" Type="http://schemas.openxmlformats.org/officeDocument/2006/relationships/image" Target="media/image19.png"/><Relationship Id="rId32" Type="http://schemas.openxmlformats.org/officeDocument/2006/relationships/image" Target="media/image18.jpe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er" Target="foot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jpeg"/><Relationship Id="rId26" Type="http://schemas.openxmlformats.org/officeDocument/2006/relationships/image" Target="media/image12.emf"/><Relationship Id="rId25" Type="http://schemas.openxmlformats.org/officeDocument/2006/relationships/oleObject" Target="embeddings/oleObject9.bin"/><Relationship Id="rId24" Type="http://schemas.openxmlformats.org/officeDocument/2006/relationships/image" Target="media/image11.emf"/><Relationship Id="rId23" Type="http://schemas.openxmlformats.org/officeDocument/2006/relationships/oleObject" Target="embeddings/oleObject8.bin"/><Relationship Id="rId22" Type="http://schemas.openxmlformats.org/officeDocument/2006/relationships/image" Target="media/image10.emf"/><Relationship Id="rId21" Type="http://schemas.openxmlformats.org/officeDocument/2006/relationships/oleObject" Target="embeddings/oleObject7.bin"/><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emf"/><Relationship Id="rId16" Type="http://schemas.openxmlformats.org/officeDocument/2006/relationships/oleObject" Target="embeddings/oleObject6.bin"/><Relationship Id="rId15" Type="http://schemas.openxmlformats.org/officeDocument/2006/relationships/image" Target="media/image5.emf"/><Relationship Id="rId14" Type="http://schemas.openxmlformats.org/officeDocument/2006/relationships/oleObject" Target="embeddings/oleObject5.bin"/><Relationship Id="rId13" Type="http://schemas.openxmlformats.org/officeDocument/2006/relationships/image" Target="media/image4.emf"/><Relationship Id="rId12" Type="http://schemas.openxmlformats.org/officeDocument/2006/relationships/oleObject" Target="embeddings/oleObject4.bin"/><Relationship Id="rId11" Type="http://schemas.openxmlformats.org/officeDocument/2006/relationships/image" Target="media/image3.emf"/><Relationship Id="rId10" Type="http://schemas.openxmlformats.org/officeDocument/2006/relationships/oleObject" Target="embeddings/oleObject3.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b77a0b9c-a5b3-4d26-8a42-c38a335ad5da</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3B5367C0</paraID>
      <start>12</start>
      <end>15</end>
      <status>unmodified</status>
      <modifiedWord/>
      <trackRevisions>false</trackRevisions>
    </reviewItem>
    <reviewItem>
      <errorID>7b397f53-ec71-4bfe-b5b8-92f368be3653</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725AF9D7</paraID>
      <start>3</start>
      <end>6</end>
      <status>unmodified</status>
      <modifiedWord/>
      <trackRevisions>false</trackRevisions>
    </reviewItem>
    <reviewItem>
      <errorID>523582ed-1232-4a53-8e24-636eccc6d7e3</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39050D2B</paraID>
      <start>0</start>
      <end>3</end>
      <status>unmodified</status>
      <modifiedWord/>
      <trackRevisions>false</trackRevisions>
    </reviewItem>
    <reviewItem>
      <errorID>7c310147-b5c2-47ce-95e4-eff2633bfed6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4BEB0570</paraID>
      <start>0</start>
      <end>2</end>
      <status>unmodified</status>
      <modifiedWord/>
      <trackRevisions>false</trackRevisions>
    </reviewItem>
    <reviewItem>
      <errorID>762ea592-b9bb-4e77-a5fe-77a261ca8035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4BEB0570</paraID>
      <start>33</start>
      <end>34</end>
      <status>unmodified</status>
      <modifiedWord/>
      <trackRevisions>false</trackRevisions>
    </reviewItem>
    <reviewItem>
      <errorID>f61e66ea-7d30-4a74-8219-c6ab3adf1041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7C848B77</paraID>
      <start>0</start>
      <end>2</end>
      <status>unmodified</status>
      <modifiedWord/>
      <trackRevisions>false</trackRevisions>
    </reviewItem>
    <reviewItem>
      <errorID>880166d2-c6cd-42b2-afdb-200c8fd3662a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1E3DDF4F</paraID>
      <start>0</start>
      <end>2</end>
      <status>unmodified</status>
      <modifiedWord/>
      <trackRevisions>false</trackRevisions>
    </reviewItem>
    <reviewItem>
      <errorID>362a1932-22d0-4dbe-b648-ed87e7a60fbe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8E9ABE1</paraID>
      <start>0</start>
      <end>2</end>
      <status>unmodified</status>
      <modifiedWord/>
      <trackRevisions>false</trackRevisions>
    </reviewItem>
    <reviewItem>
      <errorID>74f1103d-84a9-49c2-a21d-d97e05d6a249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8E9ABE1</paraID>
      <start>31</start>
      <end>32</end>
      <status>unmodified</status>
      <modifiedWord/>
      <trackRevisions>false</trackRevisions>
    </reviewItem>
    <reviewItem>
      <errorID>72fc074d-4dfc-4412-b13c-97cc12722a79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4F572EEB</paraID>
      <start>0</start>
      <end>2</end>
      <status>unmodified</status>
      <modifiedWord/>
      <trackRevisions>false</trackRevisions>
    </reviewItem>
    <reviewItem>
      <errorID>5bc843df-c778-4d1e-89f3-a00c86421fee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D6D298B</paraID>
      <start>0</start>
      <end>2</end>
      <status>unmodified</status>
      <modifiedWord/>
      <trackRevisions>false</trackRevisions>
    </reviewItem>
    <reviewItem>
      <errorID>cda52b96-26e1-4a70-8910-a584b453bc6e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D6D298B</paraID>
      <start>42</start>
      <end>43</end>
      <status>unmodified</status>
      <modifiedWord/>
      <trackRevisions>false</trackRevisions>
    </reviewItem>
    <reviewItem>
      <errorID>aba1edbe-9660-4c2d-a5cf-f943dfee8872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3BCAE0B6</paraID>
      <start>0</start>
      <end>2</end>
      <status>unmodified</status>
      <modifiedWord/>
      <trackRevisions>false</trackRevisions>
    </reviewItem>
    <reviewItem>
      <errorID>d40c584b-5462-477e-83dc-a7eb749965b2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3BCAE0B6</paraID>
      <start>23</start>
      <end>24</end>
      <status>unmodified</status>
      <modifiedWord/>
      <trackRevisions>false</trackRevisions>
    </reviewItem>
    <reviewItem>
      <errorID>b01a51cc-2a3d-4ec5-92d8-0e1d6e92a058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79F89311</paraID>
      <start>22</start>
      <end>23</end>
      <status>unmodified</status>
      <modifiedWord/>
      <trackRevisions>false</trackRevisions>
    </reviewItem>
    <reviewItem>
      <errorID>d6285b6c-a750-48b3-b2b2-6e77734e8a29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5677B8DC</paraID>
      <start>22</start>
      <end>23</end>
      <status>unmodified</status>
      <modifiedWord/>
      <trackRevisions>false</trackRevisions>
    </reviewItem>
    <reviewItem>
      <errorID>3da288a2-911c-4e7d-8725-ebfa6f551f6e</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5677B8DC</paraID>
      <start>114</start>
      <end>115</end>
      <status>unmodified</status>
      <modifiedWord/>
      <trackRevisions>false</trackRevisions>
    </reviewItem>
    <reviewItem>
      <errorID>8c4f1916-2595-4ff5-b083-9b6b7cdbf2b5</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5677B8DC</paraID>
      <start>119</start>
      <end>120</end>
      <status>unmodified</status>
      <modifiedWord/>
      <trackRevisions>false</trackRevisions>
    </reviewItem>
    <reviewItem>
      <errorID>09019684-778d-4fb2-9c5b-782b44c2007e</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5677B8DC</paraID>
      <start>179</start>
      <end>180</end>
      <status>unmodified</status>
      <modifiedWord/>
      <trackRevisions>false</trackRevisions>
    </reviewItem>
    <reviewItem>
      <errorID>06b72952-ff71-4314-99cf-34c000d43ed7</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5677B8DC</paraID>
      <start>187</start>
      <end>188</end>
      <status>unmodified</status>
      <modifiedWord/>
      <trackRevisions>false</trackRevisions>
    </reviewItem>
    <reviewItem>
      <errorID>792d82f2-cb5e-46bc-ab2a-caff3515f607</errorID>
      <errorWord>-</errorWord>
      <group>L1_Format</group>
      <groupName>格式问题</groupName>
      <ability>L2_HalfPunc</ability>
      <abilityName>全半角检查</abilityName>
      <candidateList>
        <item>－</item>
      </candidateList>
      <explain>文本全半角错误。</explain>
      <paraID>5677B8DC</paraID>
      <start>206</start>
      <end>207</end>
      <status>unmodified</status>
      <modifiedWord/>
      <trackRevisions>false</trackRevisions>
    </reviewItem>
    <reviewItem>
      <errorID>7d396b6d-6831-4dd8-9d0c-3473358698d1</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135E0C93</paraID>
      <start>5</start>
      <end>8</end>
      <status>unmodified</status>
      <modifiedWord/>
      <trackRevisions>false</trackRevisions>
    </reviewItem>
    <reviewItem>
      <errorID>dc9ae884-8bfd-474b-9fe2-2583a73b1880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135E0C93</paraID>
      <start>52</start>
      <end>53</end>
      <status>unmodified</status>
      <modifiedWord/>
      <trackRevisions>false</trackRevisions>
    </reviewItem>
    <reviewItem>
      <errorID>7503a4e1-5ec8-4709-99d1-f11b2934c8d7</errorID>
      <errorWord>在在</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explain>
      <paraID>23D08CBC</paraID>
      <start>3</start>
      <end>5</end>
      <status>unmodified</status>
      <modifiedWord/>
      <trackRevisions>false</trackRevisions>
    </reviewItem>
    <reviewItem>
      <errorID>c5a4e9eb-34fd-434e-97a8-7cde8a03670b</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23D08CBC</paraID>
      <start>6</start>
      <end>9</end>
      <status>unmodified</status>
      <modifiedWord/>
      <trackRevisions>false</trackRevisions>
    </reviewItem>
    <reviewItem>
      <errorID>57a8d054-04af-4920-a3ee-fdc5baa1b2f2</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23D08CBC</paraID>
      <start>209</start>
      <end>212</end>
      <status>unmodified</status>
      <modifiedWord/>
      <trackRevisions>false</trackRevisions>
    </reviewItem>
    <reviewItem>
      <errorID>933fc0eb-4799-4ced-9bd8-d47229d67ec6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5FFABB8E</paraID>
      <start>29</start>
      <end>30</end>
      <status>unmodified</status>
      <modifiedWord/>
      <trackRevisions>false</trackRevisions>
    </reviewItem>
    <reviewItem>
      <errorID>1cea07c4-100b-45cc-b9af-7b6a180f1550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5D5648D6</paraID>
      <start>0</start>
      <end>2</end>
      <status>unmodified</status>
      <modifiedWord/>
      <trackRevisions>false</trackRevisions>
    </reviewItem>
    <reviewItem>
      <errorID>f4719918-eccb-41c0-8ff5-66ef37523c46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5D5648D6</paraID>
      <start>23</start>
      <end>24</end>
      <status>unmodified</status>
      <modifiedWord/>
      <trackRevisions>false</trackRevisions>
    </reviewItem>
    <reviewItem>
      <errorID>c0eee2e3-3cda-468c-8f59-0164db545e9a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409AC565</paraID>
      <start>29</start>
      <end>30</end>
      <status>unmodified</status>
      <modifiedWord/>
      <trackRevisions>false</trackRevisions>
    </reviewItem>
    <reviewItem>
      <errorID>9c2c7972-ea3d-4d05-b34b-a2b45f6648ed</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5038232A</paraID>
      <start>17</start>
      <end>20</end>
      <status>unmodified</status>
      <modifiedWord/>
      <trackRevisions>false</trackRevisions>
    </reviewItem>
    <reviewItem>
      <errorID>b8c617a6-30cd-486b-90f8-14ba7fd9368d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15AFB6CA</paraID>
      <start>24</start>
      <end>25</end>
      <status>unmodified</status>
      <modifiedWord/>
      <trackRevisions>false</trackRevisions>
    </reviewItem>
    <reviewItem>
      <errorID>de5918ed-c6b1-4f50-8417-41024e17067b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1F10414A</paraID>
      <start>24</start>
      <end>25</end>
      <status>unmodified</status>
      <modifiedWord/>
      <trackRevisions>false</trackRevisions>
    </reviewItem>
    <reviewItem>
      <errorID>be9bd7cb-5ff3-4c05-8664-cff77ea8f2b1</errorID>
      <errorWord>，</errorWord>
      <group>L1_Word</group>
      <groupName>字词问题</groupName>
      <ability>L2_Typo</ability>
      <abilityName>字词错误</abilityName>
      <candidateList>
        <item>，必</item>
      </candidateList>
      <explain/>
      <paraID>26DCBC07</paraID>
      <start>38</start>
      <end>39</end>
      <status>unmodified</status>
      <modifiedWord/>
      <trackRevisions>false</trackRevisions>
    </reviewItem>
    <reviewItem>
      <errorID>392bfb13-e438-40d0-b460-068946ab592b</errorID>
      <errorWord>两高项目</errorWord>
      <group>L1_Political</group>
      <groupName>政治性问题</groupName>
      <ability>L2_Keyword</ability>
      <abilityName>固定表述</abilityName>
      <candidateList>
        <item>“两高”项目</item>
      </candidateList>
      <explain>注意检查当前固定表述标点是否使用规范。</explain>
      <paraID>178A001A</paraID>
      <start>6</start>
      <end>10</end>
      <status>unmodified</status>
      <modifiedWord/>
      <trackRevisions>false</trackRevisions>
    </reviewItem>
    <reviewItem>
      <errorID>92f91d89-ac7e-4fe3-8cde-b7324a9e08a9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4C3E478</paraID>
      <start>29</start>
      <end>30</end>
      <status>unmodified</status>
      <modifiedWord/>
      <trackRevisions>false</trackRevisions>
    </reviewItem>
    <reviewItem>
      <errorID>5d2c3b47-cc4b-4631-a2c5-5de561758eec</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69B78F71</paraID>
      <start>158</start>
      <end>161</end>
      <status>unmodified</status>
      <modifiedWord/>
      <trackRevisions>false</trackRevisions>
    </reviewItem>
    <reviewItem>
      <errorID>3c8c3779-6f8b-40e3-bc93-41dad542cd85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3065D486</paraID>
      <start>44</start>
      <end>45</end>
      <status>unmodified</status>
      <modifiedWord/>
      <trackRevisions>false</trackRevisions>
    </reviewItem>
    <reviewItem>
      <errorID>fe4c4891-ba63-4833-ab90-ae1c8e7e7b58</errorID>
      <errorWord>达</errorWord>
      <group>L1_Word</group>
      <groupName>字词问题</groupName>
      <ability>L2_Typo</ability>
      <abilityName>字词错误</abilityName>
      <candidateList>
        <item>达到</item>
      </candidateList>
      <explain>〈动〉到（多指抽象事物或程度）：达得到｜达不到｜目的没有～｜～国际水平。</explain>
      <paraID>6606F47D</paraID>
      <start>30</start>
      <end>31</end>
      <status>unmodified</status>
      <modifiedWord/>
      <trackRevisions>false</trackRevisions>
    </reviewItem>
    <reviewItem>
      <errorID>45aeff11-a673-4e59-a1b4-8d8707878e02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1EE8AA05</paraID>
      <start>36</start>
      <end>37</end>
      <status>unmodified</status>
      <modifiedWord/>
      <trackRevisions>false</trackRevisions>
    </reviewItem>
    <reviewItem>
      <errorID>fa832e63-7368-44c0-9471-d1e94aa4dcc5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51776544</paraID>
      <start>0</start>
      <end>2</end>
      <status>unmodified</status>
      <modifiedWord/>
      <trackRevisions>false</trackRevisions>
    </reviewItem>
    <reviewItem>
      <errorID>367a1629-2af1-42a0-9687-ce02a4f8233a</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444BF3CE</paraID>
      <start>17</start>
      <end>20</end>
      <status>unmodified</status>
      <modifiedWord/>
      <trackRevisions>false</trackRevisions>
    </reviewItem>
    <reviewItem>
      <errorID>e00cdd66-62a4-4068-bb8c-34c8f73ce248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64AB62A</paraID>
      <start>0</start>
      <end>2</end>
      <status>unmodified</status>
      <modifiedWord/>
      <trackRevisions>false</trackRevisions>
    </reviewItem>
    <reviewItem>
      <errorID>5ce8b9ae-05c1-434a-b137-7749aa9cb7b9</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22BEF2B4</paraID>
      <start>92</start>
      <end>95</end>
      <status>unmodified</status>
      <modifiedWord/>
      <trackRevisions>false</trackRevisions>
    </reviewItem>
    <reviewItem>
      <errorID>553253d0-4817-427b-bb82-71bd9dd7e48f</errorID>
      <errorWord>-</errorWord>
      <group>L1_Format</group>
      <groupName>格式问题</groupName>
      <ability>L2_HalfPunc</ability>
      <abilityName>全半角检查</abilityName>
      <candidateList>
        <item>－</item>
      </candidateList>
      <explain>文本全半角错误。</explain>
      <paraID>22BEF2B4</paraID>
      <start>432</start>
      <end>433</end>
      <status>unmodified</status>
      <modifiedWord/>
      <trackRevisions>false</trackRevisions>
    </reviewItem>
    <reviewItem>
      <errorID>f6bca8ca-8b44-4502-93d5-04140babfb5f</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 46F852C</paraID>
      <start>66</start>
      <end>69</end>
      <status>unmodified</status>
      <modifiedWord/>
      <trackRevisions>false</trackRevisions>
    </reviewItem>
    <reviewItem>
      <errorID>cdb8cbb0-4459-461c-82ba-e09c94096cc0</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6BBE1026</paraID>
      <start>17</start>
      <end>20</end>
      <status>unmodified</status>
      <modifiedWord/>
      <trackRevisions>false</trackRevisions>
    </reviewItem>
    <reviewItem>
      <errorID>44e4d6ee-396b-4e51-9f16-04fba47d11fd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5DB268EB</paraID>
      <start>0</start>
      <end>2</end>
      <status>unmodified</status>
      <modifiedWord/>
      <trackRevisions>false</trackRevisions>
    </reviewItem>
    <reviewItem>
      <errorID>8a87e82e-51e2-4b56-be11-1efc949c53f6</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5F04DB70</paraID>
      <start>50</start>
      <end>53</end>
      <status>unmodified</status>
      <modifiedWord/>
      <trackRevisions>false</trackRevisions>
    </reviewItem>
    <reviewItem>
      <errorID>06cd4b4b-25ea-4fe9-ad15-42ebd36ac47f</errorID>
      <errorWord>属于为</errorWord>
      <group>L1_Word</group>
      <groupName>字词问题</groupName>
      <ability>L2_Typo</ability>
      <abilityName>字词错误</abilityName>
      <candidateList>
        <item>属于</item>
      </candidateList>
      <explain/>
      <paraID>5F04DB70</paraID>
      <start>67</start>
      <end>70</end>
      <status>unmodified</status>
      <modifiedWord/>
      <trackRevisions>false</trackRevisions>
    </reviewItem>
    <reviewItem>
      <errorID>a4df02a7-d2a5-4483-8e66-51d600974e52</errorID>
      <errorWord>《</errorWord>
      <group>L1_Punc</group>
      <groupName>标点问题</groupName>
      <ability>L2_Punc</ability>
      <abilityName>标点符号检查</abilityName>
      <candidateList/>
      <explain>同一形式括号套用。</explain>
      <paraID>5F04DB70</paraID>
      <start>123</start>
      <end>124</end>
      <status>unmodified</status>
      <modifiedWord/>
      <trackRevisions>false</trackRevisions>
    </reviewItem>
    <reviewItem>
      <errorID>d72b389f-1012-43c9-8385-685fe1487d95</errorID>
      <errorWord>》</errorWord>
      <group>L1_Punc</group>
      <groupName>标点问题</groupName>
      <ability>L2_Punc</ability>
      <abilityName>标点符号检查</abilityName>
      <candidateList/>
      <explain>同一形式括号套用。</explain>
      <paraID>5F04DB70</paraID>
      <start>142</start>
      <end>143</end>
      <status>unmodified</status>
      <modifiedWord/>
      <trackRevisions>false</trackRevisions>
    </reviewItem>
    <reviewItem>
      <errorID>94f2de9a-7897-4830-ac9d-b10aa65b99db</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5F04DB70</paraID>
      <start>300</start>
      <end>303</end>
      <status>unmodified</status>
      <modifiedWord/>
      <trackRevisions>false</trackRevisions>
    </reviewItem>
    <reviewItem>
      <errorID>1c8cc9c5-3b21-4e82-bbb3-bcf7069a5de6</errorID>
      <errorWord>卫生部</errorWord>
      <group>L1_Knowledge</group>
      <groupName>知识性问题</groupName>
      <ability>L2_Organization</ability>
      <abilityName>机构检查</abilityName>
      <candidateList/>
      <explain>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65778161</paraID>
      <start>142</start>
      <end>145</end>
      <status>unmodified</status>
      <modifiedWord/>
      <trackRevisions>false</trackRevisions>
    </reviewItem>
    <reviewItem>
      <errorID>77df0b1c-ac58-4429-a7b6-1e207da607fe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25603698</paraID>
      <start>0</start>
      <end>2</end>
      <status>unmodified</status>
      <modifiedWord/>
      <trackRevisions>false</trackRevisions>
    </reviewItem>
    <reviewItem>
      <errorID>6cb8d696-212e-4228-bd9c-33adc798bd47</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65045F92</paraID>
      <start>11</start>
      <end>14</end>
      <status>unmodified</status>
      <modifiedWord/>
      <trackRevisions>false</trackRevisions>
    </reviewItem>
    <reviewItem>
      <errorID>776cc54a-6a82-4b83-abc6-f4ac975ff84f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147C18C8</paraID>
      <start>0</start>
      <end>2</end>
      <status>unmodified</status>
      <modifiedWord/>
      <trackRevisions>false</trackRevisions>
    </reviewItem>
    <reviewItem>
      <errorID>6baf6869-e870-4269-bec6-9f185ba897e7</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49DF04A5</paraID>
      <start>169</start>
      <end>172</end>
      <status>unmodified</status>
      <modifiedWord/>
      <trackRevisions>false</trackRevisions>
    </reviewItem>
    <reviewItem>
      <errorID>17b8516d-746b-4e38-aebd-efa8c2f23b8a</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7D466628</paraID>
      <start>45</start>
      <end>48</end>
      <status>unmodified</status>
      <modifiedWord/>
      <trackRevisions>false</trackRevisions>
    </reviewItem>
    <reviewItem>
      <errorID>8aa53434-a6f9-4aa5-ad66-43de0f7e673d</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59CAD511</paraID>
      <start>81</start>
      <end>84</end>
      <status>unmodified</status>
      <modifiedWord/>
      <trackRevisions>false</trackRevisions>
    </reviewItem>
    <reviewItem>
      <errorID>d50eb27c-6b8f-41a0-ad90-493036abbf8c</errorID>
      <errorWord>严格地</errorWord>
      <group>L1_Word</group>
      <groupName>字词问题</groupName>
      <ability>L2_Typo</ability>
      <abilityName>字词错误</abilityName>
      <candidateList>
        <item>严格</item>
      </candidateList>
      <explain/>
      <paraID> F92E4F3</paraID>
      <start>92</start>
      <end>95</end>
      <status>unmodified</status>
      <modifiedWord/>
      <trackRevisions>false</trackRevisions>
    </reviewItem>
    <reviewItem>
      <errorID>09a6e357-8895-4b3a-a97d-7ee11463799f</errorID>
      <errorWord>，</errorWord>
      <group>L1_Word</group>
      <groupName>字词问题</groupName>
      <ability>L2_Typo</ability>
      <abilityName>字词错误</abilityName>
      <candidateList>
        <item>，在</item>
      </candidateList>
      <explain/>
      <paraID>524DCE00</paraID>
      <start>95</start>
      <end>96</end>
      <status>unmodified</status>
      <modifiedWord/>
      <trackRevisions>false</trackRevisions>
    </reviewItem>
    <reviewItem>
      <errorID>274fa2f2-d938-4732-8fdc-8b08dc736f23</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42C933ED</paraID>
      <start>0</start>
      <end>3</end>
      <status>unmodified</status>
      <modifiedWord/>
      <trackRevisions>false</trackRevisions>
    </reviewItem>
    <reviewItem>
      <errorID>3409a2cd-bc52-41cb-88d3-a105c756ad72</errorID>
      <errorWord>~</errorWord>
      <group>L1_Format</group>
      <groupName>格式问题</groupName>
      <ability>L2_HalfPunc</ability>
      <abilityName>全半角检查</abilityName>
      <candidateList>
        <item>～</item>
      </candidateList>
      <explain>文本全半角错误。</explain>
      <paraID>4D4B7C09</paraID>
      <start>163</start>
      <end>164</end>
      <status>unmodified</status>
      <modifiedWord/>
      <trackRevisions>false</trackRevisions>
    </reviewItem>
    <reviewItem>
      <errorID>2ebd9467-3b57-4354-ba1b-022e6ae3bcda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1BC1EB81</paraID>
      <start>0</start>
      <end>2</end>
      <status>unmodified</status>
      <modifiedWord/>
      <trackRevisions>false</trackRevisions>
    </reviewItem>
    <reviewItem>
      <errorID>5153efc0-633f-4ed7-be91-444d892d08dc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4C49CC7D</paraID>
      <start>0</start>
      <end>2</end>
      <status>unmodified</status>
      <modifiedWord/>
      <trackRevisions>false</trackRevisions>
    </reviewItem>
    <reviewItem>
      <errorID>2a90b8e6-6ef5-4f9f-af68-5639ce1c5a9a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4C49CC7D</paraID>
      <start>28</start>
      <end>29</end>
      <status>unmodified</status>
      <modifiedWord/>
      <trackRevisions>false</trackRevisions>
    </reviewItem>
    <reviewItem>
      <errorID>6e43e1cf-b77c-4690-9c07-0c8c47a6fcfc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2F828832</paraID>
      <start>34</start>
      <end>35</end>
      <status>unmodified</status>
      <modifiedWord/>
      <trackRevisions>false</trackRevisions>
    </reviewItem>
    <reviewItem>
      <errorID>4f3ed173-6bef-49f3-a6a0-beda6c5cfd00</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 ADC1938</paraID>
      <start>45</start>
      <end>48</end>
      <status>unmodified</status>
      <modifiedWord/>
      <trackRevisions>false</trackRevisions>
    </reviewItem>
    <reviewItem>
      <errorID>f2c7d536-3859-4873-8141-d0fbe9821701</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4A2632CC</paraID>
      <start>0</start>
      <end>2</end>
      <status>unmodified</status>
      <modifiedWord/>
      <trackRevisions>false</trackRevisions>
    </reviewItem>
    <reviewItem>
      <errorID>4460762e-b068-42a6-b9fb-e35212bb4a8f</errorID>
      <errorWord>资源节约高效利用</errorWord>
      <group>L1_Political</group>
      <groupName>政治性问题</groupName>
      <ability>L2_Keyword</ability>
      <abilityName>固定表述</abilityName>
      <candidateList>
        <item>资源节约集约利用</item>
      </candidateList>
      <explain>词汇“资源节约集约利用”在特定场景下为固定表述形式，请确认此处的“资源节约高效利用”是否存在不当。</explain>
      <paraID>7B463C01</paraID>
      <start>9</start>
      <end>17</end>
      <status>unmodified</status>
      <modifiedWord/>
      <trackRevisions>false</trackRevisions>
    </reviewItem>
    <reviewItem>
      <errorID>bada9879-4ea9-4839-bd98-453f3f45d211</errorID>
      <errorWord>污染治理攻坚战</errorWord>
      <group>L1_Political</group>
      <groupName>政治性问题</groupName>
      <ability>L2_Keyword</ability>
      <abilityName>固定表述</abilityName>
      <candidateList>
        <item>污染防治攻坚战</item>
      </candidateList>
      <explain>词汇“污染防治攻坚战”在特定场景下为固定表述形式，请确认此处的“污染治理攻坚战”是否存在不当。</explain>
      <paraID>293F5448</paraID>
      <start>12</start>
      <end>19</end>
      <status>unmodified</status>
      <modifiedWord/>
      <trackRevisions>false</trackRevisions>
    </reviewItem>
    <reviewItem>
      <errorID>b787894d-5e96-4d9c-8865-edb41c978ce1</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3EE6B113</paraID>
      <start>0</start>
      <end>2</end>
      <status>unmodified</status>
      <modifiedWord/>
      <trackRevisions>false</trackRevisions>
    </reviewItem>
    <reviewItem>
      <errorID>2c70f1b7-5496-4d59-b41e-7fd5301a3494</errorID>
      <errorWord>粘结</errorWord>
      <group>L1_Word</group>
      <groupName>字词问题</groupName>
      <ability>L2_Typo</ability>
      <abilityName>字词错误</abilityName>
      <candidateList>
        <item>黏结</item>
      </candidateList>
      <explain>存在发音相同字词的误用。</explain>
      <paraID>5CC2E2AC</paraID>
      <start>190</start>
      <end>192</end>
      <status>unmodified</status>
      <modifiedWord/>
      <trackRevisions>false</trackRevisions>
    </reviewItem>
    <reviewItem>
      <errorID>c12a8ebc-962b-461a-b147-ed4413082632</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6F76BF4F</paraID>
      <start>0</start>
      <end>3</end>
      <status>unmodified</status>
      <modifiedWord/>
      <trackRevisions>false</trackRevisions>
    </reviewItem>
    <reviewItem>
      <errorID>23067632-2b08-4bf9-8aec-b2eeff8102be</errorID>
      <errorWord>胶粘剂</errorWord>
      <group>L1_Word</group>
      <groupName>字词问题</groupName>
      <ability>L2_Typo</ability>
      <abilityName>字词错误</abilityName>
      <candidateList>
        <item>胶黏剂</item>
      </candidateList>
      <explain/>
      <paraID>30D1E2A7</paraID>
      <start>101</start>
      <end>104</end>
      <status>unmodified</status>
      <modifiedWord/>
      <trackRevisions>false</trackRevisions>
    </reviewItem>
    <reviewItem>
      <errorID>0bc6374d-d284-4d94-8d59-08a14e1071bb</errorID>
      <errorWord>胶粘剂</errorWord>
      <group>L1_Word</group>
      <groupName>字词问题</groupName>
      <ability>L2_Typo</ability>
      <abilityName>字词错误</abilityName>
      <candidateList>
        <item>胶黏剂</item>
      </candidateList>
      <explain/>
      <paraID>30D1E2A7</paraID>
      <start>137</start>
      <end>140</end>
      <status>unmodified</status>
      <modifiedWord/>
      <trackRevisions>false</trackRevisions>
    </reviewItem>
    <reviewItem>
      <errorID>2cca4a28-1057-4e09-8f47-f1b8992c6772</errorID>
      <errorWord>胶粘剂</errorWord>
      <group>L1_Word</group>
      <groupName>字词问题</groupName>
      <ability>L2_Typo</ability>
      <abilityName>字词错误</abilityName>
      <candidateList>
        <item>胶黏剂</item>
      </candidateList>
      <explain/>
      <paraID>535C8962</paraID>
      <start>114</start>
      <end>117</end>
      <status>unmodified</status>
      <modifiedWord/>
      <trackRevisions>false</trackRevisions>
    </reviewItem>
    <reviewItem>
      <errorID>f1ee2f56-6828-4817-8e9e-12515f6111c0</errorID>
      <errorWord>胶粘剂</errorWord>
      <group>L1_Word</group>
      <groupName>字词问题</groupName>
      <ability>L2_Typo</ability>
      <abilityName>字词错误</abilityName>
      <candidateList>
        <item>胶黏剂</item>
      </candidateList>
      <explain/>
      <paraID>535C8962</paraID>
      <start>149</start>
      <end>152</end>
      <status>unmodified</status>
      <modifiedWord/>
      <trackRevisions>false</trackRevisions>
    </reviewItem>
    <reviewItem>
      <errorID>deae2b98-f098-4680-b96d-4dd448621447</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5CAF5741</paraID>
      <start>31</start>
      <end>32</end>
      <status>unmodified</status>
      <modifiedWord/>
      <trackRevisions>false</trackRevisions>
    </reviewItem>
    <reviewItem>
      <errorID>4be6f298-58f5-403b-8c6a-8d59a29e522b</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1A821863</paraID>
      <start>0</start>
      <end>3</end>
      <status>unmodified</status>
      <modifiedWord/>
      <trackRevisions>false</trackRevisions>
    </reviewItem>
    <reviewItem>
      <errorID>6f43a103-f97a-4591-b177-78252ce34376</errorID>
      <errorWord>胶粘剂</errorWord>
      <group>L1_Word</group>
      <groupName>字词问题</groupName>
      <ability>L2_Typo</ability>
      <abilityName>字词错误</abilityName>
      <candidateList>
        <item>胶黏剂</item>
      </candidateList>
      <explain/>
      <paraID>528C1CA3</paraID>
      <start>158</start>
      <end>161</end>
      <status>unmodified</status>
      <modifiedWord/>
      <trackRevisions>false</trackRevisions>
    </reviewItem>
    <reviewItem>
      <errorID>99369d25-283f-4b59-8295-b412ea61d93b</errorID>
      <errorWord>胶粘剂</errorWord>
      <group>L1_Word</group>
      <groupName>字词问题</groupName>
      <ability>L2_Typo</ability>
      <abilityName>字词错误</abilityName>
      <candidateList>
        <item>胶黏剂</item>
      </candidateList>
      <explain/>
      <paraID>7681DAC4</paraID>
      <start>21</start>
      <end>24</end>
      <status>unmodified</status>
      <modifiedWord/>
      <trackRevisions>false</trackRevisions>
    </reviewItem>
    <reviewItem>
      <errorID>4a572887-b1bc-4a06-85e4-6d7897731ae9</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54DA64F1</paraID>
      <start>0</start>
      <end>3</end>
      <status>unmodified</status>
      <modifiedWord/>
      <trackRevisions>false</trackRevisions>
    </reviewItem>
    <reviewItem>
      <errorID>8a56e720-ca6d-433c-91c0-388194ceeb6d</errorID>
      <errorWord>[2022]45号</errorWord>
      <group>L1_Knowledge</group>
      <groupName>知识性问题</groupName>
      <ability>L2_Knowledge</ability>
      <abilityName>其他知识</abilityName>
      <candidateList>
        <item>〔2022〕45号</item>
      </candidateList>
      <explain>发文字号格式错误。</explain>
      <paraID>54DA64F1</paraID>
      <start>34</start>
      <end>43</end>
      <status>unmodified</status>
      <modifiedWord/>
      <trackRevisions>false</trackRevisions>
    </reviewItem>
    <reviewItem>
      <errorID>9e5b0d4e-7cb4-41e9-a4bb-36be070401c0</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5E3E08F4</paraID>
      <start>1</start>
      <end>4</end>
      <status>unmodified</status>
      <modifiedWord/>
      <trackRevisions>false</trackRevisions>
    </reviewItem>
    <reviewItem>
      <errorID>091b98fd-db85-48e6-8f95-cb080cc3dc54</errorID>
      <errorWord>,</errorWord>
      <group>L1_Format</group>
      <groupName>格式问题</groupName>
      <ability>L2_HalfPunc</ability>
      <abilityName>全半角检查</abilityName>
      <candidateList>
        <item>，</item>
      </candidateList>
      <explain>文本全半角错误。</explain>
      <paraID>61A8D17F</paraID>
      <start>7</start>
      <end>8</end>
      <status>unmodified</status>
      <modifiedWord/>
      <trackRevisions>false</trackRevisions>
    </reviewItem>
    <reviewItem>
      <errorID>0afe5ccf-ca8d-40ea-ae78-a4a557b7d016</errorID>
      <errorWord>,</errorWord>
      <group>L1_Format</group>
      <groupName>格式问题</groupName>
      <ability>L2_HalfPunc</ability>
      <abilityName>全半角检查</abilityName>
      <candidateList>
        <item>，</item>
      </candidateList>
      <explain>文本全半角错误。</explain>
      <paraID>61A8D17F</paraID>
      <start>28</start>
      <end>29</end>
      <status>unmodified</status>
      <modifiedWord/>
      <trackRevisions>false</trackRevisions>
    </reviewItem>
    <reviewItem>
      <errorID>1b794355-f7fa-4790-a114-7aa051c0da8a</errorID>
      <errorWord>:</errorWord>
      <group>L1_Format</group>
      <groupName>格式问题</groupName>
      <ability>L2_HalfPunc</ability>
      <abilityName>全半角检查</abilityName>
      <candidateList>
        <item>：</item>
      </candidateList>
      <explain>文本全半角错误。</explain>
      <paraID>61A8D17F</paraID>
      <start>48</start>
      <end>49</end>
      <status>unmodified</status>
      <modifiedWord/>
      <trackRevisions>false</trackRevisions>
    </reviewItem>
    <reviewItem>
      <errorID>dd7c5628-a134-4cfb-bd78-227dee464aa1</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4C0FE6D8</paraID>
      <start>0</start>
      <end>2</end>
      <status>unmodified</status>
      <modifiedWord/>
      <trackRevisions>false</trackRevisions>
    </reviewItem>
    <reviewItem>
      <errorID>83031719-ff00-4415-9d12-8d74be898ac3</errorID>
      <errorWord>,</errorWord>
      <group>L1_Format</group>
      <groupName>格式问题</groupName>
      <ability>L2_HalfPunc</ability>
      <abilityName>全半角检查</abilityName>
      <candidateList>
        <item>，</item>
      </candidateList>
      <explain>文本全半角错误。</explain>
      <paraID>4C0FE6D8</paraID>
      <start>43</start>
      <end>44</end>
      <status>unmodified</status>
      <modifiedWord/>
      <trackRevisions>false</trackRevisions>
    </reviewItem>
    <reviewItem>
      <errorID>b42a50f4-bcdb-44ca-9d0e-5bafa61c39ea</errorID>
      <errorWord>;</errorWord>
      <group>L1_Format</group>
      <groupName>格式问题</groupName>
      <ability>L2_HalfPunc</ability>
      <abilityName>全半角检查</abilityName>
      <candidateList>
        <item>；</item>
      </candidateList>
      <explain>文本全半角错误。</explain>
      <paraID>4C0FE6D8</paraID>
      <start>76</start>
      <end>77</end>
      <status>unmodified</status>
      <modifiedWord/>
      <trackRevisions>false</trackRevisions>
    </reviewItem>
    <reviewItem>
      <errorID>9cfde094-9cda-4c30-a09a-c4c3369fb940</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FECABA5</paraID>
      <start>0</start>
      <end>2</end>
      <status>unmodified</status>
      <modifiedWord/>
      <trackRevisions>false</trackRevisions>
    </reviewItem>
    <reviewItem>
      <errorID>3e02080b-b03d-4ee4-b9be-2141280d73eb</errorID>
      <errorWord>,</errorWord>
      <group>L1_Format</group>
      <groupName>格式问题</groupName>
      <ability>L2_HalfPunc</ability>
      <abilityName>全半角检查</abilityName>
      <candidateList>
        <item>，</item>
      </candidateList>
      <explain>文本全半角错误。</explain>
      <paraID> FECABA5</paraID>
      <start>22</start>
      <end>23</end>
      <status>unmodified</status>
      <modifiedWord/>
      <trackRevisions>false</trackRevisions>
    </reviewItem>
    <reviewItem>
      <errorID>cb9017c4-911c-4c68-a8de-b8e5daaf0035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19B3DB2</paraID>
      <start>0</start>
      <end>2</end>
      <status>unmodified</status>
      <modifiedWord/>
      <trackRevisions>false</trackRevisions>
    </reviewItem>
    <reviewItem>
      <errorID>08aeb3c3-60ff-44f0-891a-c201cd22fdcd</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7F130FF1</paraID>
      <start>0</start>
      <end>3</end>
      <status>unmodified</status>
      <modifiedWord/>
      <trackRevisions>false</trackRevisions>
    </reviewItem>
    <reviewItem>
      <errorID>362bd7b5-d4bd-47db-8966-89ee6c9ee5c5</errorID>
      <errorWord>2013年01月18日</errorWord>
      <group>L1_Knowledge</group>
      <groupName>知识性问题</groupName>
      <ability>L2_Time</ability>
      <abilityName>日期时间</abilityName>
      <candidateList>
        <item>2013年1月18日</item>
      </candidateList>
      <explain>根据日常书写习惯，月份一般会省略前导零。</explain>
      <paraID>7F130FF1</paraID>
      <start>16</start>
      <end>27</end>
      <status>unmodified</status>
      <modifiedWord/>
      <trackRevisions>false</trackRevisions>
    </reviewItem>
    <reviewItem>
      <errorID>4de69df3-bf5c-4c37-94f6-49f6b1edbbec</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7F130FF1</paraID>
      <start>30</start>
      <end>33</end>
      <status>unmodified</status>
      <modifiedWord/>
      <trackRevisions>false</trackRevisions>
    </reviewItem>
    <reviewItem>
      <errorID>326672aa-fc10-41b6-af25-00e70b698e5a</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282BCD58</paraID>
      <start>20</start>
      <end>23</end>
      <status>unmodified</status>
      <modifiedWord/>
      <trackRevisions>false</trackRevisions>
    </reviewItem>
    <reviewItem>
      <errorID>16cae158-0de9-47ba-88c0-adee9f06ef06</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268B654F</paraID>
      <start>32</start>
      <end>35</end>
      <status>unmodified</status>
      <modifiedWord/>
      <trackRevisions>false</trackRevisions>
    </reviewItem>
    <reviewItem>
      <errorID>df068b52-472c-4a03-ad9d-33e8f70eab54</errorID>
      <errorWord>中华人民共和国环境保护法</errorWord>
      <group>L1_Knowledge</group>
      <groupName>知识性问题</groupName>
      <ability>L2_Knowledge</ability>
      <abilityName>其他知识</abilityName>
      <candidateList/>
      <explain>当前法律法规未收录或尚未生效，注意核查是否正确。</explain>
      <paraID>1B08C258</paraID>
      <start>3</start>
      <end>15</end>
      <status>unmodified</status>
      <modifiedWord/>
      <trackRevisions>false</trackRevisions>
    </reviewItem>
    <reviewItem>
      <errorID>a8477834-ab15-4787-a02b-878ce0417162</errorID>
      <errorWord>法律、法规</errorWord>
      <group>L1_Word</group>
      <groupName>字词问题</groupName>
      <ability>L2_Typo</ability>
      <abilityName>字词错误</abilityName>
      <candidateList>
        <item>法律法规</item>
      </candidateList>
      <explain/>
      <paraID>1B08C258</paraID>
      <start>118</start>
      <end>123</end>
      <status>unmodified</status>
      <modifiedWord/>
      <trackRevisions>false</trackRevisions>
    </reviewItem>
    <reviewItem>
      <errorID>b97565e2-65b9-4ae0-8b23-e4d85d7178f8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158AAAFC</paraID>
      <start>0</start>
      <end>2</end>
      <status>unmodified</status>
      <modifiedWord/>
      <trackRevisions>false</trackRevisions>
    </reviewItem>
    <reviewItem>
      <errorID>0e5547aa-d09f-407d-bfc3-e235a4af8f24</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20A0631B</paraID>
      <start>0</start>
      <end>3</end>
      <status>unmodified</status>
      <modifiedWord/>
      <trackRevisions>false</trackRevisions>
    </reviewItem>
    <reviewItem>
      <errorID>5f9d9762-46e6-4203-a155-155e5c3ff005</errorID>
      <errorWord>见</errorWord>
      <group>L1_Word</group>
      <groupName>字词问题</groupName>
      <ability>L2_Typo</ability>
      <abilityName>字词错误</abilityName>
      <candidateList>
        <item>见下</item>
      </candidateList>
      <explain/>
      <paraID>10CC7CA5</paraID>
      <start>8</start>
      <end>9</end>
      <status>unmodified</status>
      <modifiedWord/>
      <trackRevisions>false</trackRevisions>
    </reviewItem>
    <reviewItem>
      <errorID>2b25753f-d0a1-4d3d-8943-363eee50deb3</errorID>
      <errorWord>达</errorWord>
      <group>L1_Word</group>
      <groupName>字词问题</groupName>
      <ability>L2_Typo</ability>
      <abilityName>字词错误</abilityName>
      <candidateList>
        <item>达到</item>
      </candidateList>
      <explain>〈动〉到（多指抽象事物或程度）：达得到｜达不到｜目的没有～｜～国际水平。</explain>
      <paraID>790546EA</paraID>
      <start>33</start>
      <end>34</end>
      <status>unmodified</status>
      <modifiedWord/>
      <trackRevisions>false</trackRevisions>
    </reviewItem>
    <reviewItem>
      <errorID>1c6ddae8-209c-4e1a-855b-dc27c33813db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1C44A11</paraID>
      <start>138</start>
      <end>139</end>
      <status>unmodified</status>
      <modifiedWord/>
      <trackRevisions>false</trackRevisions>
    </reviewItem>
    <reviewItem>
      <errorID>bbe5f659-5208-4e38-b524-85733fa2b49e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1C44A11</paraID>
      <start>178</start>
      <end>179</end>
      <status>unmodified</status>
      <modifiedWord/>
      <trackRevisions>false</trackRevisions>
    </reviewItem>
    <reviewItem>
      <errorID>13470ca1-9e26-4738-8321-615ef944da69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7118DD01</paraID>
      <start>0</start>
      <end>2</end>
      <status>unmodified</status>
      <modifiedWord/>
      <trackRevisions>false</trackRevisions>
    </reviewItem>
    <reviewItem>
      <errorID>f2138b4e-bb4e-4b8e-a599-86267e70983a</errorID>
      <errorWord>蒸汽用</errorWord>
      <group>L1_Word</group>
      <groupName>字词问题</groupName>
      <ability>L2_Typo</ability>
      <abilityName>字词错误</abilityName>
      <candidateList>
        <item>蒸汽</item>
      </candidateList>
      <explain/>
      <paraID> BEBDA21</paraID>
      <start>2</start>
      <end>5</end>
      <status>unmodified</status>
      <modifiedWord/>
      <trackRevisions>false</trackRevisions>
    </reviewItem>
    <reviewItem>
      <errorID>fd9126c5-76f5-42ea-a28c-3be52e2d9890</errorID>
      <errorWord>,</errorWord>
      <group>L1_Format</group>
      <groupName>格式问题</groupName>
      <ability>L2_HalfPunc</ability>
      <abilityName>全半角检查</abilityName>
      <candidateList>
        <item>，</item>
      </candidateList>
      <explain>文本全半角错误。</explain>
      <paraID>218E3752</paraID>
      <start>71</start>
      <end>72</end>
      <status>unmodified</status>
      <modifiedWord/>
      <trackRevisions>false</trackRevisions>
    </reviewItem>
    <reviewItem>
      <errorID>4ec7758e-a3d1-4b85-a36e-9f6255bcaf0d</errorID>
      <errorWord>(</errorWord>
      <group>L1_Format</group>
      <groupName>格式问题</groupName>
      <ability>L2_HalfPunc</ability>
      <abilityName>全半角检查</abilityName>
      <candidateList>
        <item>（</item>
      </candidateList>
      <explain>文本全半角错误。</explain>
      <paraID>218E3752</paraID>
      <start>88</start>
      <end>89</end>
      <status>unmodified</status>
      <modifiedWord/>
      <trackRevisions>false</trackRevisions>
    </reviewItem>
    <reviewItem>
      <errorID>2dcf3341-067e-4911-ab33-2e218daf9fc8</errorID>
      <errorWord>)</errorWord>
      <group>L1_Format</group>
      <groupName>格式问题</groupName>
      <ability>L2_HalfPunc</ability>
      <abilityName>全半角检查</abilityName>
      <candidateList>
        <item>）</item>
      </candidateList>
      <explain>文本全半角错误。</explain>
      <paraID>218E3752</paraID>
      <start>95</start>
      <end>96</end>
      <status>unmodified</status>
      <modifiedWord/>
      <trackRevisions>false</trackRevisions>
    </reviewItem>
    <reviewItem>
      <errorID>dab918c1-05fa-489b-b29e-d593d8f15a0e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23920C45</paraID>
      <start>0</start>
      <end>2</end>
      <status>unmodified</status>
      <modifiedWord/>
      <trackRevisions>false</trackRevisions>
    </reviewItem>
    <reviewItem>
      <errorID>bf54de2e-5e5a-4a8a-9e4f-2b13fe95f22d</errorID>
      <errorWord>~</errorWord>
      <group>L1_Format</group>
      <groupName>格式问题</groupName>
      <ability>L2_HalfPunc</ability>
      <abilityName>全半角检查</abilityName>
      <candidateList>
        <item>～</item>
      </candidateList>
      <explain>文本全半角错误。</explain>
      <paraID>17A88D2F</paraID>
      <start>262</start>
      <end>263</end>
      <status>unmodified</status>
      <modifiedWord/>
      <trackRevisions>false</trackRevisions>
    </reviewItem>
    <reviewItem>
      <errorID>57be6d14-8ab0-4b24-b9b3-fa24e804b431</errorID>
      <errorWord>~</errorWord>
      <group>L1_Format</group>
      <groupName>格式问题</groupName>
      <ability>L2_HalfPunc</ability>
      <abilityName>全半角检查</abilityName>
      <candidateList>
        <item>～</item>
      </candidateList>
      <explain>文本全半角错误。</explain>
      <paraID>4275D97A</paraID>
      <start>67</start>
      <end>68</end>
      <status>unmodified</status>
      <modifiedWord/>
      <trackRevisions>false</trackRevisions>
    </reviewItem>
    <reviewItem>
      <errorID>f461905c-5fe7-4fe6-8413-59a4d79c242e</errorID>
      <errorWord>气候变坏</errorWord>
      <group>L1_Word</group>
      <groupName>字词问题</groupName>
      <ability>L2_Typo</ability>
      <abilityName>字词错误</abilityName>
      <candidateList>
        <item>气候变化</item>
      </candidateList>
      <explain>存在发音相近字词的误用。</explain>
      <paraID>4275D97A</paraID>
      <start>122</start>
      <end>126</end>
      <status>unmodified</status>
      <modifiedWord/>
      <trackRevisions>false</trackRevisions>
    </reviewItem>
    <reviewItem>
      <errorID>89057b14-87bf-440f-80f0-0065bb5b6852</errorID>
      <errorWord>(</errorWord>
      <group>L1_Format</group>
      <groupName>格式问题</groupName>
      <ability>L2_HalfPunc</ability>
      <abilityName>全半角检查</abilityName>
      <candidateList>
        <item>（</item>
      </candidateList>
      <explain>文本全半角错误。</explain>
      <paraID>6D53B102</paraID>
      <start>2</start>
      <end>3</end>
      <status>unmodified</status>
      <modifiedWord/>
      <trackRevisions>false</trackRevisions>
    </reviewItem>
    <reviewItem>
      <errorID>1c6447dd-9e60-44fd-8de0-5723ebc4ddad</errorID>
      <errorWord>)</errorWord>
      <group>L1_Format</group>
      <groupName>格式问题</groupName>
      <ability>L2_HalfPunc</ability>
      <abilityName>全半角检查</abilityName>
      <candidateList>
        <item>）</item>
      </candidateList>
      <explain>文本全半角错误。</explain>
      <paraID>6D53B102</paraID>
      <start>6</start>
      <end>7</end>
      <status>unmodified</status>
      <modifiedWord/>
      <trackRevisions>false</trackRevisions>
    </reviewItem>
    <reviewItem>
      <errorID>2ad702ba-5d7e-48a8-a953-a3057ef5ffb6</errorID>
      <errorWord>(</errorWord>
      <group>L1_Format</group>
      <groupName>格式问题</groupName>
      <ability>L2_HalfPunc</ability>
      <abilityName>全半角检查</abilityName>
      <candidateList>
        <item>（</item>
      </candidateList>
      <explain>文本全半角错误。</explain>
      <paraID>39DF3D67</paraID>
      <start>4</start>
      <end>5</end>
      <status>unmodified</status>
      <modifiedWord/>
      <trackRevisions>false</trackRevisions>
    </reviewItem>
    <reviewItem>
      <errorID>4fe4238c-699a-4ca0-8245-9eadf157b418</errorID>
      <errorWord>)</errorWord>
      <group>L1_Format</group>
      <groupName>格式问题</groupName>
      <ability>L2_HalfPunc</ability>
      <abilityName>全半角检查</abilityName>
      <candidateList>
        <item>）</item>
      </candidateList>
      <explain>文本全半角错误。</explain>
      <paraID>39DF3D67</paraID>
      <start>9</start>
      <end>10</end>
      <status>unmodified</status>
      <modifiedWord/>
      <trackRevisions>false</trackRevisions>
    </reviewItem>
    <reviewItem>
      <errorID>c989dfbe-f34f-4a9b-8824-26c4b2f5d0ea</errorID>
      <errorWord>(</errorWord>
      <group>L1_Format</group>
      <groupName>格式问题</groupName>
      <ability>L2_HalfPunc</ability>
      <abilityName>全半角检查</abilityName>
      <candidateList>
        <item>（</item>
      </candidateList>
      <explain>文本全半角错误。</explain>
      <paraID>5C4EA37E</paraID>
      <start>5</start>
      <end>6</end>
      <status>unmodified</status>
      <modifiedWord/>
      <trackRevisions>false</trackRevisions>
    </reviewItem>
    <reviewItem>
      <errorID>308c507b-c6c5-48b2-8249-d3b1b155a6ab</errorID>
      <errorWord>)</errorWord>
      <group>L1_Format</group>
      <groupName>格式问题</groupName>
      <ability>L2_HalfPunc</ability>
      <abilityName>全半角检查</abilityName>
      <candidateList>
        <item>）</item>
      </candidateList>
      <explain>文本全半角错误。</explain>
      <paraID>5C4EA37E</paraID>
      <start>10</start>
      <end>11</end>
      <status>unmodified</status>
      <modifiedWord/>
      <trackRevisions>false</trackRevisions>
    </reviewItem>
    <reviewItem>
      <errorID>0c1700b4-cc94-4492-bb87-772fc10522ef</errorID>
      <errorWord>(</errorWord>
      <group>L1_Format</group>
      <groupName>格式问题</groupName>
      <ability>L2_HalfPunc</ability>
      <abilityName>全半角检查</abilityName>
      <candidateList>
        <item>（</item>
      </candidateList>
      <explain>文本全半角错误。</explain>
      <paraID>6BD2B7C9</paraID>
      <start>4</start>
      <end>5</end>
      <status>unmodified</status>
      <modifiedWord/>
      <trackRevisions>false</trackRevisions>
    </reviewItem>
    <reviewItem>
      <errorID>010cf213-818b-434b-9cff-4dd9fafe690b</errorID>
      <errorWord>)</errorWord>
      <group>L1_Format</group>
      <groupName>格式问题</groupName>
      <ability>L2_HalfPunc</ability>
      <abilityName>全半角检查</abilityName>
      <candidateList>
        <item>）</item>
      </candidateList>
      <explain>文本全半角错误。</explain>
      <paraID>6BD2B7C9</paraID>
      <start>8</start>
      <end>9</end>
      <status>unmodified</status>
      <modifiedWord/>
      <trackRevisions>false</trackRevisions>
    </reviewItem>
    <reviewItem>
      <errorID>40320b89-d9c2-4d74-af79-2fdebfa92cc9</errorID>
      <errorWord>(</errorWord>
      <group>L1_Format</group>
      <groupName>格式问题</groupName>
      <ability>L2_HalfPunc</ability>
      <abilityName>全半角检查</abilityName>
      <candidateList>
        <item>（</item>
      </candidateList>
      <explain>文本全半角错误。</explain>
      <paraID> A3A3D3C</paraID>
      <start>6</start>
      <end>7</end>
      <status>unmodified</status>
      <modifiedWord/>
      <trackRevisions>false</trackRevisions>
    </reviewItem>
    <reviewItem>
      <errorID>63ae02ad-d720-45be-9870-7304743daeee</errorID>
      <errorWord>)</errorWord>
      <group>L1_Format</group>
      <groupName>格式问题</groupName>
      <ability>L2_HalfPunc</ability>
      <abilityName>全半角检查</abilityName>
      <candidateList>
        <item>）</item>
      </candidateList>
      <explain>文本全半角错误。</explain>
      <paraID> A3A3D3C</paraID>
      <start>11</start>
      <end>12</end>
      <status>unmodified</status>
      <modifiedWord/>
      <trackRevisions>false</trackRevisions>
    </reviewItem>
    <reviewItem>
      <errorID>e723fd44-12c1-4a43-9107-9fbd10d694e0</errorID>
      <errorWord>(</errorWord>
      <group>L1_Format</group>
      <groupName>格式问题</groupName>
      <ability>L2_HalfPunc</ability>
      <abilityName>全半角检查</abilityName>
      <candidateList>
        <item>（</item>
      </candidateList>
      <explain>文本全半角错误。</explain>
      <paraID>68ACCDB4</paraID>
      <start>5</start>
      <end>6</end>
      <status>unmodified</status>
      <modifiedWord/>
      <trackRevisions>false</trackRevisions>
    </reviewItem>
    <reviewItem>
      <errorID>b5f554f5-3e3d-425f-a2f3-9dc4c632773a</errorID>
      <errorWord>)</errorWord>
      <group>L1_Format</group>
      <groupName>格式问题</groupName>
      <ability>L2_HalfPunc</ability>
      <abilityName>全半角检查</abilityName>
      <candidateList>
        <item>）</item>
      </candidateList>
      <explain>文本全半角错误。</explain>
      <paraID>68ACCDB4</paraID>
      <start>9</start>
      <end>10</end>
      <status>unmodified</status>
      <modifiedWord/>
      <trackRevisions>false</trackRevisions>
    </reviewItem>
    <reviewItem>
      <errorID>105a186b-525c-448d-92bb-c6582775b892</errorID>
      <errorWord>(</errorWord>
      <group>L1_Format</group>
      <groupName>格式问题</groupName>
      <ability>L2_HalfPunc</ability>
      <abilityName>全半角检查</abilityName>
      <candidateList>
        <item>（</item>
      </candidateList>
      <explain>文本全半角错误。</explain>
      <paraID>294881F9</paraID>
      <start>4</start>
      <end>5</end>
      <status>unmodified</status>
      <modifiedWord/>
      <trackRevisions>false</trackRevisions>
    </reviewItem>
    <reviewItem>
      <errorID>277ffb1a-3de5-4b9c-93e7-a4e7bffa8735</errorID>
      <errorWord>)</errorWord>
      <group>L1_Format</group>
      <groupName>格式问题</groupName>
      <ability>L2_HalfPunc</ability>
      <abilityName>全半角检查</abilityName>
      <candidateList>
        <item>）</item>
      </candidateList>
      <explain>文本全半角错误。</explain>
      <paraID>294881F9</paraID>
      <start>8</start>
      <end>9</end>
      <status>unmodified</status>
      <modifiedWord/>
      <trackRevisions>false</trackRevisions>
    </reviewItem>
    <reviewItem>
      <errorID>742a5239-5529-4f67-83d6-d033c1c63908</errorID>
      <errorWord>(</errorWord>
      <group>L1_Format</group>
      <groupName>格式问题</groupName>
      <ability>L2_HalfPunc</ability>
      <abilityName>全半角检查</abilityName>
      <candidateList>
        <item>（</item>
      </candidateList>
      <explain>文本全半角错误。</explain>
      <paraID>544E0C84</paraID>
      <start>6</start>
      <end>7</end>
      <status>unmodified</status>
      <modifiedWord/>
      <trackRevisions>false</trackRevisions>
    </reviewItem>
    <reviewItem>
      <errorID>f7c851b7-c448-4306-a16a-4ae0489d6228</errorID>
      <errorWord>)</errorWord>
      <group>L1_Format</group>
      <groupName>格式问题</groupName>
      <ability>L2_HalfPunc</ability>
      <abilityName>全半角检查</abilityName>
      <candidateList>
        <item>）</item>
      </candidateList>
      <explain>文本全半角错误。</explain>
      <paraID>544E0C84</paraID>
      <start>12</start>
      <end>13</end>
      <status>unmodified</status>
      <modifiedWord/>
      <trackRevisions>false</trackRevisions>
    </reviewItem>
    <reviewItem>
      <errorID>e62770f3-43b9-4493-b919-95b06bdfe71c</errorID>
      <errorWord>(</errorWord>
      <group>L1_Format</group>
      <groupName>格式问题</groupName>
      <ability>L2_HalfPunc</ability>
      <abilityName>全半角检查</abilityName>
      <candidateList>
        <item>（</item>
      </candidateList>
      <explain>文本全半角错误。</explain>
      <paraID>302EBB1A</paraID>
      <start>4</start>
      <end>5</end>
      <status>unmodified</status>
      <modifiedWord/>
      <trackRevisions>false</trackRevisions>
    </reviewItem>
    <reviewItem>
      <errorID>34f6a94c-e094-4b93-8bec-460880b4aefb</errorID>
      <errorWord>)</errorWord>
      <group>L1_Format</group>
      <groupName>格式问题</groupName>
      <ability>L2_HalfPunc</ability>
      <abilityName>全半角检查</abilityName>
      <candidateList>
        <item>）</item>
      </candidateList>
      <explain>文本全半角错误。</explain>
      <paraID>302EBB1A</paraID>
      <start>10</start>
      <end>11</end>
      <status>unmodified</status>
      <modifiedWord/>
      <trackRevisions>false</trackRevisions>
    </reviewItem>
    <reviewItem>
      <errorID>19935bf9-59cf-4307-bb2f-4ad94369434a</errorID>
      <errorWord>(</errorWord>
      <group>L1_Format</group>
      <groupName>格式问题</groupName>
      <ability>L2_HalfPunc</ability>
      <abilityName>全半角检查</abilityName>
      <candidateList>
        <item>（</item>
      </candidateList>
      <explain>文本全半角错误。</explain>
      <paraID>19B8BFC3</paraID>
      <start>10</start>
      <end>11</end>
      <status>unmodified</status>
      <modifiedWord/>
      <trackRevisions>false</trackRevisions>
    </reviewItem>
    <reviewItem>
      <errorID>58e3f4d0-a9f0-4933-864a-d2085baf3195</errorID>
      <errorWord>)</errorWord>
      <group>L1_Format</group>
      <groupName>格式问题</groupName>
      <ability>L2_HalfPunc</ability>
      <abilityName>全半角检查</abilityName>
      <candidateList>
        <item>）</item>
      </candidateList>
      <explain>文本全半角错误。</explain>
      <paraID>19B8BFC3</paraID>
      <start>25</start>
      <end>26</end>
      <status>unmodified</status>
      <modifiedWord/>
      <trackRevisions>false</trackRevisions>
    </reviewItem>
    <reviewItem>
      <errorID>18a6524e-957c-4fc2-93c5-704ef6cddbc5</errorID>
      <errorWord>(</errorWord>
      <group>L1_Format</group>
      <groupName>格式问题</groupName>
      <ability>L2_HalfPunc</ability>
      <abilityName>全半角检查</abilityName>
      <candidateList>
        <item>（</item>
      </candidateList>
      <explain>文本全半角错误。</explain>
      <paraID>7DA067F0</paraID>
      <start>10</start>
      <end>11</end>
      <status>unmodified</status>
      <modifiedWord/>
      <trackRevisions>false</trackRevisions>
    </reviewItem>
    <reviewItem>
      <errorID>075fffa9-ec6e-482e-a2ee-1ad4b0114c44</errorID>
      <errorWord>)</errorWord>
      <group>L1_Format</group>
      <groupName>格式问题</groupName>
      <ability>L2_HalfPunc</ability>
      <abilityName>全半角检查</abilityName>
      <candidateList>
        <item>）</item>
      </candidateList>
      <explain>文本全半角错误。</explain>
      <paraID>7DA067F0</paraID>
      <start>26</start>
      <end>27</end>
      <status>unmodified</status>
      <modifiedWord/>
      <trackRevisions>false</trackRevisions>
    </reviewItem>
    <reviewItem>
      <errorID>d5d25725-e652-4b6e-9a6c-442d39fc07ba</errorID>
      <errorWord>(</errorWord>
      <group>L1_Format</group>
      <groupName>格式问题</groupName>
      <ability>L2_HalfPunc</ability>
      <abilityName>全半角检查</abilityName>
      <candidateList>
        <item>（</item>
      </candidateList>
      <explain>文本全半角错误。</explain>
      <paraID>3E7B01EC</paraID>
      <start>4</start>
      <end>5</end>
      <status>unmodified</status>
      <modifiedWord/>
      <trackRevisions>false</trackRevisions>
    </reviewItem>
    <reviewItem>
      <errorID>7d8b24a7-0933-453e-ab00-941bebd29e8f</errorID>
      <errorWord>)</errorWord>
      <group>L1_Format</group>
      <groupName>格式问题</groupName>
      <ability>L2_HalfPunc</ability>
      <abilityName>全半角检查</abilityName>
      <candidateList>
        <item>）</item>
      </candidateList>
      <explain>文本全半角错误。</explain>
      <paraID>3E7B01EC</paraID>
      <start>10</start>
      <end>11</end>
      <status>unmodified</status>
      <modifiedWord/>
      <trackRevisions>false</trackRevisions>
    </reviewItem>
    <reviewItem>
      <errorID>9dea8cb5-c16a-4f8a-b804-e48028576ee8</errorID>
      <errorWord>）</errorWord>
      <group>L1_Format</group>
      <groupName>格式问题</groupName>
      <ability>L2_HalfPunc</ability>
      <abilityName>全半角检查</abilityName>
      <candidateList>
        <item>)</item>
      </candidateList>
      <explain>文本全半角错误。</explain>
      <paraID>26EEFE2B</paraID>
      <start>28</start>
      <end>29</end>
      <status>unmodified</status>
      <modifiedWord/>
      <trackRevisions>false</trackRevisions>
    </reviewItem>
    <reviewItem>
      <errorID>bdc0c2c7-e524-4a25-bd19-9f887fc28fb4</errorID>
      <errorWord>燃料燃料</errorWord>
      <group>L1_Word</group>
      <groupName>字词问题</groupName>
      <ability>L2_Typo</ability>
      <abilityName>字词错误</abilityName>
      <candidateList>
        <item>燃料</item>
      </candidateList>
      <explain/>
      <paraID>22524A44</paraID>
      <start>48</start>
      <end>52</end>
      <status>unmodified</status>
      <modifiedWord/>
      <trackRevisions>false</trackRevisions>
    </reviewItem>
    <reviewItem>
      <errorID>be4491e7-3389-4962-8a54-577fdce53163</errorID>
      <errorWord>，；</errorWord>
      <group>L1_Punc</group>
      <groupName>标点问题</groupName>
      <ability>L2_Punc</ability>
      <abilityName>标点符号检查</abilityName>
      <candidateList>
        <item>，</item>
      </candidateList>
      <explain/>
      <paraID>1C01663A</paraID>
      <start>9</start>
      <end>11</end>
      <status>unmodified</status>
      <modifiedWord/>
      <trackRevisions>false</trackRevisions>
    </reviewItem>
    <reviewItem>
      <errorID>81237978-8f54-4fec-86b8-ff6775c2b132</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2E72E1FC</paraID>
      <start>1</start>
      <end>2</end>
      <status>unmodified</status>
      <modifiedWord/>
      <trackRevisions>false</trackRevisions>
    </reviewItem>
    <reviewItem>
      <errorID>b4829117-5608-40f1-b8aa-7f748b820aba</errorID>
      <errorWord>,</errorWord>
      <group>L1_Format</group>
      <groupName>格式问题</groupName>
      <ability>L2_HalfPunc</ability>
      <abilityName>全半角检查</abilityName>
      <candidateList>
        <item>，</item>
      </candidateList>
      <explain>文本全半角错误。</explain>
      <paraID> DE9EC0C</paraID>
      <start>79</start>
      <end>80</end>
      <status>unmodified</status>
      <modifiedWord/>
      <trackRevisions>false</trackRevisions>
    </reviewItem>
    <reviewItem>
      <errorID>8368ee7e-a216-4b22-a40f-e1d697d46132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4F37737C</paraID>
      <start>0</start>
      <end>2</end>
      <status>unmodified</status>
      <modifiedWord/>
      <trackRevisions>false</trackRevisions>
    </reviewItem>
    <reviewItem>
      <errorID>1b8ec642-c3f7-4492-89e2-d204456d30c8</errorID>
      <errorWord>见</errorWord>
      <group>L1_Word</group>
      <groupName>字词问题</groupName>
      <ability>L2_Typo</ability>
      <abilityName>字词错误</abilityName>
      <candidateList>
        <item>见下</item>
      </candidateList>
      <explain/>
      <paraID>3C8E8875</paraID>
      <start>10</start>
      <end>11</end>
      <status>unmodified</status>
      <modifiedWord/>
      <trackRevisions>false</trackRevisions>
    </reviewItem>
    <reviewItem>
      <errorID>91520934-c23c-4906-bb1e-0146eb7c425c</errorID>
      <errorWord>能为</errorWord>
      <group>L1_Word</group>
      <groupName>字词问题</groupName>
      <ability>L2_Typo</ability>
      <abilityName>字词错误</abilityName>
      <candidateList>
        <item>能力</item>
      </candidateList>
      <explain>〈名〉能胜任某项任务的主观条件：～强｜他经验丰富，有～担当这项工作。</explain>
      <paraID>2EB9CDDE</paraID>
      <start>6</start>
      <end>8</end>
      <status>unmodified</status>
      <modifiedWord/>
      <trackRevisions>false</trackRevisions>
    </reviewItem>
    <reviewItem>
      <errorID>22bb3fee-492f-4c1e-8189-30c3edf09c04</errorID>
      <errorWord>位</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 1D88D4C</paraID>
      <start>101</start>
      <end>102</end>
      <status>unmodified</status>
      <modifiedWord/>
      <trackRevisions>false</trackRevisions>
    </reviewItem>
    <reviewItem>
      <errorID>b82f85e2-f05e-441d-ad50-ba93c3c17bb3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7E5C9068</paraID>
      <start>0</start>
      <end>2</end>
      <status>unmodified</status>
      <modifiedWord/>
      <trackRevisions>false</trackRevisions>
    </reviewItem>
    <reviewItem>
      <errorID>df67273d-1343-4071-a172-72295cd313a7</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3C12F4F7</paraID>
      <start>34</start>
      <end>37</end>
      <status>unmodified</status>
      <modifiedWord/>
      <trackRevisions>false</trackRevisions>
    </reviewItem>
    <reviewItem>
      <errorID>1058626b-43a2-45e0-a38a-6a05c94e38bc</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5F1FF826</paraID>
      <start>0</start>
      <end>2</end>
      <status>unmodified</status>
      <modifiedWord/>
      <trackRevisions>false</trackRevisions>
    </reviewItem>
    <reviewItem>
      <errorID>d2f709a4-6f61-4e6f-94d2-ec2ad46f03b1</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1867E8F7</paraID>
      <start>11</start>
      <end>14</end>
      <status>unmodified</status>
      <modifiedWord/>
      <trackRevisions>false</trackRevisions>
    </reviewItem>
    <reviewItem>
      <errorID>28fd185d-8c0c-4468-a0d2-c2ada28d862b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12A76D9C</paraID>
      <start>0</start>
      <end>2</end>
      <status>unmodified</status>
      <modifiedWord/>
      <trackRevisions>false</trackRevisions>
    </reviewItem>
    <reviewItem>
      <errorID>1411e0ae-e131-4806-86e4-d38171442189</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16EC8CC7</paraID>
      <start>0</start>
      <end>3</end>
      <status>unmodified</status>
      <modifiedWord/>
      <trackRevisions>false</trackRevisions>
    </reviewItem>
    <reviewItem>
      <errorID>8f7556f1-6411-4351-b36f-6028be756089</errorID>
      <errorWord>见</errorWord>
      <group>L1_Word</group>
      <groupName>字词问题</groupName>
      <ability>L2_Typo</ability>
      <abilityName>字词错误</abilityName>
      <candidateList>
        <item>见下</item>
      </candidateList>
      <explain/>
      <paraID>2AAE3C9A</paraID>
      <start>38</start>
      <end>39</end>
      <status>unmodified</status>
      <modifiedWord/>
      <trackRevisions>false</trackRevisions>
    </reviewItem>
    <reviewItem>
      <errorID>9054aaea-8d12-4bf3-b62a-9ab6352b5903</errorID>
      <errorWord>，</errorWord>
      <group>L1_Word</group>
      <groupName>字词问题</groupName>
      <ability>L2_Typo</ability>
      <abilityName>字词错误</abilityName>
      <candidateList>
        <item>，对</item>
      </candidateList>
      <explain/>
      <paraID>59BC8199</paraID>
      <start>22</start>
      <end>23</end>
      <status>unmodified</status>
      <modifiedWord/>
      <trackRevisions>false</trackRevisions>
    </reviewItem>
    <reviewItem>
      <errorID>ca6e9a81-9829-493c-b0f9-a837575e7ff6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59BC8199</paraID>
      <start>100</start>
      <end>101</end>
      <status>unmodified</status>
      <modifiedWord/>
      <trackRevisions>false</trackRevisions>
    </reviewItem>
    <reviewItem>
      <errorID>4afedec4-0e86-419a-ae80-895925624a86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59BC8199</paraID>
      <start>140</start>
      <end>141</end>
      <status>unmodified</status>
      <modifiedWord/>
      <trackRevisions>false</trackRevisions>
    </reviewItem>
    <reviewItem>
      <errorID>cf721798-b14f-4a27-b5d3-ba68e59d5a15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59BC8199</paraID>
      <start>224</start>
      <end>225</end>
      <status>unmodified</status>
      <modifiedWord/>
      <trackRevisions>false</trackRevisions>
    </reviewItem>
    <reviewItem>
      <errorID>683fe71e-1a1e-49f7-b562-733869831bb2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74FE5CFA</paraID>
      <start>110</start>
      <end>111</end>
      <status>unmodified</status>
      <modifiedWord/>
      <trackRevisions>false</trackRevisions>
    </reviewItem>
    <reviewItem>
      <errorID>2440acff-f903-4ee5-b9e7-3b1868f5a304</errorID>
      <errorWord>施工期</errorWord>
      <group>L1_Word</group>
      <groupName>字词问题</groupName>
      <ability>L2_Typo</ability>
      <abilityName>字词错误</abilityName>
      <candidateList>
        <item>施工</item>
      </candidateList>
      <explain>〈动〉按照设计的规格和要求建筑房屋、桥梁、道路、水利工程等。</explain>
      <paraID> E8CC36D</paraID>
      <start>43</start>
      <end>46</end>
      <status>unmodified</status>
      <modifiedWord/>
      <trackRevisions>false</trackRevisions>
    </reviewItem>
    <reviewItem>
      <errorID>42be72aa-d48c-4428-9fcd-1cb4422cae50</errorID>
      <errorWord>见</errorWord>
      <group>L1_Word</group>
      <groupName>字词问题</groupName>
      <ability>L2_Typo</ability>
      <abilityName>字词错误</abilityName>
      <candidateList>
        <item>见下</item>
      </candidateList>
      <explain/>
      <paraID>694A68A9</paraID>
      <start>12</start>
      <end>13</end>
      <status>unmodified</status>
      <modifiedWord/>
      <trackRevisions>false</trackRevisions>
    </reviewItem>
    <reviewItem>
      <errorID>34e7f9ca-4ff1-4094-b296-6157f9ce9296</errorID>
      <errorWord>继续做</errorWord>
      <group>L1_Word</group>
      <groupName>字词问题</groupName>
      <ability>L2_Typo</ability>
      <abilityName>字词错误</abilityName>
      <candidateList>
        <item>继续作</item>
      </candidateList>
      <explain/>
      <paraID>41F650D0</paraID>
      <start>230</start>
      <end>233</end>
      <status>unmodified</status>
      <modifiedWord/>
      <trackRevisions>false</trackRevisions>
    </reviewItem>
    <reviewItem>
      <errorID>395e395f-5fc7-4856-8376-abedfe8b1d03</errorID>
      <errorWord>离子在</errorWord>
      <group>L1_Word</group>
      <groupName>字词问题</groupName>
      <ability>L2_Typo</ability>
      <abilityName>字词错误</abilityName>
      <candidateList>
        <item>离子</item>
      </candidateList>
      <explain/>
      <paraID>59B3923B</paraID>
      <start>52</start>
      <end>55</end>
      <status>unmodified</status>
      <modifiedWord/>
      <trackRevisions>false</trackRevisions>
    </reviewItem>
    <reviewItem>
      <errorID>9a58c68b-636b-4f0e-9cb5-d15f0c050464</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773FE2DE</paraID>
      <start>0</start>
      <end>3</end>
      <status>unmodified</status>
      <modifiedWord/>
      <trackRevisions>false</trackRevisions>
    </reviewItem>
    <reviewItem>
      <errorID>9a75b0b2-cda1-4647-9228-1176ab9ca28c</errorID>
      <errorWord>2013年01月18日</errorWord>
      <group>L1_Knowledge</group>
      <groupName>知识性问题</groupName>
      <ability>L2_Time</ability>
      <abilityName>日期时间</abilityName>
      <candidateList>
        <item>2013年1月18日</item>
      </candidateList>
      <explain>根据日常书写习惯，月份一般会省略前导零。</explain>
      <paraID>773FE2DE</paraID>
      <start>16</start>
      <end>27</end>
      <status>unmodified</status>
      <modifiedWord/>
      <trackRevisions>false</trackRevisions>
    </reviewItem>
    <reviewItem>
      <errorID>bb4dc019-a066-427b-ba85-8eadb2a11546</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773FE2DE</paraID>
      <start>30</start>
      <end>33</end>
      <status>unmodified</status>
      <modifiedWord/>
      <trackRevisions>false</trackRevisions>
    </reviewItem>
    <reviewItem>
      <errorID>fbe71324-b244-4909-b54c-b3e9a86318ca</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70B6005A</paraID>
      <start>24</start>
      <end>27</end>
      <status>unmodified</status>
      <modifiedWord/>
      <trackRevisions>false</trackRevisions>
    </reviewItem>
    <reviewItem>
      <errorID>9b34a74a-720b-4167-bcdd-147bc3b4b27e</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70B6005A</paraID>
      <start>86</start>
      <end>89</end>
      <status>unmodified</status>
      <modifiedWord/>
      <trackRevisions>false</trackRevisions>
    </reviewItem>
    <reviewItem>
      <errorID>1e93dd35-5b17-41cc-8de4-b9d96f69a788</errorID>
      <errorWord>-</errorWord>
      <group>L1_Format</group>
      <groupName>格式问题</groupName>
      <ability>L2_HalfPunc</ability>
      <abilityName>全半角检查</abilityName>
      <candidateList>
        <item>－</item>
      </candidateList>
      <explain>文本全半角错误。</explain>
      <paraID>70B6005A</paraID>
      <start>428</start>
      <end>429</end>
      <status>unmodified</status>
      <modifiedWord/>
      <trackRevisions>false</trackRevisions>
    </reviewItem>
    <reviewItem>
      <errorID>de5a20b0-23f8-4de4-b969-a74c20ad4264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34D181C6</paraID>
      <start>0</start>
      <end>2</end>
      <status>unmodified</status>
      <modifiedWord/>
      <trackRevisions>false</trackRevisions>
    </reviewItem>
    <reviewItem>
      <errorID>b923261c-ef9a-4fab-b04e-0e0c4375b058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7DEEE10F</paraID>
      <start>0</start>
      <end>2</end>
      <status>unmodified</status>
      <modifiedWord/>
      <trackRevisions>false</trackRevisions>
    </reviewItem>
    <reviewItem>
      <errorID>72cc1adc-a214-4e76-8a10-8db2bb73c860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28E564F5</paraID>
      <start>0</start>
      <end>2</end>
      <status>unmodified</status>
      <modifiedWord/>
      <trackRevisions>false</trackRevisions>
    </reviewItem>
    <reviewItem>
      <errorID>5e12cd42-cd0e-49ef-b571-b303d91c6ee8</errorID>
      <errorWord>见</errorWord>
      <group>L1_Word</group>
      <groupName>字词问题</groupName>
      <ability>L2_Typo</ability>
      <abilityName>字词错误</abilityName>
      <candidateList>
        <item>见下</item>
      </candidateList>
      <explain/>
      <paraID>5EDBB427</paraID>
      <start>11</start>
      <end>12</end>
      <status>unmodified</status>
      <modifiedWord/>
      <trackRevisions>false</trackRevisions>
    </reviewItem>
    <reviewItem>
      <errorID>98cb402f-1e5a-49a0-b56e-41c7bcd98b02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5619F913</paraID>
      <start>0</start>
      <end>2</end>
      <status>unmodified</status>
      <modifiedWord/>
      <trackRevisions>false</trackRevisions>
    </reviewItem>
    <reviewItem>
      <errorID>5c63f27b-669d-43d7-bae1-a3ec2bf5a7e6</errorID>
      <errorWord>见</errorWord>
      <group>L1_Word</group>
      <groupName>字词问题</groupName>
      <ability>L2_Typo</ability>
      <abilityName>字词错误</abilityName>
      <candidateList>
        <item>见下</item>
      </candidateList>
      <explain/>
      <paraID>649437FF</paraID>
      <start>14</start>
      <end>15</end>
      <status>unmodified</status>
      <modifiedWord/>
      <trackRevisions>false</trackRevisions>
    </reviewItem>
    <reviewItem>
      <errorID>7fd8bbbd-c408-4b26-be66-2a75ec6ce92e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3C6BED8E</paraID>
      <start>0</start>
      <end>2</end>
      <status>unmodified</status>
      <modifiedWord/>
      <trackRevisions>false</trackRevisions>
    </reviewItem>
    <reviewItem>
      <errorID>29752e3d-b7dc-48ca-a9ab-36f4014bf924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2169758C</paraID>
      <start>0</start>
      <end>2</end>
      <status>unmodified</status>
      <modifiedWord/>
      <trackRevisions>false</trackRevisions>
    </reviewItem>
    <reviewItem>
      <errorID>4e78d3a8-232c-4d5c-b576-d44c25a7eb2d</errorID>
      <errorWord>~</errorWord>
      <group>L1_Format</group>
      <groupName>格式问题</groupName>
      <ability>L2_HalfPunc</ability>
      <abilityName>全半角检查</abilityName>
      <candidateList>
        <item>～</item>
      </candidateList>
      <explain>文本全半角错误。</explain>
      <paraID>1C09C10D</paraID>
      <start>37</start>
      <end>38</end>
      <status>unmodified</status>
      <modifiedWord/>
      <trackRevisions>false</trackRevisions>
    </reviewItem>
    <reviewItem>
      <errorID>0f186171-ffbc-4ae2-a366-8169b94fb0e1</errorID>
      <errorWord>2-4%</errorWord>
      <group>L1_Knowledge</group>
      <groupName>知识性问题</groupName>
      <ability>L2_Knowledge</ability>
      <abilityName>其他知识</abilityName>
      <candidateList>
        <item>2%—4%</item>
      </candidateList>
      <explain>1. “2-4%”中的单位“%”仅出现在后一个数字上，容易引起歧义；根据《现代汉语标点符号数字用法规范手册》，数字表示范围两边需要使用统一的格式。2. 根据标点国标 4.13 中的规则，数字、时间或地域连接符应使用（视觉上更长的）“—”或“～”。</explain>
      <paraID>1C09C10D</paraID>
      <start>86</start>
      <end>90</end>
      <status>unmodified</status>
      <modifiedWord/>
      <trackRevisions>false</trackRevisions>
    </reviewItem>
    <reviewItem>
      <errorID>8ab6c4cd-ffc9-4fc1-9b6b-3c1cd96e5bbc</errorID>
      <errorWord>隔档</errorWord>
      <group>L1_Word</group>
      <groupName>字词问题</groupName>
      <ability>L2_Typo</ability>
      <abilityName>字词错误</abilityName>
      <candidateList>
        <item>隔挡</item>
      </candidateList>
      <explain/>
      <paraID>4AF55B22</paraID>
      <start>20</start>
      <end>22</end>
      <status>unmodified</status>
      <modifiedWord/>
      <trackRevisions>false</trackRevisions>
    </reviewItem>
    <reviewItem>
      <errorID>adebaa5f-241b-489e-8c02-4baa288bfcd6</errorID>
      <errorWord>~</errorWord>
      <group>L1_Format</group>
      <groupName>格式问题</groupName>
      <ability>L2_HalfPunc</ability>
      <abilityName>全半角检查</abilityName>
      <candidateList>
        <item>～</item>
      </candidateList>
      <explain>文本全半角错误。</explain>
      <paraID>7CD7586B</paraID>
      <start>38</start>
      <end>39</end>
      <status>unmodified</status>
      <modifiedWord/>
      <trackRevisions>false</trackRevisions>
    </reviewItem>
    <reviewItem>
      <errorID>ffc27d3a-3504-41ba-a5f4-a4f730e5a08e</errorID>
      <errorWord>管道内经</errorWord>
      <group>L1_Word</group>
      <groupName>字词问题</groupName>
      <ability>L2_Typo</ability>
      <abilityName>字词错误</abilityName>
      <candidateList>
        <item>管道内径</item>
      </candidateList>
      <explain/>
      <paraID>2B99D94B</paraID>
      <start>36</start>
      <end>40</end>
      <status>unmodified</status>
      <modifiedWord/>
      <trackRevisions>false</trackRevisions>
    </reviewItem>
    <reviewItem>
      <errorID>267a283a-2730-44fe-b818-cb2d755a2e93</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41FF8EB1</paraID>
      <start>0</start>
      <end>2</end>
      <status>unmodified</status>
      <modifiedWord/>
      <trackRevisions>false</trackRevisions>
    </reviewItem>
    <reviewItem>
      <errorID>961adef5-ae31-4564-b61e-fa4cd402996d</errorID>
      <errorWord>(</errorWord>
      <group>L1_Format</group>
      <groupName>格式问题</groupName>
      <ability>L2_HalfPunc</ability>
      <abilityName>全半角检查</abilityName>
      <candidateList>
        <item>（</item>
      </candidateList>
      <explain>文本全半角错误。</explain>
      <paraID>5888A918</paraID>
      <start>18</start>
      <end>19</end>
      <status>unmodified</status>
      <modifiedWord/>
      <trackRevisions>false</trackRevisions>
    </reviewItem>
    <reviewItem>
      <errorID>25df4328-4dfb-4dd9-ae4a-e01e966a9896</errorID>
      <errorWord>)</errorWord>
      <group>L1_Format</group>
      <groupName>格式问题</groupName>
      <ability>L2_HalfPunc</ability>
      <abilityName>全半角检查</abilityName>
      <candidateList>
        <item>）</item>
      </candidateList>
      <explain>文本全半角错误。</explain>
      <paraID>5888A918</paraID>
      <start>29</start>
      <end>30</end>
      <status>unmodified</status>
      <modifiedWord/>
      <trackRevisions>false</trackRevisions>
    </reviewItem>
    <reviewItem>
      <errorID>b33da1cb-24d9-4d9c-a1be-8270d3521973</errorID>
      <errorWord>-</errorWord>
      <group>L1_Format</group>
      <groupName>格式问题</groupName>
      <ability>L2_HalfPunc</ability>
      <abilityName>全半角检查</abilityName>
      <candidateList>
        <item>－</item>
      </candidateList>
      <explain>文本全半角错误。</explain>
      <paraID>5ED66951</paraID>
      <start>175</start>
      <end>176</end>
      <status>unmodified</status>
      <modifiedWord/>
      <trackRevisions>false</trackRevisions>
    </reviewItem>
    <reviewItem>
      <errorID>1ffb6803-acc2-46df-bc00-378449e789eb</errorID>
      <errorWord>(</errorWord>
      <group>L1_Format</group>
      <groupName>格式问题</groupName>
      <ability>L2_HalfPunc</ability>
      <abilityName>全半角检查</abilityName>
      <candidateList>
        <item>（</item>
      </candidateList>
      <explain>文本全半角错误。</explain>
      <paraID>3D7AFC47</paraID>
      <start>18</start>
      <end>19</end>
      <status>unmodified</status>
      <modifiedWord/>
      <trackRevisions>false</trackRevisions>
    </reviewItem>
    <reviewItem>
      <errorID>4b762230-8a65-43b8-ac42-9df2d68ac232</errorID>
      <errorWord>)</errorWord>
      <group>L1_Format</group>
      <groupName>格式问题</groupName>
      <ability>L2_HalfPunc</ability>
      <abilityName>全半角检查</abilityName>
      <candidateList>
        <item>）</item>
      </candidateList>
      <explain>文本全半角错误。</explain>
      <paraID>3D7AFC47</paraID>
      <start>29</start>
      <end>30</end>
      <status>unmodified</status>
      <modifiedWord/>
      <trackRevisions>false</trackRevisions>
    </reviewItem>
    <reviewItem>
      <errorID>162e5d42-695c-44b9-bfc8-af5f7f55ea0a</errorID>
      <errorWord>-</errorWord>
      <group>L1_Format</group>
      <groupName>格式问题</groupName>
      <ability>L2_HalfPunc</ability>
      <abilityName>全半角检查</abilityName>
      <candidateList>
        <item>－</item>
      </candidateList>
      <explain>文本全半角错误。</explain>
      <paraID>587AEAA4</paraID>
      <start>166</start>
      <end>167</end>
      <status>unmodified</status>
      <modifiedWord/>
      <trackRevisions>false</trackRevisions>
    </reviewItem>
    <reviewItem>
      <errorID>47ea1743-9af3-4dbe-b0d5-326df74f8612</errorID>
      <errorWord>(</errorWord>
      <group>L1_Format</group>
      <groupName>格式问题</groupName>
      <ability>L2_HalfPunc</ability>
      <abilityName>全半角检查</abilityName>
      <candidateList>
        <item>（</item>
      </candidateList>
      <explain>文本全半角错误。</explain>
      <paraID>693BF45C</paraID>
      <start>18</start>
      <end>19</end>
      <status>unmodified</status>
      <modifiedWord/>
      <trackRevisions>false</trackRevisions>
    </reviewItem>
    <reviewItem>
      <errorID>50ca1d0c-d056-492b-889d-d10bf938441e</errorID>
      <errorWord>)</errorWord>
      <group>L1_Format</group>
      <groupName>格式问题</groupName>
      <ability>L2_HalfPunc</ability>
      <abilityName>全半角检查</abilityName>
      <candidateList>
        <item>）</item>
      </candidateList>
      <explain>文本全半角错误。</explain>
      <paraID>693BF45C</paraID>
      <start>29</start>
      <end>30</end>
      <status>unmodified</status>
      <modifiedWord/>
      <trackRevisions>false</trackRevisions>
    </reviewItem>
    <reviewItem>
      <errorID>4209b977-a31b-403e-adbb-7fdea861ae3f</errorID>
      <errorWord>~</errorWord>
      <group>L1_Format</group>
      <groupName>格式问题</groupName>
      <ability>L2_HalfPunc</ability>
      <abilityName>全半角检查</abilityName>
      <candidateList>
        <item>～</item>
      </candidateList>
      <explain>文本全半角错误。</explain>
      <paraID>741E27BA</paraID>
      <start>77</start>
      <end>78</end>
      <status>unmodified</status>
      <modifiedWord/>
      <trackRevisions>false</trackRevisions>
    </reviewItem>
    <reviewItem>
      <errorID>bb0d6ac1-fbf1-41ea-8617-88d318083486</errorID>
      <errorWord>(</errorWord>
      <group>L1_Format</group>
      <groupName>格式问题</groupName>
      <ability>L2_HalfPunc</ability>
      <abilityName>全半角检查</abilityName>
      <candidateList>
        <item>（</item>
      </candidateList>
      <explain>文本全半角错误。</explain>
      <paraID>66A52F01</paraID>
      <start>18</start>
      <end>19</end>
      <status>unmodified</status>
      <modifiedWord/>
      <trackRevisions>false</trackRevisions>
    </reviewItem>
    <reviewItem>
      <errorID>fbc549e0-1d46-45ef-823e-87c2b3348c29</errorID>
      <errorWord>)</errorWord>
      <group>L1_Format</group>
      <groupName>格式问题</groupName>
      <ability>L2_HalfPunc</ability>
      <abilityName>全半角检查</abilityName>
      <candidateList>
        <item>）</item>
      </candidateList>
      <explain>文本全半角错误。</explain>
      <paraID>66A52F01</paraID>
      <start>29</start>
      <end>30</end>
      <status>unmodified</status>
      <modifiedWord/>
      <trackRevisions>false</trackRevisions>
    </reviewItem>
    <reviewItem>
      <errorID>5211c372-23fc-43a2-ba2b-c5d80497d5aa</errorID>
      <errorWord>料</errorWord>
      <group>L1_Word</group>
      <groupName>字词问题</groupName>
      <ability>L2_Typo</ability>
      <abilityName>字词错误</abilityName>
      <candidateList>
        <item>料消</item>
      </candidateList>
      <explain/>
      <paraID> A3B596B</paraID>
      <start>11</start>
      <end>12</end>
      <status>unmodified</status>
      <modifiedWord/>
      <trackRevisions>false</trackRevisions>
    </reviewItem>
    <reviewItem>
      <errorID>b73056fd-457d-4b39-a9e9-35f531615250</errorID>
      <errorWord>;</errorWord>
      <group>L1_Format</group>
      <groupName>格式问题</groupName>
      <ability>L2_HalfPunc</ability>
      <abilityName>全半角检查</abilityName>
      <candidateList>
        <item>；</item>
      </candidateList>
      <explain>文本全半角错误。</explain>
      <paraID>3E8B991E</paraID>
      <start>163</start>
      <end>164</end>
      <status>unmodified</status>
      <modifiedWord/>
      <trackRevisions>false</trackRevisions>
    </reviewItem>
    <reviewItem>
      <errorID>5a38e498-b356-4645-849a-8065c01c7265</errorID>
      <errorWord>;</errorWord>
      <group>L1_Format</group>
      <groupName>格式问题</groupName>
      <ability>L2_HalfPunc</ability>
      <abilityName>全半角检查</abilityName>
      <candidateList>
        <item>；</item>
      </candidateList>
      <explain>文本全半角错误。</explain>
      <paraID>3E8B991E</paraID>
      <start>167</start>
      <end>168</end>
      <status>unmodified</status>
      <modifiedWord/>
      <trackRevisions>false</trackRevisions>
    </reviewItem>
    <reviewItem>
      <errorID>8eddef7e-64a7-403a-977e-82097c402418</errorID>
      <errorWord>,</errorWord>
      <group>L1_Format</group>
      <groupName>格式问题</groupName>
      <ability>L2_HalfPunc</ability>
      <abilityName>全半角检查</abilityName>
      <candidateList>
        <item>，</item>
      </candidateList>
      <explain>文本全半角错误。</explain>
      <paraID>3E8B991E</paraID>
      <start>171</start>
      <end>172</end>
      <status>unmodified</status>
      <modifiedWord/>
      <trackRevisions>false</trackRevisions>
    </reviewItem>
    <reviewItem>
      <errorID>4a987509-8408-4376-8f1a-9de8ce5eb212</errorID>
      <errorWord>.</errorWord>
      <group>L1_Format</group>
      <groupName>格式问题</groupName>
      <ability>L2_HalfPunc</ability>
      <abilityName>全半角检查</abilityName>
      <candidateList>
        <item>。</item>
      </candidateList>
      <explain>文本全半角错误。</explain>
      <paraID>3E8B991E</paraID>
      <start>178</start>
      <end>179</end>
      <status>unmodified</status>
      <modifiedWord/>
      <trackRevisions>false</trackRevisions>
    </reviewItem>
    <reviewItem>
      <errorID>672fb1fe-7da0-4ea8-9d1c-86d19626ae0d</errorID>
      <errorWord>,</errorWord>
      <group>L1_Format</group>
      <groupName>格式问题</groupName>
      <ability>L2_HalfPunc</ability>
      <abilityName>全半角检查</abilityName>
      <candidateList>
        <item>，</item>
      </candidateList>
      <explain>文本全半角错误。</explain>
      <paraID>3E8B991E</paraID>
      <start>183</start>
      <end>184</end>
      <status>unmodified</status>
      <modifiedWord/>
      <trackRevisions>false</trackRevisions>
    </reviewItem>
    <reviewItem>
      <errorID>8da98f56-a4ba-4ca8-a5ea-6722450839a7</errorID>
      <errorWord>4.0%~6.8%</errorWord>
      <group>L1_Knowledge</group>
      <groupName>知识性问题</groupName>
      <ability>L2_Knowledge</ability>
      <abilityName>其他知识</abilityName>
      <candidateList>
        <item>4.0%～6.8%</item>
      </candidateList>
      <explain>1. “4.0%~6.8%”中的单位“%”仅出现在后一个数字上，容易引起歧义；根据《现代汉语标点符号数字用法规范手册》，数字表示范围两边需要使用统一的格式。2. 根据标点国标 4.13 中的规则，数字、时间或地域连接符应使用（视觉上更长的）“—”或“～”。</explain>
      <paraID>6BF9B796</paraID>
      <start>67</start>
      <end>76</end>
      <status>unmodified</status>
      <modifiedWord/>
      <trackRevisions>false</trackRevisions>
    </reviewItem>
    <reviewItem>
      <errorID>06c138b1-810d-4708-b5d2-07d2bbe21921</errorID>
      <errorWord>于在</errorWord>
      <group>L1_Word</group>
      <groupName>字词问题</groupName>
      <ability>L2_Typo</ability>
      <abilityName>字词错误</abilityName>
      <candidateList>
        <item>放在</item>
      </candidateList>
      <explain/>
      <paraID>2DB74FBD</paraID>
      <start>24</start>
      <end>26</end>
      <status>unmodified</status>
      <modifiedWord/>
      <trackRevisions>false</trackRevisions>
    </reviewItem>
    <reviewItem>
      <errorID>f940106a-8185-4b13-a895-94fa4327b708</errorID>
      <errorWord>热融</errorWord>
      <group>L1_Word</group>
      <groupName>字词问题</groupName>
      <ability>L2_Typo</ability>
      <abilityName>字词错误</abilityName>
      <candidateList>
        <item>热熔</item>
      </candidateList>
      <explain/>
      <paraID>311994D0</paraID>
      <start>35</start>
      <end>37</end>
      <status>unmodified</status>
      <modifiedWord/>
      <trackRevisions>false</trackRevisions>
    </reviewItem>
    <reviewItem>
      <errorID>54267600-20e4-4bbd-903f-092a0210049d</errorID>
      <errorWord>5~8万</errorWord>
      <group>L1_Knowledge</group>
      <groupName>知识性问题</groupName>
      <ability>L2_Knowledge</ability>
      <abilityName>其他知识</abilityName>
      <candidateList>
        <item>5万～8万</item>
      </candidateList>
      <explain>1. “5~8万”中的单位“万”仅出现在后一个数字上，容易引起歧义；根据《现代汉语标点符号数字用法规范手册》，数字表示范围两边需要使用统一的格式。2.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311994D0</paraID>
      <start>100</start>
      <end>104</end>
      <status>unmodified</status>
      <modifiedWord/>
      <trackRevisions>false</trackRevisions>
    </reviewItem>
    <reviewItem>
      <errorID>d0fe0a5e-ae15-4095-9fab-a8454c4b445a</errorID>
      <errorWord>-</errorWord>
      <group>L1_Format</group>
      <groupName>格式问题</groupName>
      <ability>L2_HalfPunc</ability>
      <abilityName>全半角检查</abilityName>
      <candidateList>
        <item>－</item>
      </candidateList>
      <explain>文本全半角错误。</explain>
      <paraID>4DF4E222</paraID>
      <start>140</start>
      <end>141</end>
      <status>unmodified</status>
      <modifiedWord/>
      <trackRevisions>false</trackRevisions>
    </reviewItem>
    <reviewItem>
      <errorID>c7d778b1-6786-491d-bda0-7ce525234cd0</errorID>
      <errorWord>0.01%~0.04%</errorWord>
      <group>L1_Knowledge</group>
      <groupName>知识性问题</groupName>
      <ability>L2_Knowledge</ability>
      <abilityName>其他知识</abilityName>
      <candidateList>
        <item>0.01%～0.04%</item>
      </candidateList>
      <explain>1. “0.01%~0.04%”中的单位“%”仅出现在后一个数字上，容易引起歧义；根据《现代汉语标点符号数字用法规范手册》，数字表示范围两边需要使用统一的格式。2. 根据标点国标 4.13 中的规则，数字、时间或地域连接符应使用（视觉上更长的）“—”或“～”。</explain>
      <paraID>62F249C2</paraID>
      <start>82</start>
      <end>93</end>
      <status>unmodified</status>
      <modifiedWord/>
      <trackRevisions>false</trackRevisions>
    </reviewItem>
    <reviewItem>
      <errorID>7be19cbb-a9ad-4474-9055-5b790cbc4e9d</errorID>
      <errorWord>污</errorWord>
      <group>L1_Word</group>
      <groupName>字词问题</groupName>
      <ability>L2_Typo</ability>
      <abilityName>字词错误</abilityName>
      <candidateList>
        <item>污量</item>
      </candidateList>
      <explain/>
      <paraID>7F4F8EDA</paraID>
      <start>12</start>
      <end>13</end>
      <status>unmodified</status>
      <modifiedWord/>
      <trackRevisions>false</trackRevisions>
    </reviewItem>
    <reviewItem>
      <errorID>fbb3805d-2ab8-43f5-b7fc-49570b1bcea1</errorID>
      <errorWord>-</errorWord>
      <group>L1_Format</group>
      <groupName>格式问题</groupName>
      <ability>L2_HalfPunc</ability>
      <abilityName>全半角检查</abilityName>
      <candidateList>
        <item>－</item>
      </candidateList>
      <explain>文本全半角错误。</explain>
      <paraID>7F4F8EDA</paraID>
      <start>77</start>
      <end>78</end>
      <status>unmodified</status>
      <modifiedWord/>
      <trackRevisions>false</trackRevisions>
    </reviewItem>
    <reviewItem>
      <errorID>f1c77694-9eda-4988-b643-086c450f88c4</errorID>
      <errorWord>-</errorWord>
      <group>L1_Format</group>
      <groupName>格式问题</groupName>
      <ability>L2_HalfPunc</ability>
      <abilityName>全半角检查</abilityName>
      <candidateList>
        <item>－</item>
      </candidateList>
      <explain>文本全半角错误。</explain>
      <paraID>7F4F8EDA</paraID>
      <start>127</start>
      <end>128</end>
      <status>unmodified</status>
      <modifiedWord/>
      <trackRevisions>false</trackRevisions>
    </reviewItem>
    <reviewItem>
      <errorID>f9ef178c-c6be-4d7f-b6ab-a0f574ee6e28</errorID>
      <errorWord>)</errorWord>
      <group>L1_Format</group>
      <groupName>格式问题</groupName>
      <ability>L2_HalfPunc</ability>
      <abilityName>全半角检查</abilityName>
      <candidateList>
        <item>）</item>
      </candidateList>
      <explain>文本全半角错误。</explain>
      <paraID> 6A3A7B2</paraID>
      <start>78</start>
      <end>79</end>
      <status>unmodified</status>
      <modifiedWord/>
      <trackRevisions>false</trackRevisions>
    </reviewItem>
    <reviewItem>
      <errorID>98a0fba9-345e-4256-9fef-49e07e30728c</errorID>
      <errorWord>)</errorWord>
      <group>L1_Format</group>
      <groupName>格式问题</groupName>
      <ability>L2_HalfPunc</ability>
      <abilityName>全半角检查</abilityName>
      <candidateList>
        <item>）</item>
      </candidateList>
      <explain>文本全半角错误。</explain>
      <paraID>2BEEA174</paraID>
      <start>54</start>
      <end>55</end>
      <status>unmodified</status>
      <modifiedWord/>
      <trackRevisions>false</trackRevisions>
    </reviewItem>
    <reviewItem>
      <errorID>3a4a35ab-781d-492a-bb8b-cfc028e6e84c</errorID>
      <errorWord>参照中</errorWord>
      <group>L1_Word</group>
      <groupName>字词问题</groupName>
      <ability>L2_Typo</ability>
      <abilityName>字词错误</abilityName>
      <candidateList>
        <item>参照</item>
      </candidateList>
      <explain/>
      <paraID>494A6990</paraID>
      <start>10</start>
      <end>13</end>
      <status>unmodified</status>
      <modifiedWord/>
      <trackRevisions>false</trackRevisions>
    </reviewItem>
    <reviewItem>
      <errorID>bb3285b4-2b7e-4277-9372-ed03fb28bdad</errorID>
      <errorWord>污</errorWord>
      <group>L1_Word</group>
      <groupName>字词问题</groupName>
      <ability>L2_Typo</ability>
      <abilityName>字词错误</abilityName>
      <candidateList>
        <item>污量</item>
      </candidateList>
      <explain/>
      <paraID>494A6990</paraID>
      <start>24</start>
      <end>25</end>
      <status>unmodified</status>
      <modifiedWord/>
      <trackRevisions>false</trackRevisions>
    </reviewItem>
    <reviewItem>
      <errorID>08d8b014-bfe9-40c2-a3c2-7d7ada6a1606</errorID>
      <errorWord>-</errorWord>
      <group>L1_Format</group>
      <groupName>格式问题</groupName>
      <ability>L2_HalfPunc</ability>
      <abilityName>全半角检查</abilityName>
      <candidateList>
        <item>－</item>
      </candidateList>
      <explain>文本全半角错误。</explain>
      <paraID>494A6990</paraID>
      <start>88</start>
      <end>89</end>
      <status>unmodified</status>
      <modifiedWord/>
      <trackRevisions>false</trackRevisions>
    </reviewItem>
    <reviewItem>
      <errorID>ce06fe68-fcc5-4cb6-93e9-b52011d02a89</errorID>
      <errorWord>参考中</errorWord>
      <group>L1_Word</group>
      <groupName>字词问题</groupName>
      <ability>L2_Typo</ability>
      <abilityName>字词错误</abilityName>
      <candidateList>
        <item>参考</item>
      </candidateList>
      <explain/>
      <paraID>2FB1CC4A</paraID>
      <start>22</start>
      <end>25</end>
      <status>unmodified</status>
      <modifiedWord/>
      <trackRevisions>false</trackRevisions>
    </reviewItem>
    <reviewItem>
      <errorID>c7f9b7ad-0083-43ce-873b-26aea2473e58</errorID>
      <errorWord>污</errorWord>
      <group>L1_Word</group>
      <groupName>字词问题</groupName>
      <ability>L2_Typo</ability>
      <abilityName>字词错误</abilityName>
      <candidateList>
        <item>污量</item>
      </candidateList>
      <explain/>
      <paraID>2FB1CC4A</paraID>
      <start>36</start>
      <end>37</end>
      <status>unmodified</status>
      <modifiedWord/>
      <trackRevisions>false</trackRevisions>
    </reviewItem>
    <reviewItem>
      <errorID>88ebea47-a72e-4d1d-b730-8d07a07d10bd</errorID>
      <errorWord>-</errorWord>
      <group>L1_Format</group>
      <groupName>格式问题</groupName>
      <ability>L2_HalfPunc</ability>
      <abilityName>全半角检查</abilityName>
      <candidateList>
        <item>－</item>
      </candidateList>
      <explain>文本全半角错误。</explain>
      <paraID>2FB1CC4A</paraID>
      <start>100</start>
      <end>101</end>
      <status>unmodified</status>
      <modifiedWord/>
      <trackRevisions>false</trackRevisions>
    </reviewItem>
    <reviewItem>
      <errorID>d6922049-c859-4f60-b408-b52a75c57137</errorID>
      <errorWord>《国家危险废物名录》（2025年本）</errorWord>
      <group>L1_Knowledge</group>
      <groupName>知识性问题</groupName>
      <ability>L2_Knowledge</ability>
      <abilityName>其他知识</abilityName>
      <candidateList>
        <item>《国家危险废物名录（2025年本）》</item>
      </candidateList>
      <explain>疑似政策文件、法律法规名称等书写不规范，请注意检查。</explain>
      <paraID>470C8B45</paraID>
      <start>58</start>
      <end>76</end>
      <status>unmodified</status>
      <modifiedWord/>
      <trackRevisions>false</trackRevisions>
    </reviewItem>
    <reviewItem>
      <errorID>04164984-b48f-4519-96ca-7a8dd78fe1bb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4C992DF1</paraID>
      <start>0</start>
      <end>2</end>
      <status>unmodified</status>
      <modifiedWord/>
      <trackRevisions>false</trackRevisions>
    </reviewItem>
    <reviewItem>
      <errorID>eae67af2-4e6d-4576-aee3-8a6a454b9f07</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28CCA376</paraID>
      <start>0</start>
      <end>3</end>
      <status>unmodified</status>
      <modifiedWord/>
      <trackRevisions>false</trackRevisions>
    </reviewItem>
    <reviewItem>
      <errorID>922ce5f2-936d-48ef-b007-97a8861c2f20</errorID>
      <errorWord>机</errorWord>
      <group>L1_Word</group>
      <groupName>字词问题</groupName>
      <ability>L2_Typo</ability>
      <abilityName>字词错误</abilityName>
      <candidateList>
        <item>及</item>
      </candidateList>
      <explain>存在发音相同字词的误用。</explain>
      <paraID>13682185</paraID>
      <start>13</start>
      <end>14</end>
      <status>unmodified</status>
      <modifiedWord/>
      <trackRevisions>false</trackRevisions>
    </reviewItem>
    <reviewItem>
      <errorID>4d8204c9-184b-4670-9171-a44640ec2113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4FD02A8D</paraID>
      <start>0</start>
      <end>2</end>
      <status>unmodified</status>
      <modifiedWord/>
      <trackRevisions>false</trackRevisions>
    </reviewItem>
    <reviewItem>
      <errorID>600de622-e330-4374-a446-7fdf624cc189</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437D1036</paraID>
      <start>5</start>
      <end>8</end>
      <status>unmodified</status>
      <modifiedWord/>
      <trackRevisions>false</trackRevisions>
    </reviewItem>
    <reviewItem>
      <errorID>e9310124-4f26-4b7a-b6db-793eb4fe251f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437D1036</paraID>
      <start>71</start>
      <end>72</end>
      <status>unmodified</status>
      <modifiedWord/>
      <trackRevisions>false</trackRevisions>
    </reviewItem>
    <reviewItem>
      <errorID>25b2c88e-9683-44a0-9fb4-53de76c1f153</errorID>
      <errorWord>（</errorWord>
      <group>L1_Format</group>
      <groupName>格式问题</groupName>
      <ability>L2_HalfPunc</ability>
      <abilityName>全半角检查</abilityName>
      <candidateList>
        <item>(</item>
      </candidateList>
      <explain>文本全半角错误。</explain>
      <paraID>13E8D8B0</paraID>
      <start>0</start>
      <end>1</end>
      <status>unmodified</status>
      <modifiedWord/>
      <trackRevisions>false</trackRevisions>
    </reviewItem>
    <reviewItem>
      <errorID>fb0deab9-9035-4600-9d94-3cd3fe4a07d9</errorID>
      <errorWord>）</errorWord>
      <group>L1_Format</group>
      <groupName>格式问题</groupName>
      <ability>L2_HalfPunc</ability>
      <abilityName>全半角检查</abilityName>
      <candidateList>
        <item>)</item>
      </candidateList>
      <explain>文本全半角错误。</explain>
      <paraID>13E8D8B0</paraID>
      <start>6</start>
      <end>7</end>
      <status>unmodified</status>
      <modifiedWord/>
      <trackRevisions>false</trackRevisions>
    </reviewItem>
    <reviewItem>
      <errorID>ba1006fa-a3ad-4376-8ed5-103207b56b89</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37926E49</paraID>
      <start>5</start>
      <end>8</end>
      <status>unmodified</status>
      <modifiedWord/>
      <trackRevisions>false</trackRevisions>
    </reviewItem>
    <reviewItem>
      <errorID>2027fe9e-0858-4d22-ba6b-8227c9d425fc</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37926E49</paraID>
      <start>88</start>
      <end>91</end>
      <status>unmodified</status>
      <modifiedWord/>
      <trackRevisions>false</trackRevisions>
    </reviewItem>
    <reviewItem>
      <errorID>1d382c24-a3bc-4363-8335-e91242e69bdf</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 E833372</paraID>
      <start>4</start>
      <end>7</end>
      <status>unmodified</status>
      <modifiedWord/>
      <trackRevisions>false</trackRevisions>
    </reviewItem>
    <reviewItem>
      <errorID>5def3635-0aac-40d2-b018-2ac3f6a70200</errorID>
      <errorWord>~</errorWord>
      <group>L1_Format</group>
      <groupName>格式问题</groupName>
      <ability>L2_HalfPunc</ability>
      <abilityName>全半角检查</abilityName>
      <candidateList>
        <item>～</item>
      </candidateList>
      <explain>文本全半角错误。</explain>
      <paraID> E833372</paraID>
      <start>34</start>
      <end>35</end>
      <status>unmodified</status>
      <modifiedWord/>
      <trackRevisions>false</trackRevisions>
    </reviewItem>
    <reviewItem>
      <errorID>b4087a99-8380-438c-ae95-839a6c072485</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 E833372</paraID>
      <start>49</start>
      <end>52</end>
      <status>unmodified</status>
      <modifiedWord/>
      <trackRevisions>false</trackRevisions>
    </reviewItem>
    <reviewItem>
      <errorID>db3fb53d-c24d-475b-9b70-4856d56c6f7e</errorID>
      <errorWord>5）、</errorWord>
      <group>L1_Punc</group>
      <groupName>标点问题</groupName>
      <ability>L2_Punc</ability>
      <abilityName>标点符号检查</abilityName>
      <candidateList>
        <item>5）</item>
      </candidateList>
      <explain>根据国标GB/T 15834-2011《标点符号用法》中的4.5.3.3节，带括号的汉字数字或阿拉伯数字表次序时，后面通常不加顿号。如“（一）指导思想”“（二）行动指南”。</explain>
      <paraID> E833372</paraID>
      <start>73</start>
      <end>76</end>
      <status>unmodified</status>
      <modifiedWord/>
      <trackRevisions>false</trackRevisions>
    </reviewItem>
    <reviewItem>
      <errorID>10d7cde4-5beb-4090-b6c0-0169b69150f7</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 E833372</paraID>
      <start>131</start>
      <end>134</end>
      <status>unmodified</status>
      <modifiedWord/>
      <trackRevisions>false</trackRevisions>
    </reviewItem>
    <reviewItem>
      <errorID>09a4daa3-6d82-4241-a9c8-fe0244fcd2da</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 30988E0</paraID>
      <start>5</start>
      <end>8</end>
      <status>unmodified</status>
      <modifiedWord/>
      <trackRevisions>false</trackRevisions>
    </reviewItem>
    <reviewItem>
      <errorID>9aa7f424-d2e6-4fea-96a7-f933e32d4cb1</errorID>
      <errorWord>（</errorWord>
      <group>L1_Format</group>
      <groupName>格式问题</groupName>
      <ability>L2_HalfPunc</ability>
      <abilityName>全半角检查</abilityName>
      <candidateList>
        <item>(</item>
      </candidateList>
      <explain>文本全半角错误。</explain>
      <paraID> 3312090</paraID>
      <start>0</start>
      <end>1</end>
      <status>unmodified</status>
      <modifiedWord/>
      <trackRevisions>false</trackRevisions>
    </reviewItem>
    <reviewItem>
      <errorID>c9e6a107-2374-402d-9e2c-779bb7259b64</errorID>
      <errorWord>）</errorWord>
      <group>L1_Format</group>
      <groupName>格式问题</groupName>
      <ability>L2_HalfPunc</ability>
      <abilityName>全半角检查</abilityName>
      <candidateList>
        <item>)</item>
      </candidateList>
      <explain>文本全半角错误。</explain>
      <paraID> 3312090</paraID>
      <start>6</start>
      <end>7</end>
      <status>unmodified</status>
      <modifiedWord/>
      <trackRevisions>false</trackRevisions>
    </reviewItem>
    <reviewItem>
      <errorID>44b73743-2e02-46b4-bbcd-58c0b10bb821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6D86B482</paraID>
      <start>0</start>
      <end>2</end>
      <status>unmodified</status>
      <modifiedWord/>
      <trackRevisions>false</trackRevisions>
    </reviewItem>
    <reviewItem>
      <errorID>f765236e-3aae-4f44-ad02-3a24b162e61d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34CC0AF7</paraID>
      <start>190</start>
      <end>191</end>
      <status>unmodified</status>
      <modifiedWord/>
      <trackRevisions>false</trackRevisions>
    </reviewItem>
    <reviewItem>
      <errorID>5ee26af5-34bc-4eeb-b131-9e54f093341e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69EF811</paraID>
      <start>179</start>
      <end>180</end>
      <status>unmodified</status>
      <modifiedWord/>
      <trackRevisions>false</trackRevisions>
    </reviewItem>
    <reviewItem>
      <errorID>dbe35e1d-3a85-44fd-b76a-4e18f32a0c51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7CA50189</paraID>
      <start>0</start>
      <end>2</end>
      <status>unmodified</status>
      <modifiedWord/>
      <trackRevisions>false</trackRevisions>
    </reviewItem>
    <reviewItem>
      <errorID>a3256ce3-2caf-4521-9ed7-aa8df7fb9c4f</errorID>
      <errorWord>(</errorWord>
      <group>L1_Format</group>
      <groupName>格式问题</groupName>
      <ability>L2_HalfPunc</ability>
      <abilityName>全半角检查</abilityName>
      <candidateList>
        <item>（</item>
      </candidateList>
      <explain>文本全半角错误。</explain>
      <paraID>59DC4FEE</paraID>
      <start>64</start>
      <end>65</end>
      <status>unmodified</status>
      <modifiedWord/>
      <trackRevisions>false</trackRevisions>
    </reviewItem>
    <reviewItem>
      <errorID>6a114833-fb6d-410a-a184-160f48032aaf</errorID>
      <errorWord>)</errorWord>
      <group>L1_Format</group>
      <groupName>格式问题</groupName>
      <ability>L2_HalfPunc</ability>
      <abilityName>全半角检查</abilityName>
      <candidateList>
        <item>）</item>
      </candidateList>
      <explain>文本全半角错误。</explain>
      <paraID>59DC4FEE</paraID>
      <start>76</start>
      <end>77</end>
      <status>unmodified</status>
      <modifiedWord/>
      <trackRevisions>false</trackRevisions>
    </reviewItem>
    <reviewItem>
      <errorID>0e8cfab4-c03d-47f4-a589-7fa79f1f37a1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34E5C50</paraID>
      <start>0</start>
      <end>2</end>
      <status>unmodified</status>
      <modifiedWord/>
      <trackRevisions>false</trackRevisions>
    </reviewItem>
    <reviewItem>
      <errorID>084fd433-08ba-4c0d-b6b7-2536930a43e4</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1C562F95</paraID>
      <start>5</start>
      <end>8</end>
      <status>unmodified</status>
      <modifiedWord/>
      <trackRevisions>false</trackRevisions>
    </reviewItem>
    <reviewItem>
      <errorID>cb9dcf8a-43fe-4c81-a0f1-527627f538f0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1C562F95</paraID>
      <start>71</start>
      <end>72</end>
      <status>unmodified</status>
      <modifiedWord/>
      <trackRevisions>false</trackRevisions>
    </reviewItem>
    <reviewItem>
      <errorID>09eab4fe-7fb3-42ca-a5e0-11fca13c7dd8</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1B7AE157</paraID>
      <start>6</start>
      <end>9</end>
      <status>unmodified</status>
      <modifiedWord/>
      <trackRevisions>false</trackRevisions>
    </reviewItem>
    <reviewItem>
      <errorID>6f6585ab-f7a5-46c7-a91f-390a483549c2</errorID>
      <errorWord>工况企业</errorWord>
      <group>L1_Word</group>
      <groupName>字词问题</groupName>
      <ability>L2_Typo</ability>
      <abilityName>字词错误</abilityName>
      <candidateList>
        <item>工矿企业</item>
      </candidateList>
      <explain/>
      <paraID>1B7AE157</paraID>
      <start>30</start>
      <end>34</end>
      <status>unmodified</status>
      <modifiedWord/>
      <trackRevisions>false</trackRevisions>
    </reviewItem>
    <reviewItem>
      <errorID>dd625c1c-d045-45c7-a3f8-204bb0c5c9e1</errorID>
      <errorWord>(</errorWord>
      <group>L1_Format</group>
      <groupName>格式问题</groupName>
      <ability>L2_HalfPunc</ability>
      <abilityName>全半角检查</abilityName>
      <candidateList>
        <item>（</item>
      </candidateList>
      <explain>文本全半角错误。</explain>
      <paraID>220264E6</paraID>
      <start>120</start>
      <end>121</end>
      <status>unmodified</status>
      <modifiedWord/>
      <trackRevisions>false</trackRevisions>
    </reviewItem>
    <reviewItem>
      <errorID>e2c6391a-9726-455c-b65c-1ae5859baf11</errorID>
      <errorWord>)</errorWord>
      <group>L1_Format</group>
      <groupName>格式问题</groupName>
      <ability>L2_HalfPunc</ability>
      <abilityName>全半角检查</abilityName>
      <candidateList>
        <item>）</item>
      </candidateList>
      <explain>文本全半角错误。</explain>
      <paraID>220264E6</paraID>
      <start>124</start>
      <end>125</end>
      <status>unmodified</status>
      <modifiedWord/>
      <trackRevisions>false</trackRevisions>
    </reviewItem>
    <reviewItem>
      <errorID>ea7284db-4234-47c7-abb2-4bb89191434b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2A6791B</paraID>
      <start>0</start>
      <end>2</end>
      <status>unmodified</status>
      <modifiedWord/>
      <trackRevisions>false</trackRevisions>
    </reviewItem>
    <reviewItem>
      <errorID>b67324aa-213e-40ea-8e6f-f0cc4f8d2bf6</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 2A91E6C</paraID>
      <start>5</start>
      <end>8</end>
      <status>unmodified</status>
      <modifiedWord/>
      <trackRevisions>false</trackRevisions>
    </reviewItem>
    <reviewItem>
      <errorID>0d3824f7-b2b5-4260-a44d-ccf9e98d5da5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6CA69716</paraID>
      <start>0</start>
      <end>2</end>
      <status>unmodified</status>
      <modifiedWord/>
      <trackRevisions>false</trackRevisions>
    </reviewItem>
    <reviewItem>
      <errorID>82eac741-0b90-41f3-981d-4ecdf1609fac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4D1EBB3E</paraID>
      <start>0</start>
      <end>2</end>
      <status>unmodified</status>
      <modifiedWord/>
      <trackRevisions>false</trackRevisions>
    </reviewItem>
    <reviewItem>
      <errorID>040c07b6-c7b3-4c55-8f83-f10d651fc18b</errorID>
      <errorWord>：</errorWord>
      <group>L1_Format</group>
      <groupName>格式问题</groupName>
      <ability>L2_HalfPunc</ability>
      <abilityName>全半角检查</abilityName>
      <candidateList>
        <item>:</item>
      </candidateList>
      <explain>文本全半角错误。</explain>
      <paraID>34C20575</paraID>
      <start>1</start>
      <end>2</end>
      <status>unmodified</status>
      <modifiedWord/>
      <trackRevisions>false</trackRevisions>
    </reviewItem>
    <reviewItem>
      <errorID>d67e40db-8f8f-4c43-b35c-32ed709996b6</errorID>
      <errorWord>，</errorWord>
      <group>L1_Format</group>
      <groupName>格式问题</groupName>
      <ability>L2_HalfPunc</ability>
      <abilityName>全半角检查</abilityName>
      <candidateList>
        <item>,</item>
      </candidateList>
      <explain>文本全半角错误。</explain>
      <paraID>34C20575</paraID>
      <start>16</start>
      <end>17</end>
      <status>unmodified</status>
      <modifiedWord/>
      <trackRevisions>false</trackRevisions>
    </reviewItem>
    <reviewItem>
      <errorID>8eb8ec4e-0b83-46d6-b963-536fd0222300</errorID>
      <errorWord>：</errorWord>
      <group>L1_Format</group>
      <groupName>格式问题</groupName>
      <ability>L2_HalfPunc</ability>
      <abilityName>全半角检查</abilityName>
      <candidateList>
        <item>:</item>
      </candidateList>
      <explain>文本全半角错误。</explain>
      <paraID>45E7A6BE</paraID>
      <start>1</start>
      <end>2</end>
      <status>unmodified</status>
      <modifiedWord/>
      <trackRevisions>false</trackRevisions>
    </reviewItem>
    <reviewItem>
      <errorID>d621b3b2-fcd5-43f9-817c-e8a64c359fea</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4F8377C1</paraID>
      <start>0</start>
      <end>3</end>
      <status>unmodified</status>
      <modifiedWord/>
      <trackRevisions>false</trackRevisions>
    </reviewItem>
    <reviewItem>
      <errorID>520d54c1-df30-44a5-8422-3f7cc484a69d</errorID>
      <errorWord>：</errorWord>
      <group>L1_Format</group>
      <groupName>格式问题</groupName>
      <ability>L2_HalfPunc</ability>
      <abilityName>全半角检查</abilityName>
      <candidateList>
        <item>:</item>
      </candidateList>
      <explain>文本全半角错误。</explain>
      <paraID>31790117</paraID>
      <start>1</start>
      <end>2</end>
      <status>unmodified</status>
      <modifiedWord/>
      <trackRevisions>false</trackRevisions>
    </reviewItem>
    <reviewItem>
      <errorID>0abb9572-a044-4f37-9185-e545ad4ebe5f</errorID>
      <errorWord>，</errorWord>
      <group>L1_Format</group>
      <groupName>格式问题</groupName>
      <ability>L2_HalfPunc</ability>
      <abilityName>全半角检查</abilityName>
      <candidateList>
        <item>,</item>
      </candidateList>
      <explain>文本全半角错误。</explain>
      <paraID>31790117</paraID>
      <start>16</start>
      <end>17</end>
      <status>unmodified</status>
      <modifiedWord/>
      <trackRevisions>false</trackRevisions>
    </reviewItem>
    <reviewItem>
      <errorID>81585959-b8c5-42fa-9a55-0742442beb18</errorID>
      <errorWord>：</errorWord>
      <group>L1_Format</group>
      <groupName>格式问题</groupName>
      <ability>L2_HalfPunc</ability>
      <abilityName>全半角检查</abilityName>
      <candidateList>
        <item>:</item>
      </candidateList>
      <explain>文本全半角错误。</explain>
      <paraID>5E20CE15</paraID>
      <start>1</start>
      <end>2</end>
      <status>unmodified</status>
      <modifiedWord/>
      <trackRevisions>false</trackRevisions>
    </reviewItem>
    <reviewItem>
      <errorID>83b06c5a-92c6-4aee-bb1a-986fc570f604</errorID>
      <errorWord>：</errorWord>
      <group>L1_Format</group>
      <groupName>格式问题</groupName>
      <ability>L2_HalfPunc</ability>
      <abilityName>全半角检查</abilityName>
      <candidateList>
        <item>:</item>
      </candidateList>
      <explain>文本全半角错误。</explain>
      <paraID>3FA97FBC</paraID>
      <start>1</start>
      <end>2</end>
      <status>unmodified</status>
      <modifiedWord/>
      <trackRevisions>false</trackRevisions>
    </reviewItem>
    <reviewItem>
      <errorID>b41e1f99-568e-4b97-875f-b98acb326a26</errorID>
      <errorWord>，</errorWord>
      <group>L1_Format</group>
      <groupName>格式问题</groupName>
      <ability>L2_HalfPunc</ability>
      <abilityName>全半角检查</abilityName>
      <candidateList>
        <item>,</item>
      </candidateList>
      <explain>文本全半角错误。</explain>
      <paraID>3FA97FBC</paraID>
      <start>16</start>
      <end>17</end>
      <status>unmodified</status>
      <modifiedWord/>
      <trackRevisions>false</trackRevisions>
    </reviewItem>
    <reviewItem>
      <errorID>f5805d67-d505-4d71-a5c2-f7576b00d5ae</errorID>
      <errorWord>：</errorWord>
      <group>L1_Format</group>
      <groupName>格式问题</groupName>
      <ability>L2_HalfPunc</ability>
      <abilityName>全半角检查</abilityName>
      <candidateList>
        <item>:</item>
      </candidateList>
      <explain>文本全半角错误。</explain>
      <paraID> C49C076</paraID>
      <start>1</start>
      <end>2</end>
      <status>unmodified</status>
      <modifiedWord/>
      <trackRevisions>false</trackRevisions>
    </reviewItem>
    <reviewItem>
      <errorID>df4ad8f6-4d0a-49b1-b590-2cafb30d4c59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52A1F1E1</paraID>
      <start>0</start>
      <end>2</end>
      <status>unmodified</status>
      <modifiedWord/>
      <trackRevisions>false</trackRevisions>
    </reviewItem>
    <reviewItem>
      <errorID>2fd35d6b-fee8-4d0b-9330-da72208af36c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7549FD57</paraID>
      <start>0</start>
      <end>2</end>
      <status>unmodified</status>
      <modifiedWord/>
      <trackRevisions>false</trackRevisions>
    </reviewItem>
    <reviewItem>
      <errorID>09574de5-1641-4f8c-ab3f-36fba6e839c4</errorID>
      <errorWord>：</errorWord>
      <group>L1_Format</group>
      <groupName>格式问题</groupName>
      <ability>L2_HalfPunc</ability>
      <abilityName>全半角检查</abilityName>
      <candidateList>
        <item>:</item>
      </candidateList>
      <explain>文本全半角错误。</explain>
      <paraID>256FA665</paraID>
      <start>1</start>
      <end>2</end>
      <status>unmodified</status>
      <modifiedWord/>
      <trackRevisions>false</trackRevisions>
    </reviewItem>
    <reviewItem>
      <errorID>34dc71a4-ad06-48e9-bad6-0d48faae4dc6</errorID>
      <errorWord>，</errorWord>
      <group>L1_Format</group>
      <groupName>格式问题</groupName>
      <ability>L2_HalfPunc</ability>
      <abilityName>全半角检查</abilityName>
      <candidateList>
        <item>,</item>
      </candidateList>
      <explain>文本全半角错误。</explain>
      <paraID>256FA665</paraID>
      <start>16</start>
      <end>17</end>
      <status>unmodified</status>
      <modifiedWord/>
      <trackRevisions>false</trackRevisions>
    </reviewItem>
    <reviewItem>
      <errorID>95a140ec-771a-4f98-b07f-c6184321fbd3</errorID>
      <errorWord>：</errorWord>
      <group>L1_Format</group>
      <groupName>格式问题</groupName>
      <ability>L2_HalfPunc</ability>
      <abilityName>全半角检查</abilityName>
      <candidateList>
        <item>:</item>
      </candidateList>
      <explain>文本全半角错误。</explain>
      <paraID>10FCC12F</paraID>
      <start>1</start>
      <end>2</end>
      <status>unmodified</status>
      <modifiedWord/>
      <trackRevisions>false</trackRevisions>
    </reviewItem>
    <reviewItem>
      <errorID>e0abba49-e710-405e-83cd-7cc21a461761</errorID>
      <errorWord>：</errorWord>
      <group>L1_Format</group>
      <groupName>格式问题</groupName>
      <ability>L2_HalfPunc</ability>
      <abilityName>全半角检查</abilityName>
      <candidateList>
        <item>:</item>
      </candidateList>
      <explain>文本全半角错误。</explain>
      <paraID> 4BA1222</paraID>
      <start>1</start>
      <end>2</end>
      <status>unmodified</status>
      <modifiedWord/>
      <trackRevisions>false</trackRevisions>
    </reviewItem>
    <reviewItem>
      <errorID>d61cbf80-d020-44b0-aff5-8e60a4261cbb</errorID>
      <errorWord>，</errorWord>
      <group>L1_Format</group>
      <groupName>格式问题</groupName>
      <ability>L2_HalfPunc</ability>
      <abilityName>全半角检查</abilityName>
      <candidateList>
        <item>,</item>
      </candidateList>
      <explain>文本全半角错误。</explain>
      <paraID> 4BA1222</paraID>
      <start>16</start>
      <end>17</end>
      <status>unmodified</status>
      <modifiedWord/>
      <trackRevisions>false</trackRevisions>
    </reviewItem>
    <reviewItem>
      <errorID>9c19c6f3-0a89-4a05-9d10-6e8b7a801e6f</errorID>
      <errorWord>：</errorWord>
      <group>L1_Format</group>
      <groupName>格式问题</groupName>
      <ability>L2_HalfPunc</ability>
      <abilityName>全半角检查</abilityName>
      <candidateList>
        <item>:</item>
      </candidateList>
      <explain>文本全半角错误。</explain>
      <paraID>1A7B2A49</paraID>
      <start>1</start>
      <end>2</end>
      <status>unmodified</status>
      <modifiedWord/>
      <trackRevisions>false</trackRevisions>
    </reviewItem>
    <reviewItem>
      <errorID>31118665-b926-4f58-a34a-30c1c5f5c820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2B51978E</paraID>
      <start>0</start>
      <end>2</end>
      <status>unmodified</status>
      <modifiedWord/>
      <trackRevisions>false</trackRevisions>
    </reviewItem>
    <reviewItem>
      <errorID>ee9849dd-98c5-4afb-bb24-981a63661ff5</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281E583B</paraID>
      <start>5</start>
      <end>8</end>
      <status>unmodified</status>
      <modifiedWord/>
      <trackRevisions>false</trackRevisions>
    </reviewItem>
    <reviewItem>
      <errorID>50b681d9-3300-4094-9eb2-9f9086e83bdc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64022744</paraID>
      <start>0</start>
      <end>2</end>
      <status>unmodified</status>
      <modifiedWord/>
      <trackRevisions>false</trackRevisions>
    </reviewItem>
    <reviewItem>
      <errorID>4f344816-9a49-4cd3-a4c0-6473a39c9840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39A139AF</paraID>
      <start>0</start>
      <end>2</end>
      <status>unmodified</status>
      <modifiedWord/>
      <trackRevisions>false</trackRevisions>
    </reviewItem>
    <reviewItem>
      <errorID>e8e7d365-dd1d-4a40-a85e-c721a262269d</errorID>
      <errorWord>＜</errorWord>
      <group>L1_Format</group>
      <groupName>格式问题</groupName>
      <ability>L2_HalfPunc</ability>
      <abilityName>全半角检查</abilityName>
      <candidateList>
        <item>&lt;</item>
      </candidateList>
      <explain>文本全半角错误。</explain>
      <paraID>6601E496</paraID>
      <start>2</start>
      <end>3</end>
      <status>unmodified</status>
      <modifiedWord/>
      <trackRevisions>false</trackRevisions>
    </reviewItem>
    <reviewItem>
      <errorID>cf78b056-1625-4a03-9bb5-d1e32c6ece81</errorID>
      <errorWord>＜</errorWord>
      <group>L1_Format</group>
      <groupName>格式问题</groupName>
      <ability>L2_HalfPunc</ability>
      <abilityName>全半角检查</abilityName>
      <candidateList>
        <item>&lt;</item>
      </candidateList>
      <explain>文本全半角错误。</explain>
      <paraID>3F723E01</paraID>
      <start>2</start>
      <end>3</end>
      <status>unmodified</status>
      <modifiedWord/>
      <trackRevisions>false</trackRevisions>
    </reviewItem>
    <reviewItem>
      <errorID>e1c1a7eb-3947-4659-af12-3f696c3d9324</errorID>
      <errorWord>＜</errorWord>
      <group>L1_Format</group>
      <groupName>格式问题</groupName>
      <ability>L2_HalfPunc</ability>
      <abilityName>全半角检查</abilityName>
      <candidateList>
        <item>&lt;</item>
      </candidateList>
      <explain>文本全半角错误。</explain>
      <paraID>63AD37DD</paraID>
      <start>2</start>
      <end>3</end>
      <status>unmodified</status>
      <modifiedWord/>
      <trackRevisions>false</trackRevisions>
    </reviewItem>
    <reviewItem>
      <errorID>3866766f-7890-4fc2-bf68-fe26f75e7525</errorID>
      <errorWord>＜</errorWord>
      <group>L1_Format</group>
      <groupName>格式问题</groupName>
      <ability>L2_HalfPunc</ability>
      <abilityName>全半角检查</abilityName>
      <candidateList>
        <item>&lt;</item>
      </candidateList>
      <explain>文本全半角错误。</explain>
      <paraID>74DBBA9B</paraID>
      <start>3</start>
      <end>4</end>
      <status>unmodified</status>
      <modifiedWord/>
      <trackRevisions>false</trackRevisions>
    </reviewItem>
    <reviewItem>
      <errorID>6b275c4f-7767-472b-997b-72372af00491</errorID>
      <errorWord>~</errorWord>
      <group>L1_Format</group>
      <groupName>格式问题</groupName>
      <ability>L2_HalfPunc</ability>
      <abilityName>全半角检查</abilityName>
      <candidateList>
        <item>～</item>
      </candidateList>
      <explain>文本全半角错误。</explain>
      <paraID>4DCD377B</paraID>
      <start>47</start>
      <end>48</end>
      <status>unmodified</status>
      <modifiedWord/>
      <trackRevisions>false</trackRevisions>
    </reviewItem>
    <reviewItem>
      <errorID>65a5ff37-5484-49ef-ae6b-b3983de7d371</errorID>
      <errorWord>工况企业</errorWord>
      <group>L1_Word</group>
      <groupName>字词问题</groupName>
      <ability>L2_Typo</ability>
      <abilityName>字词错误</abilityName>
      <candidateList>
        <item>工矿企业</item>
      </candidateList>
      <explain/>
      <paraID>4DCD377B</paraID>
      <start>62</start>
      <end>66</end>
      <status>unmodified</status>
      <modifiedWord/>
      <trackRevisions>false</trackRevisions>
    </reviewItem>
    <reviewItem>
      <errorID>6d1207b8-05fe-4179-aae1-0649e08c78d8</errorID>
      <errorWord>~</errorWord>
      <group>L1_Format</group>
      <groupName>格式问题</groupName>
      <ability>L2_HalfPunc</ability>
      <abilityName>全半角检查</abilityName>
      <candidateList>
        <item>～</item>
      </candidateList>
      <explain>文本全半角错误。</explain>
      <paraID>4DCD377B</paraID>
      <start>80</start>
      <end>81</end>
      <status>unmodified</status>
      <modifiedWord/>
      <trackRevisions>false</trackRevisions>
    </reviewItem>
    <reviewItem>
      <errorID>72327bf7-c865-48c5-b893-adc4890337f1</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4DCD377B</paraID>
      <start>93</start>
      <end>96</end>
      <status>unmodified</status>
      <modifiedWord/>
      <trackRevisions>false</trackRevisions>
    </reviewItem>
    <reviewItem>
      <errorID>8c5a938d-a869-47da-8bc3-8732e970aeab</errorID>
      <errorWord>（</errorWord>
      <group>L1_Format</group>
      <groupName>格式问题</groupName>
      <ability>L2_HalfPunc</ability>
      <abilityName>全半角检查</abilityName>
      <candidateList>
        <item>(</item>
      </candidateList>
      <explain>文本全半角错误。</explain>
      <paraID>7067F536</paraID>
      <start>0</start>
      <end>1</end>
      <status>unmodified</status>
      <modifiedWord/>
      <trackRevisions>false</trackRevisions>
    </reviewItem>
    <reviewItem>
      <errorID>5e742279-ce33-48c0-bdc8-3d43a80e3a19</errorID>
      <errorWord>）</errorWord>
      <group>L1_Format</group>
      <groupName>格式问题</groupName>
      <ability>L2_HalfPunc</ability>
      <abilityName>全半角检查</abilityName>
      <candidateList>
        <item>)</item>
      </candidateList>
      <explain>文本全半角错误。</explain>
      <paraID>7067F536</paraID>
      <start>5</start>
      <end>6</end>
      <status>unmodified</status>
      <modifiedWord/>
      <trackRevisions>false</trackRevisions>
    </reviewItem>
    <reviewItem>
      <errorID>281db5c3-094b-4aba-80dd-ecd0eeaf0cb9</errorID>
      <errorWord>，＜</errorWord>
      <group>L1_Format</group>
      <groupName>格式问题</groupName>
      <ability>L2_HalfPunc</ability>
      <abilityName>全半角检查</abilityName>
      <candidateList>
        <item>,&lt;</item>
      </candidateList>
      <explain>文本全半角错误。</explain>
      <paraID>59DB703B</paraID>
      <start>3</start>
      <end>5</end>
      <status>unmodified</status>
      <modifiedWord/>
      <trackRevisions>false</trackRevisions>
    </reviewItem>
    <reviewItem>
      <errorID>e29db7a7-d8ee-4f5c-8373-8b30ffe437d5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5BAD813E</paraID>
      <start>0</start>
      <end>2</end>
      <status>unmodified</status>
      <modifiedWord/>
      <trackRevisions>false</trackRevisions>
    </reviewItem>
    <reviewItem>
      <errorID>7b79df33-8356-4652-92e5-8472e1941aeb</errorID>
      <errorWord>达</errorWord>
      <group>L1_Word</group>
      <groupName>字词问题</groupName>
      <ability>L2_Typo</ability>
      <abilityName>字词错误</abilityName>
      <candidateList>
        <item>达到</item>
      </candidateList>
      <explain>〈动〉到（多指抽象事物或程度）：达得到｜达不到｜目的没有～｜～国际水平。</explain>
      <paraID>6391683F</paraID>
      <start>52</start>
      <end>53</end>
      <status>unmodified</status>
      <modifiedWord/>
      <trackRevisions>false</trackRevisions>
    </reviewItem>
    <reviewItem>
      <errorID>4edb7c3d-e634-4207-91e0-c8560adf862e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134C79C9</paraID>
      <start>0</start>
      <end>2</end>
      <status>unmodified</status>
      <modifiedWord/>
      <trackRevisions>false</trackRevisions>
    </reviewItem>
    <reviewItem>
      <errorID>61d51eff-e31d-4a24-9cea-f04e57b7d101</errorID>
      <errorWord>见</errorWord>
      <group>L1_Word</group>
      <groupName>字词问题</groupName>
      <ability>L2_Typo</ability>
      <abilityName>字词错误</abilityName>
      <candidateList>
        <item>见下</item>
      </candidateList>
      <explain/>
      <paraID>6DF7D9F0</paraID>
      <start>248</start>
      <end>249</end>
      <status>unmodified</status>
      <modifiedWord/>
      <trackRevisions>false</trackRevisions>
    </reviewItem>
    <reviewItem>
      <errorID>777a4d6e-71d1-4f3e-9e99-9f372a651e5e</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438454F6</paraID>
      <start>5</start>
      <end>8</end>
      <status>unmodified</status>
      <modifiedWord/>
      <trackRevisions>false</trackRevisions>
    </reviewItem>
    <reviewItem>
      <errorID>7e256c25-d6b5-4ef2-b284-d6c8c360d699</errorID>
      <errorWord>见</errorWord>
      <group>L1_Word</group>
      <groupName>字词问题</groupName>
      <ability>L2_Typo</ability>
      <abilityName>字词错误</abilityName>
      <candidateList>
        <item>见下</item>
      </candidateList>
      <explain/>
      <paraID>438454F6</paraID>
      <start>109</start>
      <end>110</end>
      <status>unmodified</status>
      <modifiedWord/>
      <trackRevisions>false</trackRevisions>
    </reviewItem>
    <reviewItem>
      <errorID>9775fd36-612e-43b5-a34d-0c806d0218ce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1B60C4DE</paraID>
      <start>0</start>
      <end>2</end>
      <status>unmodified</status>
      <modifiedWord/>
      <trackRevisions>false</trackRevisions>
    </reviewItem>
    <reviewItem>
      <errorID>454bce69-e610-4d79-976f-38f5c9a10b4f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3F404968</paraID>
      <start>0</start>
      <end>2</end>
      <status>unmodified</status>
      <modifiedWord/>
      <trackRevisions>false</trackRevisions>
    </reviewItem>
    <reviewItem>
      <errorID>2b741a86-eb64-41de-bd25-44bc5176a078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62F4CFAB</paraID>
      <start>0</start>
      <end>2</end>
      <status>unmodified</status>
      <modifiedWord/>
      <trackRevisions>false</trackRevisions>
    </reviewItem>
    <reviewItem>
      <errorID>e876a469-9a47-491e-96f6-07e2e1df3320</errorID>
      <errorWord>达</errorWord>
      <group>L1_Word</group>
      <groupName>字词问题</groupName>
      <ability>L2_Typo</ability>
      <abilityName>字词错误</abilityName>
      <candidateList>
        <item>达到</item>
      </candidateList>
      <explain>〈动〉到（多指抽象事物或程度）：达得到｜达不到｜目的没有～｜～国际水平。</explain>
      <paraID>6F54E1A0</paraID>
      <start>54</start>
      <end>55</end>
      <status>unmodified</status>
      <modifiedWord/>
      <trackRevisions>false</trackRevisions>
    </reviewItem>
    <reviewItem>
      <errorID>7f836d01-33fa-406e-928e-ce36548c1908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42CF6547</paraID>
      <start>0</start>
      <end>2</end>
      <status>unmodified</status>
      <modifiedWord/>
      <trackRevisions>false</trackRevisions>
    </reviewItem>
    <reviewItem>
      <errorID>01f7eeb0-5062-49e3-a1f7-c303d5f775d9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2383DE7E</paraID>
      <start>0</start>
      <end>2</end>
      <status>unmodified</status>
      <modifiedWord/>
      <trackRevisions>false</trackRevisions>
    </reviewItem>
    <reviewItem>
      <errorID>5eaa86d2-7891-4dc8-9718-d545b033b50b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10FF0C6B</paraID>
      <start>0</start>
      <end>2</end>
      <status>unmodified</status>
      <modifiedWord/>
      <trackRevisions>false</trackRevisions>
    </reviewItem>
    <reviewItem>
      <errorID>cb80fbab-2756-43b3-a66f-b2e7dd08bffc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1C12F21D</paraID>
      <start>0</start>
      <end>2</end>
      <status>unmodified</status>
      <modifiedWord/>
      <trackRevisions>false</trackRevisions>
    </reviewItem>
    <reviewItem>
      <errorID>57e436e7-7429-44fc-802e-969da755f61e</errorID>
      <errorWord>减震措施</errorWord>
      <group>L1_Knowledge</group>
      <groupName>知识性问题</groupName>
      <ability>L2_Term</ability>
      <abilityName>专业术语</abilityName>
      <candidateList>
        <item>减振措施</item>
      </candidateList>
      <explain/>
      <paraID>528EDB68</paraID>
      <start>50</start>
      <end>54</end>
      <status>unmodified</status>
      <modifiedWord/>
      <trackRevisions>false</trackRevisions>
    </reviewItem>
    <reviewItem>
      <errorID>06934207-fb9e-4f3b-ad02-da7c098ea557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33E122D4</paraID>
      <start>0</start>
      <end>2</end>
      <status>unmodified</status>
      <modifiedWord/>
      <trackRevisions>false</trackRevisions>
    </reviewItem>
    <reviewItem>
      <errorID>93cfa2b1-69c7-490c-b7c6-a0b85ce2c8fa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672B3BCF</paraID>
      <start>0</start>
      <end>2</end>
      <status>unmodified</status>
      <modifiedWord/>
      <trackRevisions>false</trackRevisions>
    </reviewItem>
    <reviewItem>
      <errorID>90a27428-8b27-4e1c-96f7-f46218ec6207</errorID>
      <errorWord>；</errorWord>
      <group>L1_Format</group>
      <groupName>格式问题</groupName>
      <ability>L2_HalfPunc</ability>
      <abilityName>全半角检查</abilityName>
      <candidateList>
        <item>; </item>
      </candidateList>
      <explain>文本全半角错误。</explain>
      <paraID>10A1BE5E</paraID>
      <start>22</start>
      <end>23</end>
      <status>unmodified</status>
      <modifiedWord/>
      <trackRevisions>false</trackRevisions>
    </reviewItem>
    <reviewItem>
      <errorID>e798316d-1776-4042-86b0-099ef7fc27db</errorID>
      <errorWord>；</errorWord>
      <group>L1_Format</group>
      <groupName>格式问题</groupName>
      <ability>L2_HalfPunc</ability>
      <abilityName>全半角检查</abilityName>
      <candidateList>
        <item>; </item>
      </candidateList>
      <explain>文本全半角错误。</explain>
      <paraID>7165ABED</paraID>
      <start>22</start>
      <end>23</end>
      <status>unmodified</status>
      <modifiedWord/>
      <trackRevisions>false</trackRevisions>
    </reviewItem>
    <reviewItem>
      <errorID>ffba2710-c781-4b3d-866a-64e30e8f7b15</errorID>
      <errorWord>(</errorWord>
      <group>L1_Format</group>
      <groupName>格式问题</groupName>
      <ability>L2_HalfPunc</ability>
      <abilityName>全半角检查</abilityName>
      <candidateList>
        <item>（</item>
      </candidateList>
      <explain>文本全半角错误。</explain>
      <paraID>43C0E40E</paraID>
      <start>18</start>
      <end>19</end>
      <status>unmodified</status>
      <modifiedWord/>
      <trackRevisions>false</trackRevisions>
    </reviewItem>
    <reviewItem>
      <errorID>75b78701-e4d5-4b8d-84bb-5634a556dba7</errorID>
      <errorWord>)</errorWord>
      <group>L1_Format</group>
      <groupName>格式问题</groupName>
      <ability>L2_HalfPunc</ability>
      <abilityName>全半角检查</abilityName>
      <candidateList>
        <item>）</item>
      </candidateList>
      <explain>文本全半角错误。</explain>
      <paraID>43C0E40E</paraID>
      <start>29</start>
      <end>30</end>
      <status>unmodified</status>
      <modifiedWord/>
      <trackRevisions>false</trackRevisions>
    </reviewItem>
    <reviewItem>
      <errorID>f4e82176-3d33-4e31-ab01-fc507c22061f</errorID>
      <errorWord>99%~99.99%</errorWord>
      <group>L1_Knowledge</group>
      <groupName>知识性问题</groupName>
      <ability>L2_Knowledge</ability>
      <abilityName>其他知识</abilityName>
      <candidateList>
        <item>99%～99.99%</item>
      </candidateList>
      <explain>1. “99%~99.99%”中的单位“%”仅出现在后一个数字上，容易引起歧义；根据《现代汉语标点符号数字用法规范手册》，数字表示范围两边需要使用统一的格式。2. 根据标点国标 4.13 中的规则，数字、时间或地域连接符应使用（视觉上更长的）“—”或“～”。</explain>
      <paraID>39337B6E</paraID>
      <start>62</start>
      <end>72</end>
      <status>unmodified</status>
      <modifiedWord/>
      <trackRevisions>false</trackRevisions>
    </reviewItem>
    <reviewItem>
      <errorID>e9a89e87-9716-4a48-bb80-735cc809d537</errorID>
      <errorWord>(</errorWord>
      <group>L1_Format</group>
      <groupName>格式问题</groupName>
      <ability>L2_HalfPunc</ability>
      <abilityName>全半角检查</abilityName>
      <candidateList>
        <item>（</item>
      </candidateList>
      <explain>文本全半角错误。</explain>
      <paraID>4068481D</paraID>
      <start>18</start>
      <end>19</end>
      <status>unmodified</status>
      <modifiedWord/>
      <trackRevisions>false</trackRevisions>
    </reviewItem>
    <reviewItem>
      <errorID>eae24458-9da4-40b7-aee0-7dbafb39c479</errorID>
      <errorWord>)</errorWord>
      <group>L1_Format</group>
      <groupName>格式问题</groupName>
      <ability>L2_HalfPunc</ability>
      <abilityName>全半角检查</abilityName>
      <candidateList>
        <item>）</item>
      </candidateList>
      <explain>文本全半角错误。</explain>
      <paraID>4068481D</paraID>
      <start>29</start>
      <end>30</end>
      <status>unmodified</status>
      <modifiedWord/>
      <trackRevisions>false</trackRevisions>
    </reviewItem>
    <reviewItem>
      <errorID>8161fefe-32da-4789-a45b-7000d74468ca</errorID>
      <errorWord>(</errorWord>
      <group>L1_Format</group>
      <groupName>格式问题</groupName>
      <ability>L2_HalfPunc</ability>
      <abilityName>全半角检查</abilityName>
      <candidateList>
        <item>（</item>
      </candidateList>
      <explain>文本全半角错误。</explain>
      <paraID>2408ECE4</paraID>
      <start>18</start>
      <end>19</end>
      <status>unmodified</status>
      <modifiedWord/>
      <trackRevisions>false</trackRevisions>
    </reviewItem>
    <reviewItem>
      <errorID>bda408da-6c07-4cf4-9361-fd43e3f08829</errorID>
      <errorWord>)</errorWord>
      <group>L1_Format</group>
      <groupName>格式问题</groupName>
      <ability>L2_HalfPunc</ability>
      <abilityName>全半角检查</abilityName>
      <candidateList>
        <item>）</item>
      </candidateList>
      <explain>文本全半角错误。</explain>
      <paraID>2408ECE4</paraID>
      <start>29</start>
      <end>30</end>
      <status>unmodified</status>
      <modifiedWord/>
      <trackRevisions>false</trackRevisions>
    </reviewItem>
    <reviewItem>
      <errorID>52deef31-2f2e-4b1b-a371-5aea4a82505c</errorID>
      <errorWord>~</errorWord>
      <group>L1_Format</group>
      <groupName>格式问题</groupName>
      <ability>L2_HalfPunc</ability>
      <abilityName>全半角检查</abilityName>
      <candidateList>
        <item>～</item>
      </candidateList>
      <explain>文本全半角错误。</explain>
      <paraID>56E1F58E</paraID>
      <start>79</start>
      <end>80</end>
      <status>unmodified</status>
      <modifiedWord/>
      <trackRevisions>false</trackRevisions>
    </reviewItem>
    <reviewItem>
      <errorID>3865b3f5-559c-4c01-82f2-47552d511c2d</errorID>
      <errorWord>工序均</errorWord>
      <group>L1_Word</group>
      <groupName>字词问题</groupName>
      <ability>L2_Typo</ability>
      <abilityName>字词错误</abilityName>
      <candidateList>
        <item>工序</item>
      </candidateList>
      <explain/>
      <paraID>49247687</paraID>
      <start>23</start>
      <end>26</end>
      <status>unmodified</status>
      <modifiedWord/>
      <trackRevisions>false</trackRevisions>
    </reviewItem>
    <reviewItem>
      <errorID>37975083-7e50-4d46-8806-e9655fd10708</errorID>
      <errorWord>为</errorWord>
      <group>L1_Word</group>
      <groupName>字词问题</groupName>
      <ability>L2_Typo</ability>
      <abilityName>字词错误</abilityName>
      <candidateList>
        <item>未</item>
      </candidateList>
      <explain>〈副〉❶没（跟“已”相对）：尚～成年｜健康仍～恢复。❷不：～便｜～敢苟同｜～可厚非。</explain>
      <paraID>49247687</paraID>
      <start>86</start>
      <end>87</end>
      <status>unmodified</status>
      <modifiedWord/>
      <trackRevisions>false</trackRevisions>
    </reviewItem>
    <reviewItem>
      <errorID>7f0460e6-ac08-42fa-bc4e-49c921e7f5b5</errorID>
      <errorWord>：</errorWord>
      <group>L1_Format</group>
      <groupName>格式问题</groupName>
      <ability>L2_HalfPunc</ability>
      <abilityName>全半角检查</abilityName>
      <candidateList>
        <item>:</item>
      </candidateList>
      <explain>文本全半角错误。</explain>
      <paraID>4F3C0ABB</paraID>
      <start>28</start>
      <end>29</end>
      <status>unmodified</status>
      <modifiedWord/>
      <trackRevisions>false</trackRevisions>
    </reviewItem>
    <reviewItem>
      <errorID>cb0f77b0-2111-4b0c-af98-e860743b9f5d</errorID>
      <errorWord>~</errorWord>
      <group>L1_Format</group>
      <groupName>格式问题</groupName>
      <ability>L2_HalfPunc</ability>
      <abilityName>全半角检查</abilityName>
      <candidateList>
        <item>～</item>
      </candidateList>
      <explain>文本全半角错误。</explain>
      <paraID>4F3C0ABB</paraID>
      <start>148</start>
      <end>149</end>
      <status>unmodified</status>
      <modifiedWord/>
      <trackRevisions>false</trackRevisions>
    </reviewItem>
    <reviewItem>
      <errorID>f0c4998d-61f1-473b-adad-be9f6da5a60a</errorID>
      <errorWord>：</errorWord>
      <group>L1_Format</group>
      <groupName>格式问题</groupName>
      <ability>L2_HalfPunc</ability>
      <abilityName>全半角检查</abilityName>
      <candidateList>
        <item>:</item>
      </candidateList>
      <explain>文本全半角错误。</explain>
      <paraID>4F3C0ABB</paraID>
      <start>186</start>
      <end>187</end>
      <status>unmodified</status>
      <modifiedWord/>
      <trackRevisions>false</trackRevisions>
    </reviewItem>
    <reviewItem>
      <errorID>9a18badc-18c9-48f8-aa16-907d87fd6bac</errorID>
      <errorWord>：</errorWord>
      <group>L1_Format</group>
      <groupName>格式问题</groupName>
      <ability>L2_HalfPunc</ability>
      <abilityName>全半角检查</abilityName>
      <candidateList>
        <item>:</item>
      </candidateList>
      <explain>文本全半角错误。</explain>
      <paraID>4F3C0ABB</paraID>
      <start>254</start>
      <end>255</end>
      <status>unmodified</status>
      <modifiedWord/>
      <trackRevisions>false</trackRevisions>
    </reviewItem>
    <reviewItem>
      <errorID>bfdfad5c-c31f-4aee-86da-3244d7a5ba2f</errorID>
      <errorWord>即即</errorWord>
      <group>L1_Word</group>
      <groupName>字词问题</groupName>
      <ability>L2_Typo</ability>
      <abilityName>字词错误</abilityName>
      <candidateList>
        <item>即</item>
      </candidateList>
      <explain>〈书〉❶就是：荷花～莲花｜非此～彼。❷〈副〉就；便：一触～发｜招之～来｜闻过～改。❸〈连〉即使：～无他方之支援，也能按期完成任务。参看733页“就2”。</explain>
      <paraID>4F3C0ABB</paraID>
      <start>302</start>
      <end>304</end>
      <status>unmodified</status>
      <modifiedWord/>
      <trackRevisions>false</trackRevisions>
    </reviewItem>
    <reviewItem>
      <errorID>84f831f6-9c85-458a-aeb7-31fb32481812</errorID>
      <errorWord>65~85%</errorWord>
      <group>L1_Knowledge</group>
      <groupName>知识性问题</groupName>
      <ability>L2_Knowledge</ability>
      <abilityName>其他知识</abilityName>
      <candidateList>
        <item>65%～85%</item>
      </candidateList>
      <explain>1. “65~85%”中的单位“%”仅出现在后一个数字上，容易引起歧义；根据《现代汉语标点符号数字用法规范手册》，数字表示范围两边需要使用统一的格式。2. 根据标点国标 4.13 中的规则，数字、时间或地域连接符应使用（视觉上更长的）“—”或“～”。</explain>
      <paraID>45D9B0E2</paraID>
      <start>89</start>
      <end>95</end>
      <status>unmodified</status>
      <modifiedWord/>
      <trackRevisions>false</trackRevisions>
    </reviewItem>
    <reviewItem>
      <errorID>e805d555-a123-49c9-9680-d82f56d94818</errorID>
      <errorWord>计</errorWord>
      <group>L1_Word</group>
      <groupName>字词问题</groupName>
      <ability>L2_Typo</ability>
      <abilityName>字词错误</abilityName>
      <candidateList>
        <item>计算</item>
      </candidateList>
      <explain/>
      <paraID>45D9B0E2</paraID>
      <start>116</start>
      <end>117</end>
      <status>unmodified</status>
      <modifiedWord/>
      <trackRevisions>false</trackRevisions>
    </reviewItem>
    <reviewItem>
      <errorID>d35f1b9e-c387-4b28-89e4-a2d769d2d699</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45D9B0E2</paraID>
      <start>147</start>
      <end>148</end>
      <status>unmodified</status>
      <modifiedWord/>
      <trackRevisions>false</trackRevisions>
    </reviewItem>
    <reviewItem>
      <errorID>0b8e6eb2-8e95-4de6-b3a0-4de56078982b</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7D1325FC</paraID>
      <start>37</start>
      <end>38</end>
      <status>unmodified</status>
      <modifiedWord/>
      <trackRevisions>false</trackRevisions>
    </reviewItem>
    <reviewItem>
      <errorID>3274f1de-05b8-4e0f-a7a9-cfb22594895f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4EDD6FD5</paraID>
      <start>7</start>
      <end>8</end>
      <status>unmodified</status>
      <modifiedWord/>
      <trackRevisions>false</trackRevisions>
    </reviewItem>
    <reviewItem>
      <errorID>f020e763-1e92-414d-ba41-becaafcd1a41</errorID>
      <errorWord>2025年12月03日</errorWord>
      <group>L1_Knowledge</group>
      <groupName>知识性问题</groupName>
      <ability>L2_Time</ability>
      <abilityName>日期时间</abilityName>
      <candidateList>
        <item>2025年12月3日</item>
      </candidateList>
      <explain>根据日常书写习惯，日期一般会省略前导零。</explain>
      <paraID>57D8C2BC</paraID>
      <start>0</start>
      <end>11</end>
      <status>unmodified</status>
      <modifiedWord/>
      <trackRevisions>false</trackRevisions>
    </reviewItem>
    <reviewItem>
      <errorID>2d9cc78f-c5c8-4567-8fc9-0d91d557436a</errorID>
      <errorWord>2025年12月04日</errorWord>
      <group>L1_Knowledge</group>
      <groupName>知识性问题</groupName>
      <ability>L2_Time</ability>
      <abilityName>日期时间</abilityName>
      <candidateList>
        <item>2025年12月4日</item>
      </candidateList>
      <explain>根据日常书写习惯，日期一般会省略前导零。</explain>
      <paraID>4912B71A</paraID>
      <start>0</start>
      <end>11</end>
      <status>unmodified</status>
      <modifiedWord/>
      <trackRevisions>false</trackRevisions>
    </reviewItem>
    <reviewItem>
      <errorID>86894156-d57d-41b7-8399-20167288c845</errorID>
      <errorWord>同时并</errorWord>
      <group>L1_Word</group>
      <groupName>字词问题</groupName>
      <ability>L2_Typo</ability>
      <abilityName>字词错误</abilityName>
      <candidateList>
        <item>同时</item>
      </candidateList>
      <explain>❶〈名〉同一个时候：他们俩是～复员的｜在抓紧工程进度的～，必须注意工程质量。❷〈连〉表示并列关系，常含有进一层的意味：这是非常重要的任务，～也是十分艰巨的任务。</explain>
      <paraID>59A18ED7</paraID>
      <start>124</start>
      <end>127</end>
      <status>unmodified</status>
      <modifiedWord/>
      <trackRevisions>false</trackRevisions>
    </reviewItem>
    <reviewItem>
      <errorID>8cfffbba-3e91-4001-a6b3-02677c37fcf2</errorID>
      <errorWord>/；</errorWord>
      <group>L1_Punc</group>
      <groupName>标点问题</groupName>
      <ability>L2_Punc</ability>
      <abilityName>标点符号检查</abilityName>
      <candidateList>
        <item>/</item>
      </candidateList>
      <explain/>
      <paraID>750BB836</paraID>
      <start>93</start>
      <end>95</end>
      <status>unmodified</status>
      <modifiedWord/>
      <trackRevisions>false</trackRevisions>
    </reviewItem>
    <reviewItem>
      <errorID>b92d9f5a-8373-481c-a4a4-dbe2fcc4a051</errorID>
      <errorWord>（</errorWord>
      <group>L1_Format</group>
      <groupName>格式问题</groupName>
      <ability>L2_HalfPunc</ability>
      <abilityName>全半角检查</abilityName>
      <candidateList>
        <item>(</item>
      </candidateList>
      <explain>文本全半角错误。</explain>
      <paraID>6BEC2479</paraID>
      <start>0</start>
      <end>1</end>
      <status>unmodified</status>
      <modifiedWord/>
      <trackRevisions>false</trackRevisions>
    </reviewItem>
    <reviewItem>
      <errorID>8463be30-d042-478f-a659-a6aece2e11f7</errorID>
      <errorWord>）</errorWord>
      <group>L1_Format</group>
      <groupName>格式问题</groupName>
      <ability>L2_HalfPunc</ability>
      <abilityName>全半角检查</abilityName>
      <candidateList>
        <item>)</item>
      </candidateList>
      <explain>文本全半角错误。</explain>
      <paraID>6BEC2479</paraID>
      <start>4</start>
      <end>5</end>
      <status>unmodified</status>
      <modifiedWord/>
      <trackRevisions>false</trackRevisions>
    </reviewItem>
    <reviewItem>
      <errorID>468392de-29c9-4c3f-8cf7-c11f2f204c6e</errorID>
      <errorWord>通</errorWord>
      <group>L1_Word</group>
      <groupName>字词问题</groupName>
      <ability>L2_Typo</ability>
      <abilityName>字词错误</abilityName>
      <candidateList>
        <item>通过</item>
      </candidateList>
      <explain>❶（－∥－）〈动〉从一端或一侧到另一端或另一侧；穿过：电流～导线｜队伍～了沙漠｜路太窄，汽车不能～。❷（－∥－）〈动〉议案等经过法定人数的同意而成立：～决议｜该提案以四分之三的多数票获得～。❸〈介〉以人或事物为媒介或手段而达到某种目的：～老艺人收集民间故事｜～座谈会征询意见。❹〈动〉征求有关的人或组织的同意或核准：～组织｜～领导｜这问题要～群众，才能做出决定。</explain>
      <paraID>6C1AD32C</paraID>
      <start>70</start>
      <end>71</end>
      <status>unmodified</status>
      <modifiedWord/>
      <trackRevisions>false</trackRevisions>
    </reviewItem>
    <reviewItem>
      <errorID>bedc180f-9ba5-48aa-ac60-bd39e30a857f</errorID>
      <errorWord>净化器机</errorWord>
      <group>L1_Word</group>
      <groupName>字词问题</groupName>
      <ability>L2_Typo</ability>
      <abilityName>字词错误</abilityName>
      <candidateList>
        <item>净化器</item>
      </candidateList>
      <explain/>
      <paraID>1CE58B95</paraID>
      <start>27</start>
      <end>31</end>
      <status>unmodified</status>
      <modifiedWord/>
      <trackRevisions>false</trackRevisions>
    </reviewItem>
    <reviewItem>
      <errorID>3cdcc419-5c6a-4fdd-88aa-7da4c0d96d96</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79072448</paraID>
      <start>22</start>
      <end>25</end>
      <status>unmodified</status>
      <modifiedWord/>
      <trackRevisions>false</trackRevisions>
    </reviewItem>
    <reviewItem>
      <errorID>a0e6071e-0259-4428-8960-4bd4f620a505</errorID>
      <errorWord>(</errorWord>
      <group>L1_Format</group>
      <groupName>格式问题</groupName>
      <ability>L2_HalfPunc</ability>
      <abilityName>全半角检查</abilityName>
      <candidateList>
        <item>（</item>
      </candidateList>
      <explain>文本全半角错误。</explain>
      <paraID>70F72A54</paraID>
      <start>73</start>
      <end>74</end>
      <status>unmodified</status>
      <modifiedWord/>
      <trackRevisions>false</trackRevisions>
    </reviewItem>
    <reviewItem>
      <errorID>7f360457-c3db-4a43-914d-ff536a0311d7</errorID>
      <errorWord>)</errorWord>
      <group>L1_Format</group>
      <groupName>格式问题</groupName>
      <ability>L2_HalfPunc</ability>
      <abilityName>全半角检查</abilityName>
      <candidateList>
        <item>）</item>
      </candidateList>
      <explain>文本全半角错误。</explain>
      <paraID>70F72A54</paraID>
      <start>77</start>
      <end>78</end>
      <status>unmodified</status>
      <modifiedWord/>
      <trackRevisions>false</trackRevisions>
    </reviewItem>
    <reviewItem>
      <errorID>39cb4c84-8e0a-4e86-81bf-468d98d7a0a4</errorID>
      <errorWord>(</errorWord>
      <group>L1_Format</group>
      <groupName>格式问题</groupName>
      <ability>L2_HalfPunc</ability>
      <abilityName>全半角检查</abilityName>
      <candidateList>
        <item>（</item>
      </candidateList>
      <explain>文本全半角错误。</explain>
      <paraID>70F72A54</paraID>
      <start>93</start>
      <end>94</end>
      <status>unmodified</status>
      <modifiedWord/>
      <trackRevisions>false</trackRevisions>
    </reviewItem>
    <reviewItem>
      <errorID>1a0207c5-b376-489f-a1ad-3d24010b2fca</errorID>
      <errorWord>)</errorWord>
      <group>L1_Format</group>
      <groupName>格式问题</groupName>
      <ability>L2_HalfPunc</ability>
      <abilityName>全半角检查</abilityName>
      <candidateList>
        <item>）</item>
      </candidateList>
      <explain>文本全半角错误。</explain>
      <paraID>70F72A54</paraID>
      <start>98</start>
      <end>99</end>
      <status>unmodified</status>
      <modifiedWord/>
      <trackRevisions>false</trackRevisions>
    </reviewItem>
    <reviewItem>
      <errorID>89a3231b-b438-4479-83de-664db3a74549</errorID>
      <errorWord>有机废气废气</errorWord>
      <group>L1_Word</group>
      <groupName>字词问题</groupName>
      <ability>L2_Typo</ability>
      <abilityName>字词错误</abilityName>
      <candidateList>
        <item>有机废气</item>
      </candidateList>
      <explain/>
      <paraID>4F9C5D8A</paraID>
      <start>5</start>
      <end>11</end>
      <status>unmodified</status>
      <modifiedWord/>
      <trackRevisions>false</trackRevisions>
    </reviewItem>
    <reviewItem>
      <errorID>10294002-390e-46fd-91e0-3c58fd3a1f01</errorID>
      <errorWord>满足满足</errorWord>
      <group>L1_Word</group>
      <groupName>字词问题</groupName>
      <ability>L2_Typo</ability>
      <abilityName>字词错误</abilityName>
      <candidateList>
        <item>满足</item>
      </candidateList>
      <explain/>
      <paraID>7787AEE9</paraID>
      <start>30</start>
      <end>34</end>
      <status>unmodified</status>
      <modifiedWord/>
      <trackRevisions>false</trackRevisions>
    </reviewItem>
    <reviewItem>
      <errorID>d605557c-d89f-4ab9-8b33-46ec86700925</errorID>
      <errorWord>后才</errorWord>
      <group>L1_Word</group>
      <groupName>字词问题</groupName>
      <ability>L2_Typo</ability>
      <abilityName>字词错误</abilityName>
      <candidateList>
        <item>后方</item>
      </candidateList>
      <explain>存在字形相近字词的误用。</explain>
      <paraID> 381FC5B</paraID>
      <start>106</start>
      <end>108</end>
      <status>unmodified</status>
      <modifiedWord/>
      <trackRevisions>false</trackRevisions>
    </reviewItem>
    <reviewItem>
      <errorID>b25ca613-5d42-43e5-9b44-70db8ec2ae1a</errorID>
      <errorWord>减轻</errorWord>
      <group>L1_Grammar</group>
      <groupName>语法问题</groupName>
      <ability>L2_Grammar</ability>
      <abilityName>语法错误</abilityName>
      <candidateList>
        <item>减少</item>
      </candidateList>
      <explain>“减轻～排放”搭配不当，建议修改为“减少～排放”。</explain>
      <paraID>40453551</paraID>
      <start>43</start>
      <end>45</end>
      <status>unmodified</status>
      <modifiedWord/>
      <trackRevisions>false</trackRevisions>
    </reviewItem>
    <reviewItem>
      <errorID>7abf78af-7633-4a24-bc94-6a427cbf54e0</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107247A4</paraID>
      <start>10</start>
      <end>13</end>
      <status>unmodified</status>
      <modifiedWord/>
      <trackRevisions>false</trackRevisions>
    </reviewItem>
    <reviewItem>
      <errorID>635df43a-fce0-42fb-b343-e1aed73b6f32</errorID>
      <errorWord>活性炭活性炭</errorWord>
      <group>L1_Word</group>
      <groupName>字词问题</groupName>
      <ability>L2_Typo</ability>
      <abilityName>字词错误</abilityName>
      <candidateList>
        <item>活性炭</item>
      </candidateList>
      <explain>〈名〉吸附能力很强的炭，把硬木、果壳、骨头等放在密闭容器中烧成炭再增加其孔隙后制成。防毒面具中用来过滤气体，工业上用来脱色、使溶液纯净，也可用于医药方面。</explain>
      <paraID>414BAD27</paraID>
      <start>8</start>
      <end>14</end>
      <status>unmodified</status>
      <modifiedWord/>
      <trackRevisions>false</trackRevisions>
    </reviewItem>
    <reviewItem>
      <errorID>fb945d94-a069-4cfb-9596-8b6b05082be6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404B9F81</paraID>
      <start>0</start>
      <end>2</end>
      <status>unmodified</status>
      <modifiedWord/>
      <trackRevisions>false</trackRevisions>
    </reviewItem>
    <reviewItem>
      <errorID>1b8b6b62-3f8f-444e-8423-c3687b2e5f76</errorID>
      <errorWord>本项目本项目</errorWord>
      <group>L1_Word</group>
      <groupName>字词问题</groupName>
      <ability>L2_Typo</ability>
      <abilityName>字词错误</abilityName>
      <candidateList>
        <item>本项目</item>
      </candidateList>
      <explain/>
      <paraID> 8313389</paraID>
      <start>0</start>
      <end>6</end>
      <status>unmodified</status>
      <modifiedWord/>
      <trackRevisions>false</trackRevisions>
    </reviewItem>
    <reviewItem>
      <errorID>f35cba0d-f494-40b1-808f-c44b20a46999</errorID>
      <errorWord>-</errorWord>
      <group>L1_Format</group>
      <groupName>格式问题</groupName>
      <ability>L2_HalfPunc</ability>
      <abilityName>全半角检查</abilityName>
      <candidateList>
        <item>－</item>
      </candidateList>
      <explain>文本全半角错误。</explain>
      <paraID>4B3DA3CF</paraID>
      <start>108</start>
      <end>109</end>
      <status>unmodified</status>
      <modifiedWord/>
      <trackRevisions>false</trackRevisions>
    </reviewItem>
    <reviewItem>
      <errorID>40f50d93-b4bf-4eb4-a700-4978c5d3d25b</errorID>
      <errorWord>-</errorWord>
      <group>L1_Format</group>
      <groupName>格式问题</groupName>
      <ability>L2_HalfPunc</ability>
      <abilityName>全半角检查</abilityName>
      <candidateList>
        <item>－</item>
      </candidateList>
      <explain>文本全半角错误。</explain>
      <paraID>678524BB</paraID>
      <start>28</start>
      <end>29</end>
      <status>unmodified</status>
      <modifiedWord/>
      <trackRevisions>false</trackRevisions>
    </reviewItem>
    <reviewItem>
      <errorID>58ff0b03-8b6d-46a8-baa8-fdc91d0e5863</errorID>
      <errorWord>-</errorWord>
      <group>L1_Format</group>
      <groupName>格式问题</groupName>
      <ability>L2_HalfPunc</ability>
      <abilityName>全半角检查</abilityName>
      <candidateList>
        <item>－</item>
      </candidateList>
      <explain>文本全半角错误。</explain>
      <paraID>6280FCD9</paraID>
      <start>3</start>
      <end>4</end>
      <status>unmodified</status>
      <modifiedWord/>
      <trackRevisions>false</trackRevisions>
    </reviewItem>
    <reviewItem>
      <errorID>a7bf891d-ee81-4d49-9e43-8025c404b68c</errorID>
      <errorWord>主要是</errorWord>
      <group>L1_Word</group>
      <groupName>字词问题</groupName>
      <ability>L2_Typo</ability>
      <abilityName>字词错误</abilityName>
      <candidateList>
        <item>主要</item>
      </candidateList>
      <explain>〈形〉属性词。有关事物中最重要的；起决定作用的：～原因｜～目的｜～人物。</explain>
      <paraID>1001EA74</paraID>
      <start>55</start>
      <end>58</end>
      <status>unmodified</status>
      <modifiedWord/>
      <trackRevisions>false</trackRevisions>
    </reviewItem>
    <reviewItem>
      <errorID>c5c87d32-e17b-48fe-9067-4a243c7c3c89</errorID>
      <errorWord>见</errorWord>
      <group>L1_Word</group>
      <groupName>字词问题</groupName>
      <ability>L2_Typo</ability>
      <abilityName>字词错误</abilityName>
      <candidateList>
        <item>见下</item>
      </candidateList>
      <explain/>
      <paraID>471FABFD</paraID>
      <start>13</start>
      <end>14</end>
      <status>unmodified</status>
      <modifiedWord/>
      <trackRevisions>false</trackRevisions>
    </reviewItem>
    <reviewItem>
      <errorID>09b2d945-b85b-440f-acde-0c84ebc3b089</errorID>
      <errorWord>标</errorWord>
      <group>L1_Word</group>
      <groupName>字词问题</groupName>
      <ability>L2_Typo</ability>
      <abilityName>字词错误</abilityName>
      <candidateList>
        <item>标准</item>
      </candidateList>
      <explain>❶〈名〉衡量事物的准则：技术～｜实践是检验真理的唯一～。❷〈形〉本身合于准则，可供同类事物比较核对的：～音｜～时｜她的发音很～。</explain>
      <paraID>6AF8E41F</paraID>
      <start>181</start>
      <end>182</end>
      <status>unmodified</status>
      <modifiedWord/>
      <trackRevisions>false</trackRevisions>
    </reviewItem>
    <reviewItem>
      <errorID>b48b3a34-b9a7-403a-8c7b-e3b8341d6b0b</errorID>
      <errorWord>~</errorWord>
      <group>L1_Format</group>
      <groupName>格式问题</groupName>
      <ability>L2_HalfPunc</ability>
      <abilityName>全半角检查</abilityName>
      <candidateList>
        <item>～</item>
      </candidateList>
      <explain>文本全半角错误。</explain>
      <paraID>528C55E1</paraID>
      <start>83</start>
      <end>84</end>
      <status>unmodified</status>
      <modifiedWord/>
      <trackRevisions>false</trackRevisions>
    </reviewItem>
    <reviewItem>
      <errorID>b4f412d4-8365-457f-b194-4488c698004b</errorID>
      <errorWord>~</errorWord>
      <group>L1_Format</group>
      <groupName>格式问题</groupName>
      <ability>L2_HalfPunc</ability>
      <abilityName>全半角检查</abilityName>
      <candidateList>
        <item>～</item>
      </candidateList>
      <explain>文本全半角错误。</explain>
      <paraID>7DD5F631</paraID>
      <start>106</start>
      <end>107</end>
      <status>unmodified</status>
      <modifiedWord/>
      <trackRevisions>false</trackRevisions>
    </reviewItem>
    <reviewItem>
      <errorID>97686397-9df6-4066-8cc9-c0b160c38ddb</errorID>
      <errorWord>处理到</errorWord>
      <group>L1_Word</group>
      <groupName>字词问题</groupName>
      <ability>L2_Typo</ability>
      <abilityName>字词错误</abilityName>
      <candidateList>
        <item>处理</item>
      </candidateList>
      <explain/>
      <paraID>405A4AE6</paraID>
      <start>22</start>
      <end>25</end>
      <status>unmodified</status>
      <modifiedWord/>
      <trackRevisions>false</trackRevisions>
    </reviewItem>
    <reviewItem>
      <errorID>595d3d59-2ed8-459d-a73d-d55e1c7982a3</errorID>
      <errorWord>~</errorWord>
      <group>L1_Format</group>
      <groupName>格式问题</groupName>
      <ability>L2_HalfPunc</ability>
      <abilityName>全半角检查</abilityName>
      <candidateList>
        <item>～</item>
      </candidateList>
      <explain>文本全半角错误。</explain>
      <paraID> 153A989</paraID>
      <start>43</start>
      <end>44</end>
      <status>unmodified</status>
      <modifiedWord/>
      <trackRevisions>false</trackRevisions>
    </reviewItem>
    <reviewItem>
      <errorID>326ccdff-7f2c-4c36-b88d-d3b59f58e5b7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716854CC</paraID>
      <start>0</start>
      <end>2</end>
      <status>unmodified</status>
      <modifiedWord/>
      <trackRevisions>false</trackRevisions>
    </reviewItem>
    <reviewItem>
      <errorID>1e9925f1-3f47-45a7-bc5a-4e9a2df141f9</errorID>
      <errorWord>，</errorWord>
      <group>L1_Format</group>
      <groupName>格式问题</groupName>
      <ability>L2_HalfPunc</ability>
      <abilityName>全半角检查</abilityName>
      <candidateList>
        <item>, </item>
      </candidateList>
      <explain>文本全半角错误。</explain>
      <paraID> DCD31A0</paraID>
      <start>1</start>
      <end>2</end>
      <status>unmodified</status>
      <modifiedWord/>
      <trackRevisions>false</trackRevisions>
    </reviewItem>
    <reviewItem>
      <errorID>76be5bb3-5fc1-46fe-908e-560e1c8d76bd</errorID>
      <errorWord>，</errorWord>
      <group>L1_Format</group>
      <groupName>格式问题</groupName>
      <ability>L2_HalfPunc</ability>
      <abilityName>全半角检查</abilityName>
      <candidateList>
        <item>, </item>
      </candidateList>
      <explain>文本全半角错误。</explain>
      <paraID> DCD31A0</paraID>
      <start>3</start>
      <end>4</end>
      <status>unmodified</status>
      <modifiedWord/>
      <trackRevisions>false</trackRevisions>
    </reviewItem>
    <reviewItem>
      <errorID>db2ecd56-0ca8-4005-a686-62cd6018c662</errorID>
      <errorWord>，</errorWord>
      <group>L1_Format</group>
      <groupName>格式问题</groupName>
      <ability>L2_HalfPunc</ability>
      <abilityName>全半角检查</abilityName>
      <candidateList>
        <item>, </item>
      </candidateList>
      <explain>文本全半角错误。</explain>
      <paraID> D4F93A0</paraID>
      <start>1</start>
      <end>2</end>
      <status>unmodified</status>
      <modifiedWord/>
      <trackRevisions>false</trackRevisions>
    </reviewItem>
    <reviewItem>
      <errorID>82137d63-147a-4920-8517-f3043e3987a7</errorID>
      <errorWord>，</errorWord>
      <group>L1_Format</group>
      <groupName>格式问题</groupName>
      <ability>L2_HalfPunc</ability>
      <abilityName>全半角检查</abilityName>
      <candidateList>
        <item>, </item>
      </candidateList>
      <explain>文本全半角错误。</explain>
      <paraID> D4F93A0</paraID>
      <start>3</start>
      <end>4</end>
      <status>unmodified</status>
      <modifiedWord/>
      <trackRevisions>false</trackRevisions>
    </reviewItem>
    <reviewItem>
      <errorID>fbdc6c95-ce2a-4324-ac9f-829c89199721</errorID>
      <errorWord>..</errorWord>
      <group>L1_Punc</group>
      <groupName>标点问题</groupName>
      <ability>L2_Punc</ability>
      <abilityName>标点符号检查</abilityName>
      <candidateList>
        <item>.</item>
      </candidateList>
      <explain/>
      <paraID> 6C74116</paraID>
      <start>2</start>
      <end>4</end>
      <status>unmodified</status>
      <modifiedWord/>
      <trackRevisions>false</trackRevisions>
    </reviewItem>
    <reviewItem>
      <errorID>d2eafb6e-ca11-426d-813f-267f1fd1ae11</errorID>
      <errorWord>（</errorWord>
      <group>L1_Format</group>
      <groupName>格式问题</groupName>
      <ability>L2_HalfPunc</ability>
      <abilityName>全半角检查</abilityName>
      <candidateList>
        <item>(</item>
      </candidateList>
      <explain>文本全半角错误。</explain>
      <paraID>42EDED4D</paraID>
      <start>0</start>
      <end>1</end>
      <status>unmodified</status>
      <modifiedWord/>
      <trackRevisions>false</trackRevisions>
    </reviewItem>
    <reviewItem>
      <errorID>928ac3e3-9249-4f8d-b8de-5bea681b6723</errorID>
      <errorWord>）</errorWord>
      <group>L1_Format</group>
      <groupName>格式问题</groupName>
      <ability>L2_HalfPunc</ability>
      <abilityName>全半角检查</abilityName>
      <candidateList>
        <item>)</item>
      </candidateList>
      <explain>文本全半角错误。</explain>
      <paraID>42EDED4D</paraID>
      <start>2</start>
      <end>3</end>
      <status>unmodified</status>
      <modifiedWord/>
      <trackRevisions>false</trackRevisions>
    </reviewItem>
    <reviewItem>
      <errorID>76b1d33e-aa4c-431f-a14a-e6cdfff8d223</errorID>
      <errorWord>（</errorWord>
      <group>L1_Format</group>
      <groupName>格式问题</groupName>
      <ability>L2_HalfPunc</ability>
      <abilityName>全半角检查</abilityName>
      <candidateList>
        <item>(</item>
      </candidateList>
      <explain>文本全半角错误。</explain>
      <paraID>1B1022FB</paraID>
      <start>0</start>
      <end>1</end>
      <status>unmodified</status>
      <modifiedWord/>
      <trackRevisions>false</trackRevisions>
    </reviewItem>
    <reviewItem>
      <errorID>5b1685b0-5c28-4c20-bc21-1aa42cc7f0f1</errorID>
      <errorWord>）</errorWord>
      <group>L1_Format</group>
      <groupName>格式问题</groupName>
      <ability>L2_HalfPunc</ability>
      <abilityName>全半角检查</abilityName>
      <candidateList>
        <item>)</item>
      </candidateList>
      <explain>文本全半角错误。</explain>
      <paraID>1B1022FB</paraID>
      <start>2</start>
      <end>3</end>
      <status>unmodified</status>
      <modifiedWord/>
      <trackRevisions>false</trackRevisions>
    </reviewItem>
    <reviewItem>
      <errorID>0e206af4-580b-40a9-b899-8771d40a1f8d</errorID>
      <errorWord>)</errorWord>
      <group>L1_Format</group>
      <groupName>格式问题</groupName>
      <ability>L2_HalfPunc</ability>
      <abilityName>全半角检查</abilityName>
      <candidateList>
        <item>）</item>
      </candidateList>
      <explain>文本全半角错误。</explain>
      <paraID> 1E55040</paraID>
      <start>12</start>
      <end>13</end>
      <status>unmodified</status>
      <modifiedWord/>
      <trackRevisions>false</trackRevisions>
    </reviewItem>
    <reviewItem>
      <errorID>46719def-3765-4553-bd19-4d44a0bcc497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79DE1064</paraID>
      <start>0</start>
      <end>2</end>
      <status>unmodified</status>
      <modifiedWord/>
      <trackRevisions>false</trackRevisions>
    </reviewItem>
    <reviewItem>
      <errorID>4919fca1-6ffe-4d47-beeb-b8361596f28a</errorID>
      <errorWord>《固体废物分类与代码目录》（2024）</errorWord>
      <group>L1_Knowledge</group>
      <groupName>知识性问题</groupName>
      <ability>L2_Knowledge</ability>
      <abilityName>其他知识</abilityName>
      <candidateList>
        <item>《固体废物分类与代码目录（2024）》</item>
      </candidateList>
      <explain>疑似政策文件、法律法规名称等书写不规范，请注意检查。</explain>
      <paraID>647FE694</paraID>
      <start>2</start>
      <end>21</end>
      <status>unmodified</status>
      <modifiedWord/>
      <trackRevisions>false</trackRevisions>
    </reviewItem>
    <reviewItem>
      <errorID>bd66955f-5df8-43c9-93ca-525fb9dd9668</errorID>
      <errorWord>《固体废物分类与代码目录》（2024）</errorWord>
      <group>L1_Knowledge</group>
      <groupName>知识性问题</groupName>
      <ability>L2_Knowledge</ability>
      <abilityName>其他知识</abilityName>
      <candidateList>
        <item>《固体废物分类与代码目录（2024）》</item>
      </candidateList>
      <explain>疑似政策文件、法律法规名称等书写不规范，请注意检查。</explain>
      <paraID>6754B7B6</paraID>
      <start>2</start>
      <end>21</end>
      <status>unmodified</status>
      <modifiedWord/>
      <trackRevisions>false</trackRevisions>
    </reviewItem>
    <reviewItem>
      <errorID>0fd2285e-f31c-4cd3-8738-7c05d00e81c6</errorID>
      <errorWord>参照中</errorWord>
      <group>L1_Word</group>
      <groupName>字词问题</groupName>
      <ability>L2_Typo</ability>
      <abilityName>字词错误</abilityName>
      <candidateList>
        <item>参照</item>
      </candidateList>
      <explain/>
      <paraID>73158455</paraID>
      <start>11</start>
      <end>14</end>
      <status>unmodified</status>
      <modifiedWord/>
      <trackRevisions>false</trackRevisions>
    </reviewItem>
    <reviewItem>
      <errorID>785e260b-504b-4ab6-8422-43afd9851e25</errorID>
      <errorWord>污</errorWord>
      <group>L1_Word</group>
      <groupName>字词问题</groupName>
      <ability>L2_Typo</ability>
      <abilityName>字词错误</abilityName>
      <candidateList>
        <item>污量</item>
      </candidateList>
      <explain/>
      <paraID>73158455</paraID>
      <start>25</start>
      <end>26</end>
      <status>unmodified</status>
      <modifiedWord/>
      <trackRevisions>false</trackRevisions>
    </reviewItem>
    <reviewItem>
      <errorID>a0c30692-5d43-419f-bac0-a8ef973cf05f</errorID>
      <errorWord>-</errorWord>
      <group>L1_Format</group>
      <groupName>格式问题</groupName>
      <ability>L2_HalfPunc</ability>
      <abilityName>全半角检查</abilityName>
      <candidateList>
        <item>－</item>
      </candidateList>
      <explain>文本全半角错误。</explain>
      <paraID>73158455</paraID>
      <start>89</start>
      <end>90</end>
      <status>unmodified</status>
      <modifiedWord/>
      <trackRevisions>false</trackRevisions>
    </reviewItem>
    <reviewItem>
      <errorID>86357809-6b65-4fd6-8b01-fe1eebaa6573</errorID>
      <errorWord>《固体废物分类与代码目录》（2024）</errorWord>
      <group>L1_Knowledge</group>
      <groupName>知识性问题</groupName>
      <ability>L2_Knowledge</ability>
      <abilityName>其他知识</abilityName>
      <candidateList>
        <item>《固体废物分类与代码目录（2024）》</item>
      </candidateList>
      <explain>疑似政策文件、法律法规名称等书写不规范，请注意检查。</explain>
      <paraID>1211F796</paraID>
      <start>83</start>
      <end>102</end>
      <status>unmodified</status>
      <modifiedWord/>
      <trackRevisions>false</trackRevisions>
    </reviewItem>
    <reviewItem>
      <errorID>7c535bd5-d496-4c94-af22-0177217d8647</errorID>
      <errorWord>《固体废物分类与代码目录》（2024）</errorWord>
      <group>L1_Knowledge</group>
      <groupName>知识性问题</groupName>
      <ability>L2_Knowledge</ability>
      <abilityName>其他知识</abilityName>
      <candidateList>
        <item>《固体废物分类与代码目录（2024）》</item>
      </candidateList>
      <explain>疑似政策文件、法律法规名称等书写不规范，请注意检查。</explain>
      <paraID>70921A40</paraID>
      <start>2</start>
      <end>21</end>
      <status>unmodified</status>
      <modifiedWord/>
      <trackRevisions>false</trackRevisions>
    </reviewItem>
    <reviewItem>
      <errorID>23b92011-968a-40f8-a16b-be53cc4a0995</errorID>
      <errorWord>《固体废物分类与代码目录》（2024）</errorWord>
      <group>L1_Knowledge</group>
      <groupName>知识性问题</groupName>
      <ability>L2_Knowledge</ability>
      <abilityName>其他知识</abilityName>
      <candidateList>
        <item>《固体废物分类与代码目录（2024）》</item>
      </candidateList>
      <explain>疑似政策文件、法律法规名称等书写不规范，请注意检查。</explain>
      <paraID>52656AFF</paraID>
      <start>2</start>
      <end>21</end>
      <status>unmodified</status>
      <modifiedWord/>
      <trackRevisions>false</trackRevisions>
    </reviewItem>
    <reviewItem>
      <errorID>d7df8929-5979-4b48-bf69-09e331aeb7fd</errorID>
      <errorWord>《固体废物分类与代码目录》（2024）</errorWord>
      <group>L1_Knowledge</group>
      <groupName>知识性问题</groupName>
      <ability>L2_Knowledge</ability>
      <abilityName>其他知识</abilityName>
      <candidateList>
        <item>《固体废物分类与代码目录（2024）》</item>
      </candidateList>
      <explain>疑似政策文件、法律法规名称等书写不规范，请注意检查。</explain>
      <paraID> 3C22930</paraID>
      <start>2</start>
      <end>21</end>
      <status>unmodified</status>
      <modifiedWord/>
      <trackRevisions>false</trackRevisions>
    </reviewItem>
    <reviewItem>
      <errorID>e1643968-077d-4d4d-8ee9-d6a6860f71be</errorID>
      <errorWord>，</errorWord>
      <group>L1_Format</group>
      <groupName>格式问题</groupName>
      <ability>L2_HalfPunc</ability>
      <abilityName>全半角检查</abilityName>
      <candidateList>
        <item>, </item>
      </candidateList>
      <explain>文本全半角错误。</explain>
      <paraID>556B9BBB</paraID>
      <start>1</start>
      <end>2</end>
      <status>unmodified</status>
      <modifiedWord/>
      <trackRevisions>false</trackRevisions>
    </reviewItem>
    <reviewItem>
      <errorID>137d934b-9b03-44e6-968a-6a1481beec37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4AA3C4A8</paraID>
      <start>0</start>
      <end>2</end>
      <status>unmodified</status>
      <modifiedWord/>
      <trackRevisions>false</trackRevisions>
    </reviewItem>
    <reviewItem>
      <errorID>66ad301f-61a8-422f-bb4f-51d3dd44d39f</errorID>
      <errorWord>（</errorWord>
      <group>L1_Format</group>
      <groupName>格式问题</groupName>
      <ability>L2_HalfPunc</ability>
      <abilityName>全半角检查</abilityName>
      <candidateList>
        <item>(</item>
      </candidateList>
      <explain>文本全半角错误。</explain>
      <paraID>5F6E9B6B</paraID>
      <start>0</start>
      <end>1</end>
      <status>unmodified</status>
      <modifiedWord/>
      <trackRevisions>false</trackRevisions>
    </reviewItem>
    <reviewItem>
      <errorID>76bf79a0-d55e-457e-a049-d8431276cf2d</errorID>
      <errorWord>）</errorWord>
      <group>L1_Format</group>
      <groupName>格式问题</groupName>
      <ability>L2_HalfPunc</ability>
      <abilityName>全半角检查</abilityName>
      <candidateList>
        <item>)</item>
      </candidateList>
      <explain>文本全半角错误。</explain>
      <paraID>5F6E9B6B</paraID>
      <start>4</start>
      <end>5</end>
      <status>unmodified</status>
      <modifiedWord/>
      <trackRevisions>false</trackRevisions>
    </reviewItem>
    <reviewItem>
      <errorID>83a6151d-e21d-4c21-95ce-d0ba20b68066</errorID>
      <errorWord>（</errorWord>
      <group>L1_Format</group>
      <groupName>格式问题</groupName>
      <ability>L2_HalfPunc</ability>
      <abilityName>全半角检查</abilityName>
      <candidateList>
        <item>(</item>
      </candidateList>
      <explain>文本全半角错误。</explain>
      <paraID>3B950796</paraID>
      <start>0</start>
      <end>1</end>
      <status>unmodified</status>
      <modifiedWord/>
      <trackRevisions>false</trackRevisions>
    </reviewItem>
    <reviewItem>
      <errorID>7f720f92-0c35-4891-b2e1-6916bb117193</errorID>
      <errorWord>）</errorWord>
      <group>L1_Format</group>
      <groupName>格式问题</groupName>
      <ability>L2_HalfPunc</ability>
      <abilityName>全半角检查</abilityName>
      <candidateList>
        <item>)</item>
      </candidateList>
      <explain>文本全半角错误。</explain>
      <paraID>3B950796</paraID>
      <start>4</start>
      <end>5</end>
      <status>unmodified</status>
      <modifiedWord/>
      <trackRevisions>false</trackRevisions>
    </reviewItem>
    <reviewItem>
      <errorID>49f21716-5465-4f2f-8a3d-cb33f6098526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165A3282</paraID>
      <start>0</start>
      <end>2</end>
      <status>unmodified</status>
      <modifiedWord/>
      <trackRevisions>false</trackRevisions>
    </reviewItem>
    <reviewItem>
      <errorID>e89d17ec-769c-4b2b-82e8-cc924ca08505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27DFC8AC</paraID>
      <start>67</start>
      <end>68</end>
      <status>unmodified</status>
      <modifiedWord/>
      <trackRevisions>false</trackRevisions>
    </reviewItem>
    <reviewItem>
      <errorID>efac12b1-8959-4079-a59f-bcb5de9c0b0a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27DFC8AC</paraID>
      <start>107</start>
      <end>108</end>
      <status>unmodified</status>
      <modifiedWord/>
      <trackRevisions>false</trackRevisions>
    </reviewItem>
    <reviewItem>
      <errorID>c6810d66-aefa-40de-8ac3-ec733870d3ae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29B94287</paraID>
      <start>76</start>
      <end>77</end>
      <status>unmodified</status>
      <modifiedWord/>
      <trackRevisions>false</trackRevisions>
    </reviewItem>
    <reviewItem>
      <errorID>4f5a0f5e-e3b6-4104-9608-c58c9928c4ba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4ADA187B</paraID>
      <start>72</start>
      <end>73</end>
      <status>unmodified</status>
      <modifiedWord/>
      <trackRevisions>false</trackRevisions>
    </reviewItem>
    <reviewItem>
      <errorID>0f6a96b7-cb84-4f0d-835e-37e96d2234a3</errorID>
      <errorWord>，</errorWord>
      <group>L1_Word</group>
      <groupName>字词问题</groupName>
      <ability>L2_Typo</ability>
      <abilityName>字词错误</abilityName>
      <candidateList>
        <item>，对</item>
      </candidateList>
      <explain/>
      <paraID>23FD9A04</paraID>
      <start>20</start>
      <end>21</end>
      <status>unmodified</status>
      <modifiedWord/>
      <trackRevisions>false</trackRevisions>
    </reviewItem>
    <reviewItem>
      <errorID>2208ae1a-b520-4a1b-830b-f6d32359e371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33327531</paraID>
      <start>0</start>
      <end>2</end>
      <status>unmodified</status>
      <modifiedWord/>
      <trackRevisions>false</trackRevisions>
    </reviewItem>
    <reviewItem>
      <errorID>ae2519ae-9bbe-4050-a3c0-f54ed61315a0</errorID>
      <errorWord>，…</errorWord>
      <group>L1_Punc</group>
      <groupName>标点问题</groupName>
      <ability>L2_Punc</ability>
      <abilityName>标点符号检查</abilityName>
      <candidateList>
        <item>，</item>
      </candidateList>
      <explain/>
      <paraID>2D205C92</paraID>
      <start>8</start>
      <end>10</end>
      <status>unmodified</status>
      <modifiedWord/>
      <trackRevisions>false</trackRevisions>
    </reviewItem>
    <reviewItem>
      <errorID>944e2a2c-f47a-4f7e-8d55-d0bd62f7740d</errorID>
      <errorWord>，…</errorWord>
      <group>L1_Punc</group>
      <groupName>标点问题</groupName>
      <ability>L2_Punc</ability>
      <abilityName>标点符号检查</abilityName>
      <candidateList>
        <item>，</item>
      </candidateList>
      <explain/>
      <paraID>1814031B</paraID>
      <start>5</start>
      <end>7</end>
      <status>unmodified</status>
      <modifiedWord/>
      <trackRevisions>false</trackRevisions>
    </reviewItem>
    <reviewItem>
      <errorID>8727a84d-c558-4325-ace7-c8b0d9929e2f</errorID>
      <errorWord>危险废物贮存污染控制指标</errorWord>
      <group>L1_Word</group>
      <groupName>字词问题</groupName>
      <ability>L2_Typo</ability>
      <abilityName>字词错误</abilityName>
      <candidateList>
        <item>危险废物贮存污染控制标准</item>
      </candidateList>
      <explain/>
      <paraID>6022144A</paraID>
      <start>5</start>
      <end>17</end>
      <status>unmodified</status>
      <modifiedWord/>
      <trackRevisions>false</trackRevisions>
    </reviewItem>
    <reviewItem>
      <errorID>3bafc2c2-a6b0-46c1-b791-c98c19ac33b9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544B362C</paraID>
      <start>67</start>
      <end>68</end>
      <status>unmodified</status>
      <modifiedWord/>
      <trackRevisions>false</trackRevisions>
    </reviewItem>
    <reviewItem>
      <errorID>9f926f51-c7a3-4416-841d-a17021885798</errorID>
      <errorWord>其它人工</errorWord>
      <group>L1_Word</group>
      <groupName>字词问题</groupName>
      <ability>L2_Alias</ability>
      <abilityName>也作/曾用词</abilityName>
      <candidateList>
        <item>其他人工</item>
      </candidateList>
      <explain>词汇[其它人工]为不规范表述或旧称，其规范书面表述为[其他人工]。</explain>
      <paraID>544B362C</paraID>
      <start>95</start>
      <end>99</end>
      <status>unmodified</status>
      <modifiedWord/>
      <trackRevisions>false</trackRevisions>
    </reviewItem>
    <reviewItem>
      <errorID>f62637e6-5292-4bbe-baf7-2b1d17ff3044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544B362C</paraID>
      <start>109</start>
      <end>110</end>
      <status>unmodified</status>
      <modifiedWord/>
      <trackRevisions>false</trackRevisions>
    </reviewItem>
    <reviewItem>
      <errorID>e85f372e-812b-43b8-b3ee-0aaeedb9b30e</errorID>
      <errorWord>时</errorWord>
      <group>L1_Word</group>
      <groupName>字词问题</groupName>
      <ability>L2_Typo</ability>
      <abilityName>字词错误</abilityName>
      <candidateList>
        <item>时在</item>
      </candidateList>
      <explain/>
      <paraID>64495B82</paraID>
      <start>45</start>
      <end>46</end>
      <status>unmodified</status>
      <modifiedWord/>
      <trackRevisions>false</trackRevisions>
    </reviewItem>
    <reviewItem>
      <errorID>1c85f9bd-d4d1-42ed-99eb-da80fe0a08c4</errorID>
      <errorWord>桔黄色</errorWord>
      <group>L1_Word</group>
      <groupName>字词问题</groupName>
      <ability>L2_Alias</ability>
      <abilityName>也作/曾用词</abilityName>
      <candidateList>
        <item>橘黄色</item>
      </candidateList>
      <explain>词汇[桔黄色]为不规范表述或旧称，其规范书面表述为[橘黄色]。</explain>
      <paraID>3F4B7936</paraID>
      <start>42</start>
      <end>45</end>
      <status>unmodified</status>
      <modifiedWord/>
      <trackRevisions>false</trackRevisions>
    </reviewItem>
    <reviewItem>
      <errorID>a622d768-3eae-4c3f-980f-d4a6a32ebadc</errorID>
      <errorWord>物质用</errorWord>
      <group>L1_Word</group>
      <groupName>字词问题</groupName>
      <ability>L2_Typo</ability>
      <abilityName>字词错误</abilityName>
      <candidateList>
        <item>物质</item>
      </candidateList>
      <explain/>
      <paraID>59A69E60</paraID>
      <start>16</start>
      <end>19</end>
      <status>unmodified</status>
      <modifiedWord/>
      <trackRevisions>false</trackRevisions>
    </reviewItem>
    <reviewItem>
      <errorID>20b068bb-8da3-44fe-8ae6-07bfda7bc9ed</errorID>
      <errorWord>公示</errorWord>
      <group>L1_Word</group>
      <groupName>字词问题</groupName>
      <ability>L2_Typo</ability>
      <abilityName>字词错误</abilityName>
      <candidateList>
        <item>公式</item>
      </candidateList>
      <explain/>
      <paraID>4B9C00B7</paraID>
      <start>67</start>
      <end>69</end>
      <status>unmodified</status>
      <modifiedWord/>
      <trackRevisions>false</trackRevisions>
    </reviewItem>
    <reviewItem>
      <errorID>429380b3-d12a-4da5-90ec-b5f9d087ed0d</errorID>
      <errorWord>.，</errorWord>
      <group>L1_Punc</group>
      <groupName>标点问题</groupName>
      <ability>L2_Punc</ability>
      <abilityName>标点符号检查</abilityName>
      <candidateList>
        <item>，</item>
      </candidateList>
      <explain/>
      <paraID>61F639FC</paraID>
      <start>17</start>
      <end>19</end>
      <status>unmodified</status>
      <modifiedWord/>
      <trackRevisions>false</trackRevisions>
    </reviewItem>
    <reviewItem>
      <errorID>7a560795-9c2f-4977-90e9-b3077c574b4c</errorID>
      <errorWord>5%-20%</errorWord>
      <group>L1_Knowledge</group>
      <groupName>知识性问题</groupName>
      <ability>L2_Knowledge</ability>
      <abilityName>其他知识</abilityName>
      <candidateList>
        <item>5%—20%</item>
      </candidateList>
      <explain>1. “5%-20%”中的单位“%”仅出现在后一个数字上，容易引起歧义；根据《现代汉语标点符号数字用法规范手册》，数字表示范围两边需要使用统一的格式。2. 根据标点国标 4.13 中的规则，数字、时间或地域连接符应使用（视觉上更长的）“—”或“～”。</explain>
      <paraID> 1B61E26</paraID>
      <start>17</start>
      <end>23</end>
      <status>unmodified</status>
      <modifiedWord/>
      <trackRevisions>false</trackRevisions>
    </reviewItem>
    <reviewItem>
      <errorID>e81c1b2c-9a62-438c-94b7-a43e94c1a759</errorID>
      <errorWord>间</errorWord>
      <group>L1_Word</group>
      <groupName>字词问题</groupName>
      <ability>L2_Typo</ability>
      <abilityName>字词错误</abilityName>
      <candidateList>
        <item>见</item>
      </candidateList>
      <explain/>
      <paraID>2AB841A4</paraID>
      <start>40</start>
      <end>41</end>
      <status>unmodified</status>
      <modifiedWord/>
      <trackRevisions>false</trackRevisions>
    </reviewItem>
    <reviewItem>
      <errorID>8fd4bd88-6d62-4ae4-99c2-918ec1a1d38e</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5F335221</paraID>
      <start>106</start>
      <end>109</end>
      <status>unmodified</status>
      <modifiedWord/>
      <trackRevisions>false</trackRevisions>
    </reviewItem>
    <reviewItem>
      <errorID>a4006c50-74a3-4008-a11b-2bc21b420ebc</errorID>
      <errorWord>在厂</errorWord>
      <group>L1_Word</group>
      <groupName>字词问题</groupName>
      <ability>L2_Typo</ability>
      <abilityName>字词错误</abilityName>
      <candidateList>
        <item>在场</item>
      </candidateList>
      <explain/>
      <paraID> B3DFF7F</paraID>
      <start>63</start>
      <end>65</end>
      <status>unmodified</status>
      <modifiedWord/>
      <trackRevisions>false</trackRevisions>
    </reviewItem>
    <reviewItem>
      <errorID>628a4a0e-ed8f-43e5-b04a-849897ca00d8</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 A6A4511</paraID>
      <start>3</start>
      <end>6</end>
      <status>unmodified</status>
      <modifiedWord/>
      <trackRevisions>false</trackRevisions>
    </reviewItem>
    <reviewItem>
      <errorID>2ce7b5cf-ed6f-478f-abc0-5138ea9b6510</errorID>
      <errorWord>提高</errorWord>
      <group>L1_Grammar</group>
      <groupName>语法问题</groupName>
      <ability>L2_Grammar</ability>
      <abilityName>语法错误</abilityName>
      <candidateList>
        <item>增强</item>
      </candidateList>
      <explain>“提高～意识”搭配不当，建议修改为“增强～意识”。</explain>
      <paraID>13C46610</paraID>
      <start>17</start>
      <end>19</end>
      <status>unmodified</status>
      <modifiedWord/>
      <trackRevisions>false</trackRevisions>
    </reviewItem>
    <reviewItem>
      <errorID>667ce39b-4aa3-437f-8412-b6136c27c814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1933E993</paraID>
      <start>0</start>
      <end>2</end>
      <status>unmodified</status>
      <modifiedWord/>
      <trackRevisions>false</trackRevisions>
    </reviewItem>
    <reviewItem>
      <errorID>b171712f-a77f-4579-9eb2-79f71e120319</errorID>
      <errorWord>间</errorWord>
      <group>L1_Word</group>
      <groupName>字词问题</groupName>
      <ability>L2_Typo</ability>
      <abilityName>字词错误</abilityName>
      <candidateList>
        <item>间内</item>
      </candidateList>
      <explain/>
      <paraID>18FBD3B6</paraID>
      <start>63</start>
      <end>64</end>
      <status>unmodified</status>
      <modifiedWord/>
      <trackRevisions>false</trackRevisions>
    </reviewItem>
    <reviewItem>
      <errorID>fc67bff1-519b-48e3-b605-9ccd2fb54f30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393B3DF7</paraID>
      <start>67</start>
      <end>68</end>
      <status>unmodified</status>
      <modifiedWord/>
      <trackRevisions>false</trackRevisions>
    </reviewItem>
    <reviewItem>
      <errorID>7f2df37e-7c6b-48c1-87d4-fee4d7557383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393B3DF7</paraID>
      <start>107</start>
      <end>108</end>
      <status>unmodified</status>
      <modifiedWord/>
      <trackRevisions>false</trackRevisions>
    </reviewItem>
    <reviewItem>
      <errorID>cafe83c8-b35e-4d55-9ae9-f1576988a5eb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45A3C6B1</paraID>
      <start>102</start>
      <end>103</end>
      <status>unmodified</status>
      <modifiedWord/>
      <trackRevisions>false</trackRevisions>
    </reviewItem>
    <reviewItem>
      <errorID>819c1184-346f-414c-b850-5926a3eefae2</errorID>
      <errorWord>（</errorWord>
      <group>L1_Format</group>
      <groupName>格式问题</groupName>
      <ability>L2_HalfPunc</ability>
      <abilityName>全半角检查</abilityName>
      <candidateList>
        <item>(</item>
      </candidateList>
      <explain>文本全半角错误。</explain>
      <paraID>2329B996</paraID>
      <start>3</start>
      <end>4</end>
      <status>unmodified</status>
      <modifiedWord/>
      <trackRevisions>false</trackRevisions>
    </reviewItem>
    <reviewItem>
      <errorID>613de607-658b-4556-a10c-febbc3423071</errorID>
      <errorWord>）</errorWord>
      <group>L1_Format</group>
      <groupName>格式问题</groupName>
      <ability>L2_HalfPunc</ability>
      <abilityName>全半角检查</abilityName>
      <candidateList>
        <item>)</item>
      </candidateList>
      <explain>文本全半角错误。</explain>
      <paraID>2329B996</paraID>
      <start>5</start>
      <end>6</end>
      <status>unmodified</status>
      <modifiedWord/>
      <trackRevisions>false</trackRevisions>
    </reviewItem>
    <reviewItem>
      <errorID>6bedd3d9-4ece-422e-8720-cadf4ccbac9f</errorID>
      <errorWord>，</errorWord>
      <group>L1_Word</group>
      <groupName>字词问题</groupName>
      <ability>L2_Typo</ability>
      <abilityName>字词错误</abilityName>
      <candidateList>
        <item>，对</item>
      </candidateList>
      <explain/>
      <paraID>16CC9A4E</paraID>
      <start>22</start>
      <end>23</end>
      <status>unmodified</status>
      <modifiedWord/>
      <trackRevisions>false</trackRevisions>
    </reviewItem>
    <reviewItem>
      <errorID>8eb8abcb-5f2d-43b1-8ede-8156f53c66c8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16CC9A4E</paraID>
      <start>100</start>
      <end>101</end>
      <status>unmodified</status>
      <modifiedWord/>
      <trackRevisions>false</trackRevisions>
    </reviewItem>
    <reviewItem>
      <errorID>d3f9f6de-cb71-4e25-afe3-38de65651f96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16CC9A4E</paraID>
      <start>140</start>
      <end>141</end>
      <status>unmodified</status>
      <modifiedWord/>
      <trackRevisions>false</trackRevisions>
    </reviewItem>
    <reviewItem>
      <errorID>9ca61975-6a0e-4cad-866d-4fcb074ab2ca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16CC9A4E</paraID>
      <start>225</start>
      <end>226</end>
      <status>unmodified</status>
      <modifiedWord/>
      <trackRevisions>false</trackRevisions>
    </reviewItem>
    <reviewItem>
      <errorID>15f20411-7c89-4975-9b19-ab9ec2ed0f9a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46ADAFB0</paraID>
      <start>111</start>
      <end>112</end>
      <status>unmodified</status>
      <modifiedWord/>
      <trackRevisions>false</trackRevisions>
    </reviewItem>
    <reviewItem>
      <errorID>3c503d2c-2286-4595-adcb-c0d41d923f75</errorID>
      <errorWord>提高</errorWord>
      <group>L1_Grammar</group>
      <groupName>语法问题</groupName>
      <ability>L2_Grammar</ability>
      <abilityName>语法错误</abilityName>
      <candidateList>
        <item>增强</item>
      </candidateList>
      <explain>“提高～意识”搭配不当，建议修改为“增强～意识”。</explain>
      <paraID>6FDDA8F7</paraID>
      <start>17</start>
      <end>19</end>
      <status>unmodified</status>
      <modifiedWord/>
      <trackRevisions>false</trackRevisions>
    </reviewItem>
    <reviewItem>
      <errorID>790799e9-87b0-4634-9234-0ffda98f3bcb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582F637C</paraID>
      <start>0</start>
      <end>2</end>
      <status>unmodified</status>
      <modifiedWord/>
      <trackRevisions>false</trackRevisions>
    </reviewItem>
    <reviewItem>
      <errorID>ad07eb21-e0e0-4435-9381-027c3cb75e47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23E8B69F</paraID>
      <start>0</start>
      <end>2</end>
      <status>unmodified</status>
      <modifiedWord/>
      <trackRevisions>false</trackRevisions>
    </reviewItem>
    <reviewItem>
      <errorID>17e1c390-5d18-4a14-8bf4-cdaea8fcd812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696C678E</paraID>
      <start>0</start>
      <end>2</end>
      <status>unmodified</status>
      <modifiedWord/>
      <trackRevisions>false</trackRevisions>
    </reviewItem>
    <reviewItem>
      <errorID>6703ff63-087a-43a8-a1e1-56100caaa056</errorID>
      <errorWord>，</errorWord>
      <group>L1_Word</group>
      <groupName>字词问题</groupName>
      <ability>L2_Typo</ability>
      <abilityName>字词错误</abilityName>
      <candidateList>
        <item>，在</item>
      </candidateList>
      <explain/>
      <paraID>1694A278</paraID>
      <start>53</start>
      <end>54</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d939d6-1a2e-4b08-ba32-c7d3e8971868}">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131</Pages>
  <Words>550</Words>
  <Characters>591</Characters>
  <Lines>1</Lines>
  <Paragraphs>1</Paragraphs>
  <TotalTime>3</TotalTime>
  <ScaleCrop>false</ScaleCrop>
  <LinksUpToDate>false</LinksUpToDate>
  <CharactersWithSpaces>687</CharactersWithSpaces>
  <Application>WPS Office_12.8.2.17838_F1E327BC-269C-435d-A152-05C5408002CA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2021-02-01T08:12:00Z</dcterms:created>
  <dc:creator>gc</dc:creator>
  <cp:lastModifiedBy>Administrator</cp:lastModifiedBy>
  <dcterms:modified xsi:type="dcterms:W3CDTF">2026-03-31T02:04:32Z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2052-12.8.2.17838</vt:lpwstr>
  </property>
  <property fmtid="{D5CDD505-2E9C-101B-9397-08002B2CF9AE}" pid="3" name="ICV">
    <vt:lpwstr>10518F1457F44FE4B8690D51FE1ADAE8_13</vt:lpwstr>
  </property>
  <property fmtid="{D5CDD505-2E9C-101B-9397-08002B2CF9AE}" pid="4" name="KSOTemplateDocerSaveRecord">
    <vt:lpwstr>eyJoZGlkIjoiYTkzYTA3ZDg3NWNhYmVjODc3YmJjMjQ4MDkyZDc1NmMiLCJ1c2VySWQiOiIyNzA5NjI2ODIifQ==</vt:lpwstr>
  </property>
</Properties>
</file>