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D7B14">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22E805C9">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6B7365EF">
      <w:pPr>
        <w:pStyle w:val="5"/>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19EAD9BD">
      <w:pPr>
        <w:rPr>
          <w:rFonts w:hint="default" w:ascii="Times New Roman" w:hAnsi="Times New Roman" w:cs="Times New Roman"/>
          <w:color w:val="auto"/>
        </w:rPr>
      </w:pPr>
    </w:p>
    <w:p w14:paraId="27957ACE">
      <w:pPr>
        <w:pStyle w:val="19"/>
        <w:rPr>
          <w:rFonts w:hint="default" w:ascii="Times New Roman" w:hAnsi="Times New Roman" w:cs="Times New Roman"/>
          <w:color w:val="auto"/>
        </w:rPr>
      </w:pPr>
    </w:p>
    <w:p w14:paraId="5AD6170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46</w:t>
      </w:r>
      <w:r>
        <w:rPr>
          <w:rFonts w:hint="default" w:ascii="Times New Roman" w:hAnsi="Times New Roman" w:eastAsia="方正仿宋_GBK" w:cs="Times New Roman"/>
          <w:color w:val="auto"/>
          <w:sz w:val="32"/>
        </w:rPr>
        <w:t>号</w:t>
      </w:r>
    </w:p>
    <w:p w14:paraId="221AA9C3">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1D009DB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67923192">
      <w:pPr>
        <w:keepNext w:val="0"/>
        <w:keepLines w:val="0"/>
        <w:pageBreakBefore w:val="0"/>
        <w:kinsoku/>
        <w:wordWrap/>
        <w:topLinePunct w:val="0"/>
        <w:bidi w:val="0"/>
        <w:snapToGrid/>
        <w:spacing w:line="590" w:lineRule="exact"/>
        <w:jc w:val="center"/>
        <w:textAlignment w:val="auto"/>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玉溪市生态环境局</w:t>
      </w:r>
    </w:p>
    <w:p w14:paraId="495164A5">
      <w:pPr>
        <w:keepNext w:val="0"/>
        <w:keepLines w:val="0"/>
        <w:pageBreakBefore w:val="0"/>
        <w:kinsoku/>
        <w:wordWrap/>
        <w:topLinePunct w:val="0"/>
        <w:bidi w:val="0"/>
        <w:snapToGrid/>
        <w:spacing w:line="590" w:lineRule="exact"/>
        <w:jc w:val="center"/>
        <w:textAlignment w:val="auto"/>
        <w:rPr>
          <w:rFonts w:hint="default" w:ascii="Times New Roman" w:hAnsi="Times New Roman" w:eastAsia="方正仿宋_GBK" w:cs="Times New Roman"/>
          <w:color w:val="auto"/>
          <w:sz w:val="32"/>
        </w:rPr>
      </w:pPr>
      <w:r>
        <w:rPr>
          <w:rFonts w:hint="default" w:ascii="Times New Roman" w:hAnsi="Times New Roman" w:eastAsia="方正小标宋_GBK" w:cs="Times New Roman"/>
          <w:bCs/>
          <w:color w:val="auto"/>
          <w:sz w:val="44"/>
          <w:szCs w:val="44"/>
          <w:lang w:eastAsia="zh-CN"/>
        </w:rPr>
        <w:t>关于</w:t>
      </w:r>
      <w:r>
        <w:rPr>
          <w:rFonts w:hint="default" w:ascii="Times New Roman" w:hAnsi="Times New Roman" w:eastAsia="方正小标宋_GBK" w:cs="Times New Roman"/>
          <w:bCs/>
          <w:color w:val="auto"/>
          <w:sz w:val="44"/>
          <w:szCs w:val="44"/>
          <w:lang w:val="en-US" w:eastAsia="zh-CN"/>
        </w:rPr>
        <w:t>云南兴恒包装有限公司瓦楞纸板设备更新</w:t>
      </w:r>
      <w:r>
        <w:rPr>
          <w:rFonts w:hint="default" w:ascii="Times New Roman" w:hAnsi="Times New Roman" w:eastAsia="方正小标宋_GBK" w:cs="Times New Roman"/>
          <w:color w:val="auto"/>
          <w:spacing w:val="0"/>
          <w:w w:val="100"/>
          <w:sz w:val="44"/>
          <w:szCs w:val="44"/>
          <w:lang w:eastAsia="zh-CN"/>
        </w:rPr>
        <w:t>项目</w:t>
      </w:r>
      <w:r>
        <w:rPr>
          <w:rFonts w:hint="default" w:ascii="Times New Roman" w:hAnsi="Times New Roman" w:eastAsia="方正小标宋_GBK" w:cs="Times New Roman"/>
          <w:bCs/>
          <w:color w:val="auto"/>
          <w:sz w:val="44"/>
          <w:szCs w:val="44"/>
          <w:lang w:val="zh-CN"/>
        </w:rPr>
        <w:t>环境影响报告</w:t>
      </w:r>
      <w:r>
        <w:rPr>
          <w:rFonts w:hint="default" w:ascii="Times New Roman" w:hAnsi="Times New Roman" w:eastAsia="方正小标宋_GBK" w:cs="Times New Roman"/>
          <w:bCs/>
          <w:color w:val="auto"/>
          <w:sz w:val="44"/>
          <w:szCs w:val="44"/>
          <w:lang w:val="zh-CN" w:eastAsia="zh-CN"/>
        </w:rPr>
        <w:t>表</w:t>
      </w:r>
      <w:r>
        <w:rPr>
          <w:rFonts w:hint="default" w:ascii="Times New Roman" w:hAnsi="Times New Roman" w:eastAsia="方正小标宋_GBK" w:cs="Times New Roman"/>
          <w:bCs/>
          <w:color w:val="auto"/>
          <w:sz w:val="44"/>
          <w:szCs w:val="44"/>
          <w:lang w:val="zh-CN"/>
        </w:rPr>
        <w:t>的</w:t>
      </w:r>
      <w:r>
        <w:rPr>
          <w:rFonts w:hint="default" w:ascii="Times New Roman" w:hAnsi="Times New Roman" w:eastAsia="方正小标宋_GBK" w:cs="Times New Roman"/>
          <w:bCs/>
          <w:color w:val="auto"/>
          <w:sz w:val="44"/>
          <w:szCs w:val="44"/>
        </w:rPr>
        <w:t>批复</w:t>
      </w:r>
    </w:p>
    <w:p w14:paraId="1D866727">
      <w:pPr>
        <w:keepNext w:val="0"/>
        <w:keepLines w:val="0"/>
        <w:pageBreakBefore w:val="0"/>
        <w:widowControl w:val="0"/>
        <w:kinsoku/>
        <w:wordWrap/>
        <w:overflowPunct/>
        <w:topLinePunct/>
        <w:autoSpaceDE/>
        <w:autoSpaceDN/>
        <w:bidi w:val="0"/>
        <w:adjustRightInd/>
        <w:snapToGrid/>
        <w:spacing w:line="590" w:lineRule="exact"/>
        <w:ind w:left="0" w:leftChars="0"/>
        <w:textAlignment w:val="auto"/>
        <w:rPr>
          <w:rFonts w:hint="default" w:ascii="Times New Roman" w:hAnsi="Times New Roman" w:eastAsia="方正仿宋_GBK" w:cs="Times New Roman"/>
          <w:color w:val="auto"/>
          <w:sz w:val="32"/>
          <w:szCs w:val="32"/>
          <w:lang w:eastAsia="zh-CN"/>
        </w:rPr>
      </w:pPr>
    </w:p>
    <w:p w14:paraId="0E4780A3">
      <w:pPr>
        <w:keepNext w:val="0"/>
        <w:keepLines w:val="0"/>
        <w:pageBreakBefore w:val="0"/>
        <w:widowControl w:val="0"/>
        <w:kinsoku/>
        <w:wordWrap/>
        <w:overflowPunct/>
        <w:topLinePunct/>
        <w:autoSpaceDE/>
        <w:autoSpaceDN/>
        <w:bidi w:val="0"/>
        <w:adjustRightInd/>
        <w:snapToGrid/>
        <w:spacing w:line="590" w:lineRule="exact"/>
        <w:ind w:left="0" w:leftChars="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云南兴恒包装有限公司</w:t>
      </w:r>
      <w:r>
        <w:rPr>
          <w:rFonts w:hint="default" w:ascii="Times New Roman" w:hAnsi="Times New Roman" w:eastAsia="方正仿宋_GBK" w:cs="Times New Roman"/>
          <w:color w:val="auto"/>
          <w:sz w:val="32"/>
          <w:szCs w:val="32"/>
          <w:lang w:eastAsia="zh-CN"/>
        </w:rPr>
        <w:t>：</w:t>
      </w:r>
    </w:p>
    <w:p w14:paraId="0F7AB969">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Cs/>
          <w:color w:val="auto"/>
          <w:sz w:val="32"/>
          <w:szCs w:val="32"/>
          <w:lang w:eastAsia="zh-CN"/>
        </w:rPr>
        <w:t>你公司</w:t>
      </w:r>
      <w:r>
        <w:rPr>
          <w:rFonts w:hint="default" w:ascii="Times New Roman" w:hAnsi="Times New Roman" w:eastAsia="方正仿宋_GBK" w:cs="Times New Roman"/>
          <w:bCs/>
          <w:color w:val="auto"/>
          <w:sz w:val="32"/>
          <w:szCs w:val="32"/>
          <w:lang w:val="en-US" w:eastAsia="zh-CN"/>
        </w:rPr>
        <w:t>申请报批的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瓦楞纸板设备更新</w:t>
      </w:r>
      <w:r>
        <w:rPr>
          <w:rFonts w:hint="default" w:ascii="Times New Roman" w:hAnsi="Times New Roman" w:eastAsia="方正仿宋_GBK" w:cs="Times New Roman"/>
          <w:color w:val="auto"/>
          <w:sz w:val="32"/>
          <w:szCs w:val="32"/>
          <w:lang w:eastAsia="zh-CN"/>
        </w:rPr>
        <w:t>项目</w:t>
      </w:r>
      <w:r>
        <w:rPr>
          <w:rFonts w:hint="default" w:ascii="Times New Roman" w:hAnsi="Times New Roman" w:eastAsia="方正仿宋_GBK" w:cs="Times New Roman"/>
          <w:color w:val="auto"/>
          <w:sz w:val="32"/>
          <w:szCs w:val="32"/>
          <w:lang w:val="zh-CN" w:eastAsia="zh-CN"/>
        </w:rPr>
        <w:t>环境影响报告表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auto"/>
          <w:sz w:val="32"/>
          <w:szCs w:val="32"/>
          <w:lang w:val="en-US" w:eastAsia="zh-CN"/>
        </w:rPr>
        <w:t>（以下简称《报告表》）</w:t>
      </w:r>
      <w:r>
        <w:rPr>
          <w:rFonts w:hint="default" w:ascii="Times New Roman" w:hAnsi="Times New Roman" w:eastAsia="方正仿宋_GBK" w:cs="Times New Roman"/>
          <w:color w:val="auto"/>
          <w:sz w:val="32"/>
          <w:szCs w:val="32"/>
          <w:lang w:eastAsia="zh-CN"/>
        </w:rPr>
        <w:t>收悉。经研究，批复如下：</w:t>
      </w:r>
    </w:p>
    <w:p w14:paraId="037F1811">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一、项目基本情况</w:t>
      </w:r>
    </w:p>
    <w:p w14:paraId="63A790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该项目位于红塔区</w:t>
      </w:r>
      <w:r>
        <w:rPr>
          <w:rFonts w:hint="default" w:ascii="Times New Roman" w:hAnsi="Times New Roman" w:eastAsia="仿宋_GB2312" w:cs="Times New Roman"/>
          <w:b w:val="0"/>
          <w:bCs w:val="0"/>
          <w:color w:val="auto"/>
          <w:kern w:val="2"/>
          <w:sz w:val="32"/>
          <w:szCs w:val="32"/>
          <w:highlight w:val="none"/>
          <w:lang w:val="en-US" w:eastAsia="zh-CN" w:bidi="ar-SA"/>
        </w:rPr>
        <w:t>春和街道孙井社区太极山</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租赁云南新兴仁恒包装材料有限公司现有厂房进行建设。</w:t>
      </w:r>
      <w:r>
        <w:rPr>
          <w:rFonts w:hint="default" w:ascii="Times New Roman" w:hAnsi="Times New Roman" w:eastAsia="方正仿宋_GBK" w:cs="Times New Roman"/>
          <w:color w:val="auto"/>
          <w:sz w:val="32"/>
          <w:szCs w:val="32"/>
          <w:lang w:val="en-US" w:eastAsia="zh-CN"/>
        </w:rPr>
        <w:t>项目取得</w:t>
      </w:r>
      <w:r>
        <w:rPr>
          <w:rFonts w:hint="default" w:ascii="Times New Roman" w:hAnsi="Times New Roman" w:eastAsia="仿宋_GB2312" w:cs="Times New Roman"/>
          <w:b w:val="0"/>
          <w:bCs w:val="0"/>
          <w:color w:val="auto"/>
          <w:kern w:val="2"/>
          <w:sz w:val="32"/>
          <w:szCs w:val="32"/>
          <w:highlight w:val="none"/>
          <w:lang w:val="en-US" w:eastAsia="zh-CN" w:bidi="ar-SA"/>
        </w:rPr>
        <w:t>玉溪市红塔区发展和改革局核发的《云南省固定资产投资项目备案证》，项目代码：2511-530402-04-02-205949</w:t>
      </w:r>
      <w:r>
        <w:rPr>
          <w:rFonts w:hint="default" w:ascii="Times New Roman" w:hAnsi="Times New Roman" w:eastAsia="方正仿宋_GBK" w:cs="Times New Roman"/>
          <w:color w:val="auto"/>
          <w:sz w:val="32"/>
          <w:szCs w:val="32"/>
          <w:lang w:val="en-US" w:eastAsia="zh-CN"/>
        </w:rPr>
        <w:t>，项目总投资</w:t>
      </w:r>
      <w:r>
        <w:rPr>
          <w:rFonts w:hint="default" w:ascii="Times New Roman" w:hAnsi="Times New Roman" w:eastAsia="仿宋_GB2312" w:cs="Times New Roman"/>
          <w:b w:val="0"/>
          <w:bCs w:val="0"/>
          <w:color w:val="auto"/>
          <w:kern w:val="2"/>
          <w:sz w:val="32"/>
          <w:szCs w:val="32"/>
          <w:highlight w:val="none"/>
          <w:lang w:val="en-US" w:eastAsia="zh-CN" w:bidi="ar-SA"/>
        </w:rPr>
        <w:t>1500万元，其中环保投资45万元</w:t>
      </w:r>
      <w:r>
        <w:rPr>
          <w:rFonts w:hint="default"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lang w:val="en-US" w:eastAsia="zh-CN"/>
        </w:rPr>
        <w:t>建设内容为拆除公司原有的</w:t>
      </w:r>
      <w:r>
        <w:rPr>
          <w:rFonts w:hint="default" w:ascii="Times New Roman" w:hAnsi="Times New Roman" w:eastAsia="仿宋_GB2312" w:cs="Times New Roman"/>
          <w:b w:val="0"/>
          <w:bCs w:val="0"/>
          <w:color w:val="auto"/>
          <w:kern w:val="2"/>
          <w:sz w:val="32"/>
          <w:szCs w:val="32"/>
          <w:highlight w:val="none"/>
          <w:lang w:val="en-US" w:eastAsia="zh-CN" w:bidi="ar-SA"/>
        </w:rPr>
        <w:t>瓦楞纸板生产线、</w:t>
      </w:r>
      <w:r>
        <w:rPr>
          <w:rFonts w:hint="default" w:ascii="Times New Roman" w:hAnsi="Times New Roman" w:eastAsia="方正仿宋_GBK" w:cs="Times New Roman"/>
          <w:color w:val="auto"/>
          <w:sz w:val="32"/>
          <w:szCs w:val="32"/>
          <w:lang w:val="en-US" w:eastAsia="zh-CN"/>
        </w:rPr>
        <w:t>建设1条5层</w:t>
      </w:r>
      <w:r>
        <w:rPr>
          <w:rFonts w:hint="default" w:ascii="Times New Roman" w:hAnsi="Times New Roman" w:eastAsia="仿宋_GB2312" w:cs="Times New Roman"/>
          <w:b w:val="0"/>
          <w:bCs w:val="0"/>
          <w:color w:val="auto"/>
          <w:kern w:val="2"/>
          <w:sz w:val="32"/>
          <w:szCs w:val="32"/>
          <w:highlight w:val="none"/>
          <w:lang w:val="en-US" w:eastAsia="zh-CN" w:bidi="ar-SA"/>
        </w:rPr>
        <w:t>瓦楞</w:t>
      </w:r>
      <w:r>
        <w:rPr>
          <w:rFonts w:hint="default" w:ascii="Times New Roman" w:hAnsi="Times New Roman" w:eastAsia="方正仿宋_GBK" w:cs="Times New Roman"/>
          <w:color w:val="auto"/>
          <w:sz w:val="32"/>
          <w:szCs w:val="32"/>
          <w:lang w:val="en-US" w:eastAsia="zh-CN"/>
        </w:rPr>
        <w:t>纸板生产线、1台4吨/小时的生物质锅炉，并配套建设相应的公辅设施和环保工程，项目建成</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后，形成年产8000吨的瓦楞纸板生产规模。</w:t>
      </w:r>
    </w:p>
    <w:p w14:paraId="2B46B8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color w:val="auto"/>
          <w:sz w:val="32"/>
          <w:szCs w:val="32"/>
          <w:lang w:val="en-US"/>
        </w:rPr>
        <w:t>在全面落实</w:t>
      </w:r>
      <w:r>
        <w:rPr>
          <w:rFonts w:hint="default" w:ascii="Times New Roman" w:hAnsi="Times New Roman" w:eastAsia="方正仿宋_GBK" w:cs="Times New Roman"/>
          <w:color w:val="auto"/>
          <w:sz w:val="32"/>
          <w:szCs w:val="32"/>
          <w:lang w:val="en-US" w:eastAsia="zh-CN"/>
        </w:rPr>
        <w:t>生态环境保护法律法规、《</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表》和本批复</w:t>
      </w:r>
      <w:r>
        <w:rPr>
          <w:rFonts w:hint="default" w:ascii="Times New Roman" w:hAnsi="Times New Roman" w:eastAsia="方正仿宋_GBK" w:cs="Times New Roman"/>
          <w:color w:val="auto"/>
          <w:sz w:val="32"/>
          <w:szCs w:val="32"/>
          <w:lang w:val="en-US"/>
        </w:rPr>
        <w:t>提出的各项</w:t>
      </w:r>
      <w:r>
        <w:rPr>
          <w:rFonts w:hint="default" w:ascii="Times New Roman" w:hAnsi="Times New Roman" w:eastAsia="方正仿宋_GBK" w:cs="Times New Roman"/>
          <w:color w:val="auto"/>
          <w:sz w:val="32"/>
          <w:szCs w:val="32"/>
          <w:lang w:val="en-US" w:eastAsia="zh-CN"/>
        </w:rPr>
        <w:t>污染防治和</w:t>
      </w:r>
      <w:r>
        <w:rPr>
          <w:rFonts w:hint="default" w:ascii="Times New Roman" w:hAnsi="Times New Roman" w:eastAsia="方正仿宋_GBK" w:cs="Times New Roman"/>
          <w:color w:val="auto"/>
          <w:sz w:val="32"/>
          <w:szCs w:val="32"/>
          <w:lang w:val="en-US"/>
        </w:rPr>
        <w:t>生态保护措施</w:t>
      </w:r>
      <w:r>
        <w:rPr>
          <w:rFonts w:hint="default" w:ascii="Times New Roman" w:hAnsi="Times New Roman"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产生</w:t>
      </w:r>
      <w:r>
        <w:rPr>
          <w:rFonts w:hint="default" w:ascii="Times New Roman" w:hAnsi="Times New Roman" w:eastAsia="方正仿宋_GBK" w:cs="Times New Roman"/>
          <w:color w:val="auto"/>
          <w:sz w:val="32"/>
          <w:szCs w:val="32"/>
          <w:lang w:val="en-US"/>
        </w:rPr>
        <w:t>的不</w:t>
      </w:r>
      <w:r>
        <w:rPr>
          <w:rFonts w:hint="default" w:ascii="Times New Roman" w:hAnsi="Times New Roman" w:eastAsia="方正仿宋_GBK" w:cs="Times New Roman"/>
          <w:color w:val="auto"/>
          <w:sz w:val="32"/>
          <w:szCs w:val="32"/>
          <w:lang w:val="en-US" w:eastAsia="zh-CN"/>
        </w:rPr>
        <w:t>良生态</w:t>
      </w:r>
      <w:r>
        <w:rPr>
          <w:rFonts w:hint="default" w:ascii="Times New Roman" w:hAnsi="Times New Roman" w:eastAsia="方正仿宋_GBK" w:cs="Times New Roman"/>
          <w:color w:val="auto"/>
          <w:sz w:val="32"/>
          <w:szCs w:val="32"/>
          <w:lang w:val="en-US"/>
        </w:rPr>
        <w:t>环境影响可以得到减缓和控制，</w:t>
      </w:r>
      <w:r>
        <w:rPr>
          <w:rFonts w:hint="default" w:ascii="Times New Roman" w:hAnsi="Times New Roman" w:eastAsia="方正仿宋_GBK" w:cs="Times New Roman"/>
          <w:color w:val="auto"/>
          <w:sz w:val="32"/>
          <w:szCs w:val="32"/>
          <w:lang w:val="en-US" w:eastAsia="zh-CN"/>
        </w:rPr>
        <w:t>根据《</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表》《专家评审意见》及技术评估结论，该项目建设从生态环境保护的角度可行，</w:t>
      </w:r>
      <w:r>
        <w:rPr>
          <w:rFonts w:hint="default" w:ascii="Times New Roman" w:hAnsi="Times New Roman" w:eastAsia="方正仿宋_GBK" w:cs="Times New Roman"/>
          <w:color w:val="auto"/>
          <w:sz w:val="32"/>
          <w:szCs w:val="32"/>
          <w:lang w:val="en-US"/>
        </w:rPr>
        <w:t>我</w:t>
      </w:r>
      <w:r>
        <w:rPr>
          <w:rFonts w:hint="default" w:ascii="Times New Roman" w:hAnsi="Times New Roman" w:eastAsia="方正仿宋_GBK" w:cs="Times New Roman"/>
          <w:color w:val="auto"/>
          <w:sz w:val="32"/>
          <w:szCs w:val="32"/>
          <w:lang w:val="en-US" w:eastAsia="zh-CN"/>
        </w:rPr>
        <w:t>局原则</w:t>
      </w:r>
      <w:r>
        <w:rPr>
          <w:rFonts w:hint="default" w:ascii="Times New Roman" w:hAnsi="Times New Roman" w:eastAsia="方正仿宋_GBK" w:cs="Times New Roman"/>
          <w:color w:val="auto"/>
          <w:sz w:val="32"/>
          <w:szCs w:val="32"/>
          <w:lang w:val="en-US"/>
        </w:rPr>
        <w:t>同意</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表》的环境影响评价结论和拟采取的各项生态环境</w:t>
      </w:r>
      <w:bookmarkStart w:id="0" w:name="_GoBack"/>
      <w:bookmarkEnd w:id="0"/>
      <w:r>
        <w:rPr>
          <w:rFonts w:hint="default" w:ascii="Times New Roman" w:hAnsi="Times New Roman" w:eastAsia="方正仿宋_GBK" w:cs="Times New Roman"/>
          <w:color w:val="auto"/>
          <w:sz w:val="32"/>
          <w:szCs w:val="32"/>
          <w:lang w:val="en-US" w:eastAsia="zh-CN"/>
        </w:rPr>
        <w:t>保护措施</w:t>
      </w:r>
    </w:p>
    <w:p w14:paraId="608C44D8">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二、项目设计、建设和运营过程中应重点做好的工作</w:t>
      </w:r>
    </w:p>
    <w:p w14:paraId="3C2AC9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vertAlign w:val="baseline"/>
          <w:lang w:val="en-US" w:eastAsia="zh-CN"/>
        </w:rPr>
      </w:pP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kern w:val="0"/>
          <w:sz w:val="32"/>
          <w:szCs w:val="32"/>
          <w:lang w:val="en-US" w:eastAsia="zh-CN"/>
        </w:rPr>
        <w:t>加强施工期环境管理，严格落实施工期各项环保措施。</w:t>
      </w:r>
      <w:r>
        <w:rPr>
          <w:rFonts w:hint="default" w:ascii="Times New Roman" w:hAnsi="Times New Roman" w:eastAsia="方正仿宋_GBK" w:cs="Times New Roman"/>
          <w:sz w:val="32"/>
          <w:szCs w:val="32"/>
          <w:lang w:val="en-US" w:eastAsia="zh-CN"/>
        </w:rPr>
        <w:t>施工期采取洒水降尘、道路清扫、物料遮盖、封闭车辆运输、合理安排施工时间等措施减缓对周围环境的不良影响；</w:t>
      </w:r>
      <w:r>
        <w:rPr>
          <w:rFonts w:hint="default" w:ascii="Times New Roman" w:hAnsi="Times New Roman" w:eastAsia="方正仿宋_GBK" w:cs="Times New Roman"/>
          <w:bCs/>
          <w:color w:val="000000"/>
          <w:sz w:val="32"/>
          <w:szCs w:val="32"/>
          <w:lang w:val="en-US" w:eastAsia="zh-CN"/>
        </w:rPr>
        <w:t>确保项目施工扬尘无组织排放浓度达到《大气污染物综合排放标准》（GB16297-1996）规定的要求，</w:t>
      </w:r>
      <w:r>
        <w:rPr>
          <w:rFonts w:hint="default" w:ascii="Times New Roman" w:hAnsi="Times New Roman" w:eastAsia="方正仿宋_GBK" w:cs="Times New Roman"/>
          <w:bCs/>
          <w:color w:val="000000"/>
          <w:sz w:val="32"/>
          <w:szCs w:val="32"/>
          <w:vertAlign w:val="baseline"/>
          <w:lang w:val="en-US" w:eastAsia="zh-CN"/>
        </w:rPr>
        <w:t>施工噪声达到《建筑施工噪声排放标准》（GB12523-2025）规定的要求。</w:t>
      </w:r>
    </w:p>
    <w:p w14:paraId="5EE6373D">
      <w:pPr>
        <w:keepNext w:val="0"/>
        <w:keepLines w:val="0"/>
        <w:pageBreakBefore w:val="0"/>
        <w:widowControl w:val="0"/>
        <w:kinsoku/>
        <w:wordWrap/>
        <w:overflowPunct/>
        <w:autoSpaceDE/>
        <w:autoSpaceDN/>
        <w:bidi w:val="0"/>
        <w:spacing w:line="590" w:lineRule="exact"/>
        <w:ind w:firstLine="640" w:firstLineChars="200"/>
        <w:jc w:val="left"/>
        <w:textAlignment w:val="auto"/>
        <w:rPr>
          <w:rFonts w:hint="default" w:ascii="Times New Roman" w:hAnsi="Times New Roman" w:eastAsia="方正仿宋_GBK" w:cs="Times New Roman"/>
          <w:color w:val="auto"/>
          <w:spacing w:val="0"/>
          <w:w w:val="100"/>
          <w:kern w:val="2"/>
          <w:sz w:val="32"/>
          <w:szCs w:val="32"/>
          <w:highlight w:val="none"/>
          <w:lang w:val="en-US" w:eastAsia="zh-CN" w:bidi="ar"/>
        </w:rPr>
      </w:pPr>
      <w:r>
        <w:rPr>
          <w:rFonts w:hint="default" w:ascii="Times New Roman" w:hAnsi="Times New Roman" w:eastAsia="方正仿宋_GBK" w:cs="Times New Roman"/>
          <w:color w:val="auto"/>
          <w:sz w:val="32"/>
          <w:szCs w:val="32"/>
        </w:rPr>
        <w:t>（二）</w:t>
      </w:r>
      <w:r>
        <w:rPr>
          <w:rFonts w:hint="default" w:ascii="Times New Roman" w:hAnsi="Times New Roman" w:eastAsia="方正楷体_GBK" w:cs="Times New Roman"/>
          <w:color w:val="auto"/>
          <w:kern w:val="0"/>
          <w:sz w:val="32"/>
          <w:szCs w:val="32"/>
          <w:lang w:val="en-US" w:eastAsia="zh-CN"/>
        </w:rPr>
        <w:t>严格落实水污染防治措施。</w:t>
      </w:r>
      <w:r>
        <w:rPr>
          <w:rFonts w:hint="default" w:ascii="Times New Roman" w:hAnsi="Times New Roman" w:eastAsia="方正仿宋_GBK" w:cs="Times New Roman"/>
          <w:bCs/>
          <w:color w:val="000000"/>
          <w:sz w:val="32"/>
          <w:szCs w:val="32"/>
          <w:lang w:val="en-US" w:eastAsia="zh-CN"/>
        </w:rPr>
        <w:t>按照雨污分流、清污分流原则，建设排水和回用系统</w:t>
      </w:r>
      <w:r>
        <w:rPr>
          <w:rFonts w:hint="default" w:ascii="Times New Roman" w:hAnsi="Times New Roman" w:eastAsia="方正仿宋_GBK" w:cs="Times New Roman"/>
          <w:color w:val="auto"/>
          <w:sz w:val="32"/>
          <w:szCs w:val="32"/>
          <w:lang w:val="en-US" w:eastAsia="zh-CN"/>
        </w:rPr>
        <w:t>，确保满足</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废水处理、</w:t>
      </w:r>
      <w:r>
        <w:rPr>
          <w:rFonts w:hint="default" w:ascii="Times New Roman" w:hAnsi="Times New Roman" w:eastAsia="方正仿宋_GBK" w:cs="Times New Roman"/>
          <w:color w:val="auto"/>
          <w:sz w:val="32"/>
          <w:szCs w:val="32"/>
          <w:lang w:val="en-US"/>
        </w:rPr>
        <w:t>回用</w:t>
      </w:r>
      <w:r>
        <w:rPr>
          <w:rFonts w:hint="default" w:ascii="Times New Roman" w:hAnsi="Times New Roman" w:eastAsia="方正仿宋_GBK" w:cs="Times New Roman"/>
          <w:color w:val="auto"/>
          <w:sz w:val="32"/>
          <w:szCs w:val="32"/>
          <w:lang w:val="en-US" w:eastAsia="zh-CN"/>
        </w:rPr>
        <w:t>的要求。</w:t>
      </w:r>
      <w:r>
        <w:rPr>
          <w:rFonts w:hint="default" w:ascii="Times New Roman" w:hAnsi="Times New Roman" w:eastAsia="方正仿宋_GBK" w:cs="Times New Roman"/>
          <w:color w:val="auto"/>
          <w:spacing w:val="0"/>
          <w:w w:val="100"/>
          <w:kern w:val="2"/>
          <w:sz w:val="32"/>
          <w:szCs w:val="32"/>
          <w:highlight w:val="none"/>
          <w:lang w:val="en-US" w:eastAsia="zh-CN" w:bidi="ar"/>
        </w:rPr>
        <w:t>项目产生的制胶、糊胶设备清洗废水经收集后全部回用于制胶用水，不得外排；产生的生活污水、锅炉软水制备废水、锅炉排污水、车间清洁废水经收集后，依托</w:t>
      </w:r>
      <w:r>
        <w:rPr>
          <w:rFonts w:hint="default" w:ascii="Times New Roman" w:hAnsi="Times New Roman" w:eastAsia="仿宋_GB2312" w:cs="Times New Roman"/>
          <w:b w:val="0"/>
          <w:bCs w:val="0"/>
          <w:color w:val="auto"/>
          <w:kern w:val="2"/>
          <w:sz w:val="32"/>
          <w:szCs w:val="32"/>
          <w:highlight w:val="none"/>
          <w:lang w:val="en-US" w:eastAsia="zh-CN" w:bidi="ar-SA"/>
        </w:rPr>
        <w:t>云南新兴仁恒包装材料有限公司</w:t>
      </w:r>
      <w:r>
        <w:rPr>
          <w:rFonts w:hint="default" w:ascii="Times New Roman" w:hAnsi="Times New Roman" w:eastAsia="方正仿宋_GBK" w:cs="Times New Roman"/>
          <w:color w:val="auto"/>
          <w:spacing w:val="0"/>
          <w:w w:val="100"/>
          <w:kern w:val="2"/>
          <w:sz w:val="32"/>
          <w:szCs w:val="32"/>
          <w:highlight w:val="none"/>
          <w:lang w:val="en-US" w:eastAsia="zh-CN" w:bidi="ar"/>
        </w:rPr>
        <w:t>污水处理站处理，达到《城市污水再生利用 城市杂用水水质》（GB/T18920-2020）规定的相应标准后，全部回用于厂区绿化及洒水降尘等，严禁外排。</w:t>
      </w:r>
    </w:p>
    <w:p w14:paraId="2DFB1528">
      <w:pPr>
        <w:spacing w:line="590" w:lineRule="exact"/>
        <w:ind w:firstLine="620" w:firstLineChars="194"/>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color w:val="auto"/>
          <w:kern w:val="2"/>
          <w:sz w:val="32"/>
          <w:szCs w:val="32"/>
          <w:lang w:val="en-US" w:eastAsia="zh-CN" w:bidi="ar-SA"/>
        </w:rPr>
        <w:t>（三）</w:t>
      </w:r>
      <w:r>
        <w:rPr>
          <w:rFonts w:hint="eastAsia" w:ascii="方正楷体_GBK" w:hAnsi="方正楷体_GBK" w:eastAsia="方正楷体_GBK" w:cs="方正楷体_GBK"/>
          <w:color w:val="auto"/>
          <w:sz w:val="32"/>
          <w:szCs w:val="32"/>
          <w:lang w:val="en-US" w:eastAsia="zh-CN"/>
        </w:rPr>
        <w:t>加强废气污染防治，确保大气污染物达标排放。</w:t>
      </w:r>
      <w:r>
        <w:rPr>
          <w:rFonts w:hint="default" w:ascii="Times New Roman" w:hAnsi="Times New Roman" w:eastAsia="方正仿宋_GBK" w:cs="Times New Roman"/>
          <w:color w:val="auto"/>
          <w:kern w:val="2"/>
          <w:sz w:val="32"/>
          <w:szCs w:val="32"/>
          <w:lang w:val="en-US" w:eastAsia="zh-CN" w:bidi="ar-SA"/>
        </w:rPr>
        <w:t>项目生物质锅炉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须使用合格的成型生物质燃料，锅炉排放的废气经多管旋风除尘+布袋除尘器处理后，由1根不低于35米高的排气筒排放，确保锅炉排放的颗粒物、二氧化硫、氮氧化物浓度达到《锅炉大气污染物排放标准》（GB13271</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2014）表2规定的燃煤锅炉排放限值的要求；加强全厂物料储存、输送及生产过程中无组织排放废气的控制，确保厂界颗粒物无组织</w:t>
      </w:r>
      <w:r>
        <w:rPr>
          <w:rFonts w:hint="default" w:ascii="Times New Roman" w:hAnsi="Times New Roman" w:eastAsia="方正仿宋_GBK" w:cs="Times New Roman"/>
          <w:color w:val="000000" w:themeColor="text1"/>
          <w:sz w:val="32"/>
          <w:szCs w:val="32"/>
          <w:highlight w:val="none"/>
          <w:lang w:val="zh-CN" w:eastAsia="zh-CN"/>
          <w14:textFill>
            <w14:solidFill>
              <w14:schemeClr w14:val="tx1"/>
            </w14:solidFill>
          </w14:textFill>
        </w:rPr>
        <w:t>排放浓度达到</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《大气污染物综合排放标准》（GB16297-1996）中表2规定的无组织监控浓度限值要求。</w:t>
      </w:r>
    </w:p>
    <w:p w14:paraId="034A37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楷体_GBK" w:cs="Times New Roman"/>
          <w:bCs/>
          <w:color w:val="000000"/>
          <w:sz w:val="32"/>
          <w:szCs w:val="32"/>
        </w:rPr>
        <w:t>（</w:t>
      </w:r>
      <w:r>
        <w:rPr>
          <w:rFonts w:hint="default" w:ascii="Times New Roman" w:hAnsi="Times New Roman" w:eastAsia="方正楷体_GBK" w:cs="Times New Roman"/>
          <w:bCs/>
          <w:color w:val="000000"/>
          <w:sz w:val="32"/>
          <w:szCs w:val="32"/>
          <w:lang w:eastAsia="zh-CN"/>
        </w:rPr>
        <w:t>四</w:t>
      </w:r>
      <w:r>
        <w:rPr>
          <w:rFonts w:hint="default" w:ascii="Times New Roman" w:hAnsi="Times New Roman" w:eastAsia="方正楷体_GBK" w:cs="Times New Roman"/>
          <w:bCs/>
          <w:color w:val="000000"/>
          <w:sz w:val="32"/>
          <w:szCs w:val="32"/>
        </w:rPr>
        <w:t>）</w:t>
      </w:r>
      <w:r>
        <w:rPr>
          <w:rFonts w:hint="default" w:ascii="Times New Roman" w:hAnsi="Times New Roman" w:eastAsia="方正楷体_GBK" w:cs="Times New Roman"/>
          <w:bCs/>
          <w:color w:val="000000"/>
          <w:sz w:val="32"/>
          <w:szCs w:val="32"/>
          <w:lang w:val="en-US" w:eastAsia="zh-CN"/>
        </w:rPr>
        <w:t>严格落实噪声污染防治措施。</w:t>
      </w:r>
      <w:r>
        <w:rPr>
          <w:rFonts w:hint="default" w:ascii="Times New Roman" w:hAnsi="Times New Roman" w:eastAsia="方正仿宋_GBK" w:cs="Times New Roman"/>
          <w:bCs/>
          <w:color w:val="000000"/>
          <w:sz w:val="32"/>
          <w:szCs w:val="32"/>
          <w:lang w:val="en-US" w:eastAsia="zh-CN"/>
        </w:rPr>
        <w:t>厂区合理布局，选用低噪声设备，通过采取基础减震、距离衰减、厂房隔声、安装消声器、合理布置高噪声设备、加强绿化等措施，确保项目厂界噪声满足《工业企业厂界环境噪声排放标准》（GB12348-2008）2类标准要求。</w:t>
      </w:r>
    </w:p>
    <w:p w14:paraId="73268A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Cs/>
          <w:color w:val="000000"/>
          <w:sz w:val="32"/>
          <w:szCs w:val="32"/>
        </w:rPr>
        <w:t>（</w:t>
      </w:r>
      <w:r>
        <w:rPr>
          <w:rFonts w:hint="default" w:ascii="Times New Roman" w:hAnsi="Times New Roman" w:eastAsia="方正楷体_GBK" w:cs="Times New Roman"/>
          <w:bCs/>
          <w:color w:val="000000"/>
          <w:sz w:val="32"/>
          <w:szCs w:val="32"/>
          <w:lang w:eastAsia="zh-CN"/>
        </w:rPr>
        <w:t>五</w:t>
      </w:r>
      <w:r>
        <w:rPr>
          <w:rFonts w:hint="default" w:ascii="Times New Roman" w:hAnsi="Times New Roman" w:eastAsia="方正楷体_GBK" w:cs="Times New Roman"/>
          <w:bCs/>
          <w:color w:val="000000"/>
          <w:sz w:val="32"/>
          <w:szCs w:val="32"/>
        </w:rPr>
        <w:t>）</w:t>
      </w:r>
      <w:r>
        <w:rPr>
          <w:rFonts w:hint="default" w:ascii="Times New Roman" w:hAnsi="Times New Roman" w:eastAsia="方正楷体_GBK" w:cs="Times New Roman"/>
          <w:b w:val="0"/>
          <w:bCs/>
          <w:color w:val="000000"/>
          <w:sz w:val="32"/>
          <w:szCs w:val="32"/>
          <w:lang w:val="en-US" w:eastAsia="zh-CN"/>
        </w:rPr>
        <w:t>严格落实固体废物污染防治措施。</w:t>
      </w:r>
      <w:r>
        <w:rPr>
          <w:rFonts w:hint="default" w:ascii="Times New Roman" w:hAnsi="Times New Roman" w:eastAsia="方正仿宋_GBK" w:cs="Times New Roman"/>
          <w:bCs/>
          <w:color w:val="000000"/>
          <w:sz w:val="32"/>
          <w:szCs w:val="32"/>
          <w:lang w:val="en-US" w:eastAsia="zh-CN"/>
        </w:rPr>
        <w:t>按照减量化、资源化、无害化原则，对固体废物进行分类收集、处理处置。</w:t>
      </w:r>
      <w:r>
        <w:rPr>
          <w:rFonts w:hint="default" w:ascii="Times New Roman" w:hAnsi="Times New Roman" w:eastAsia="方正仿宋_GBK" w:cs="Times New Roman"/>
          <w:sz w:val="32"/>
          <w:szCs w:val="32"/>
          <w:lang w:val="en-US" w:eastAsia="zh-CN"/>
        </w:rPr>
        <w:t>固体废物应尽量进行综</w:t>
      </w:r>
      <w:r>
        <w:rPr>
          <w:rFonts w:hint="default" w:ascii="Times New Roman" w:hAnsi="Times New Roman" w:eastAsia="方正仿宋_GBK" w:cs="Times New Roman"/>
          <w:bCs/>
          <w:color w:val="000000"/>
          <w:sz w:val="32"/>
          <w:szCs w:val="32"/>
          <w:lang w:val="en-US" w:eastAsia="zh-CN"/>
        </w:rPr>
        <w:t>合利用，一般固体废物按照《一般工业固体废物贮存和填埋污染控制标准》（GB18599-2020）要求管理</w:t>
      </w:r>
      <w:r>
        <w:rPr>
          <w:rFonts w:hint="default" w:ascii="Times New Roman" w:hAnsi="Times New Roman" w:eastAsia="方正仿宋_GBK" w:cs="Times New Roman"/>
          <w:bCs/>
          <w:color w:val="000000"/>
          <w:sz w:val="32"/>
          <w:szCs w:val="32"/>
          <w:lang w:val="zh-CN" w:eastAsia="zh-CN"/>
        </w:rPr>
        <w:t>；</w:t>
      </w:r>
      <w:r>
        <w:rPr>
          <w:rFonts w:hint="default" w:ascii="Times New Roman" w:hAnsi="Times New Roman" w:eastAsia="方正仿宋_GBK" w:cs="Times New Roman"/>
          <w:color w:val="auto"/>
          <w:sz w:val="32"/>
          <w:szCs w:val="32"/>
        </w:rPr>
        <w:t>废</w:t>
      </w:r>
      <w:r>
        <w:rPr>
          <w:rFonts w:hint="default" w:ascii="Times New Roman" w:hAnsi="Times New Roman" w:eastAsia="方正仿宋_GBK" w:cs="Times New Roman"/>
          <w:color w:val="auto"/>
          <w:sz w:val="32"/>
          <w:szCs w:val="32"/>
          <w:lang w:val="en-US" w:eastAsia="zh-CN"/>
        </w:rPr>
        <w:t>润滑油</w:t>
      </w:r>
      <w:r>
        <w:rPr>
          <w:rFonts w:hint="default" w:ascii="Times New Roman" w:hAnsi="Times New Roman" w:eastAsia="方正仿宋_GBK" w:cs="Times New Roman"/>
          <w:color w:val="auto"/>
          <w:sz w:val="32"/>
          <w:szCs w:val="32"/>
        </w:rPr>
        <w:t>、废油桶等危险废物收集后暂存于危废暂存间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000000"/>
          <w:sz w:val="32"/>
          <w:szCs w:val="32"/>
          <w:lang w:val="en-US" w:eastAsia="zh-CN"/>
        </w:rPr>
        <w:t>危险废物严格按照国家有关规定进行收集、运输、暂存、处置和管理，建立管理台账，存档备查，危险废物暂存间须按照《危险废物贮存污染控制标准》（GB18597-2023）要求进行建设和管理，危险废物必须委托有资质的单位定期进行处置，严格执行《危险废物转移管理办法》及相关要求，强化各环节的环境保护措施，防止管理不当造成的二次污染。</w:t>
      </w:r>
    </w:p>
    <w:p w14:paraId="287325E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（六）</w:t>
      </w:r>
      <w:r>
        <w:rPr>
          <w:rFonts w:hint="default" w:ascii="Times New Roman" w:hAnsi="Times New Roman" w:eastAsia="方正楷体_GBK" w:cs="Times New Roman"/>
          <w:sz w:val="32"/>
          <w:szCs w:val="32"/>
          <w:lang w:val="en-US" w:eastAsia="zh-CN"/>
        </w:rPr>
        <w:t>落实地下水和土壤污染防治措施。</w:t>
      </w:r>
      <w:r>
        <w:rPr>
          <w:rFonts w:hint="default" w:ascii="Times New Roman" w:hAnsi="Times New Roman" w:eastAsia="方正仿宋_GBK" w:cs="Times New Roman"/>
          <w:sz w:val="32"/>
          <w:szCs w:val="32"/>
          <w:lang w:val="en-US" w:eastAsia="zh-CN"/>
        </w:rPr>
        <w:t>按照源头控制、分区防治、污染监控、应急响应原则进行地下水污染防治；</w:t>
      </w:r>
      <w:r>
        <w:rPr>
          <w:rFonts w:hint="default" w:ascii="Times New Roman" w:hAnsi="Times New Roman" w:eastAsia="方正仿宋_GBK" w:cs="Times New Roman"/>
          <w:sz w:val="32"/>
          <w:szCs w:val="32"/>
          <w:lang w:val="en-US"/>
        </w:rPr>
        <w:t>严格按照《报告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rPr>
        <w:t>》提出的分区防渗措施和要求，对项目</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rPr>
        <w:t>防渗区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一般防渗区和简单防渗区进行防渗处理，防止地下水污染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防渗工程结束</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rPr>
        <w:t>自行组织验收并建立健全相关工作台账记录，存档备查</w:t>
      </w:r>
      <w:r>
        <w:rPr>
          <w:rFonts w:hint="default" w:ascii="Times New Roman" w:hAnsi="Times New Roman" w:eastAsia="方正仿宋_GBK" w:cs="Times New Roman"/>
          <w:sz w:val="32"/>
          <w:szCs w:val="32"/>
          <w:lang w:val="en-US" w:eastAsia="zh-CN"/>
        </w:rPr>
        <w:t>；严格按照《环境影响评价技术导则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36A9A30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（七）</w:t>
      </w:r>
      <w:r>
        <w:rPr>
          <w:rFonts w:hint="default" w:ascii="Times New Roman" w:hAnsi="Times New Roman" w:eastAsia="方正楷体_GBK" w:cs="Times New Roman"/>
          <w:sz w:val="32"/>
          <w:szCs w:val="32"/>
          <w:lang w:val="en-US" w:eastAsia="zh-CN"/>
        </w:rPr>
        <w:t>加强环境风险防范和管理。</w:t>
      </w:r>
      <w:r>
        <w:rPr>
          <w:rFonts w:hint="default" w:ascii="Times New Roman" w:hAnsi="Times New Roman" w:eastAsia="方正仿宋_GBK" w:cs="Times New Roman"/>
          <w:sz w:val="32"/>
          <w:szCs w:val="32"/>
          <w:lang w:val="en-US" w:eastAsia="zh-CN"/>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红塔分局备案。</w:t>
      </w:r>
    </w:p>
    <w:p w14:paraId="19AA21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lang w:val="en-US" w:eastAsia="zh-CN"/>
        </w:rPr>
      </w:pPr>
      <w:r>
        <w:rPr>
          <w:rFonts w:hint="eastAsia" w:ascii="方正楷体_GBK" w:hAnsi="方正楷体_GBK" w:eastAsia="方正楷体_GBK" w:cs="方正楷体_GBK"/>
          <w:sz w:val="32"/>
          <w:szCs w:val="32"/>
          <w:lang w:val="en-US" w:eastAsia="zh-CN"/>
        </w:rPr>
        <w:t>（八）切实做好环保设施的日常维护和管理，落实环境风险防范措施，确保污染物长期稳定达标排放，杜绝事故性排放。</w:t>
      </w:r>
    </w:p>
    <w:p w14:paraId="05AB6E7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黑体" w:cs="Times New Roman"/>
          <w:b/>
          <w:bCs w:val="0"/>
          <w:color w:val="000000"/>
          <w:sz w:val="32"/>
          <w:szCs w:val="32"/>
          <w:lang w:eastAsia="zh-CN"/>
        </w:rPr>
        <w:t>三</w:t>
      </w:r>
      <w:r>
        <w:rPr>
          <w:rFonts w:hint="default"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Cs/>
          <w:color w:val="000000"/>
          <w:sz w:val="32"/>
          <w:szCs w:val="32"/>
          <w:lang w:eastAsia="zh-CN"/>
        </w:rPr>
        <w:t>在项目发生实际排污行为之前，应按照《排污许可管理条例》规定办理排污许可手续，未取得排污许可手续不得排放污染物，项目运行须符合排污许可管理的相关要求，</w:t>
      </w:r>
      <w:r>
        <w:rPr>
          <w:rFonts w:hint="default" w:ascii="Times New Roman" w:hAnsi="Times New Roman" w:eastAsia="方正仿宋_GBK" w:cs="Times New Roman"/>
          <w:bCs/>
          <w:color w:val="000000"/>
          <w:sz w:val="32"/>
          <w:szCs w:val="32"/>
          <w:lang w:val="en-US" w:eastAsia="zh-CN"/>
        </w:rPr>
        <w:t>按照信息公开相关规定，主动向社会公开污染源监测等相关信息。</w:t>
      </w:r>
    </w:p>
    <w:p w14:paraId="088DC53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color w:val="000000"/>
          <w:sz w:val="32"/>
          <w:szCs w:val="32"/>
          <w:lang w:eastAsia="zh-CN"/>
        </w:rPr>
        <w:t>四、</w:t>
      </w:r>
      <w:r>
        <w:rPr>
          <w:rFonts w:hint="default" w:ascii="Times New Roman" w:hAnsi="Times New Roman" w:eastAsia="方正仿宋_GBK" w:cs="Times New Roman"/>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smallCaps w:val="0"/>
          <w:color w:val="auto"/>
          <w:sz w:val="32"/>
          <w:szCs w:val="32"/>
        </w:rPr>
        <w:t>环境保护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制度；项目正式投运前，应当按照规定的标准和程序，自行组织开展竣工环境保护验收，经验收合格后方可正式投入生产。</w:t>
      </w:r>
    </w:p>
    <w:p w14:paraId="1BC6A4E5">
      <w:pPr>
        <w:pStyle w:val="9"/>
        <w:spacing w:line="590" w:lineRule="exact"/>
        <w:ind w:firstLine="640" w:firstLineChars="200"/>
        <w:rPr>
          <w:rFonts w:hint="default" w:ascii="Times New Roman" w:hAnsi="Times New Roman" w:cs="Times New Roman"/>
          <w:lang w:val="en-US" w:eastAsia="zh-CN"/>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仿宋_GBK" w:cs="Times New Roman"/>
          <w:sz w:val="32"/>
          <w:szCs w:val="32"/>
          <w:lang w:val="en-US" w:eastAsia="zh-CN"/>
        </w:rPr>
        <w:t>、该项目大气主要污染物排放总量指标初步核定为：</w:t>
      </w:r>
      <w:r>
        <w:rPr>
          <w:rFonts w:hint="default" w:ascii="Times New Roman" w:hAnsi="Times New Roman" w:eastAsia="仿宋_GB2312" w:cs="Times New Roman"/>
          <w:color w:val="auto"/>
          <w:kern w:val="2"/>
          <w:sz w:val="32"/>
          <w:szCs w:val="32"/>
          <w:highlight w:val="none"/>
          <w:lang w:val="en-US" w:eastAsia="zh-CN" w:bidi="ar-SA"/>
        </w:rPr>
        <w:t>二氧化硫0.27</w:t>
      </w:r>
      <w:r>
        <w:rPr>
          <w:rFonts w:hint="eastAsia" w:ascii="Times New Roman" w:hAnsi="Times New Roman" w:eastAsia="仿宋_GB2312" w:cs="Times New Roman"/>
          <w:color w:val="auto"/>
          <w:kern w:val="2"/>
          <w:sz w:val="32"/>
          <w:szCs w:val="32"/>
          <w:highlight w:val="none"/>
          <w:lang w:val="en-US" w:eastAsia="zh-CN" w:bidi="ar-SA"/>
        </w:rPr>
        <w:t>吨/年</w:t>
      </w:r>
      <w:r>
        <w:rPr>
          <w:rFonts w:hint="default" w:ascii="Times New Roman" w:hAnsi="Times New Roman" w:eastAsia="仿宋_GB2312" w:cs="Times New Roman"/>
          <w:color w:val="auto"/>
          <w:kern w:val="2"/>
          <w:sz w:val="32"/>
          <w:szCs w:val="32"/>
          <w:highlight w:val="none"/>
          <w:lang w:val="en-US" w:eastAsia="zh-CN" w:bidi="ar-SA"/>
        </w:rPr>
        <w:t>、氮氧化物1.81</w:t>
      </w:r>
      <w:r>
        <w:rPr>
          <w:rFonts w:hint="eastAsia" w:ascii="Times New Roman" w:hAnsi="Times New Roman" w:eastAsia="仿宋_GB2312" w:cs="Times New Roman"/>
          <w:color w:val="auto"/>
          <w:kern w:val="2"/>
          <w:sz w:val="32"/>
          <w:szCs w:val="32"/>
          <w:highlight w:val="none"/>
          <w:lang w:val="en-US" w:eastAsia="zh-CN" w:bidi="ar-SA"/>
        </w:rPr>
        <w:t>吨/年</w:t>
      </w:r>
      <w:r>
        <w:rPr>
          <w:rFonts w:hint="default" w:ascii="Times New Roman" w:hAnsi="Times New Roman" w:eastAsia="仿宋_GB2312" w:cs="Times New Roman"/>
          <w:color w:val="auto"/>
          <w:kern w:val="2"/>
          <w:sz w:val="32"/>
          <w:szCs w:val="32"/>
          <w:highlight w:val="none"/>
          <w:lang w:val="en-US" w:eastAsia="zh-CN" w:bidi="ar-SA"/>
        </w:rPr>
        <w:t>，由玉溪市生态环境局红塔分局纳入</w:t>
      </w:r>
      <w:r>
        <w:rPr>
          <w:rFonts w:hint="default" w:ascii="Times New Roman" w:hAnsi="Times New Roman" w:eastAsia="方正仿宋_GBK" w:cs="Times New Roman"/>
          <w:sz w:val="32"/>
          <w:szCs w:val="32"/>
          <w:lang w:val="en-US" w:eastAsia="zh-CN"/>
        </w:rPr>
        <w:t>主要污染物排放总量控制计划。</w:t>
      </w:r>
    </w:p>
    <w:p w14:paraId="2EF940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黑体_GBK" w:cs="Times New Roman"/>
          <w:bCs/>
          <w:color w:val="000000"/>
          <w:sz w:val="32"/>
          <w:szCs w:val="32"/>
          <w:lang w:val="en-US" w:eastAsia="zh-CN"/>
        </w:rPr>
        <w:t>六、</w:t>
      </w:r>
      <w:r>
        <w:rPr>
          <w:rFonts w:hint="default" w:ascii="Times New Roman" w:hAnsi="Times New Roman" w:eastAsia="方正仿宋_GBK" w:cs="Times New Roman"/>
          <w:bCs/>
          <w:color w:val="000000"/>
          <w:sz w:val="32"/>
          <w:szCs w:val="32"/>
        </w:rPr>
        <w:t>《报告表》经批准后，如工程的性质、规模、工艺、地点或者防治污染、防止生态破坏的措施发生重大变动的，应当重新报批环境影响评价文件</w:t>
      </w:r>
      <w:r>
        <w:rPr>
          <w:rFonts w:hint="default" w:ascii="Times New Roman" w:hAnsi="Times New Roman" w:eastAsia="方正仿宋_GBK" w:cs="Times New Roman"/>
          <w:bCs/>
          <w:color w:val="000000"/>
          <w:sz w:val="32"/>
          <w:szCs w:val="32"/>
          <w:lang w:eastAsia="zh-CN"/>
        </w:rPr>
        <w:t>。</w:t>
      </w:r>
    </w:p>
    <w:p w14:paraId="67A62B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黑体_GBK" w:cs="Times New Roman"/>
          <w:bCs/>
          <w:color w:val="000000"/>
          <w:sz w:val="32"/>
          <w:szCs w:val="32"/>
          <w:lang w:eastAsia="zh-CN"/>
        </w:rPr>
        <w:t>七、</w:t>
      </w:r>
      <w:r>
        <w:rPr>
          <w:rFonts w:hint="default" w:ascii="Times New Roman" w:hAnsi="Times New Roman" w:eastAsia="方正仿宋_GBK" w:cs="Times New Roman"/>
          <w:bCs/>
          <w:color w:val="000000"/>
          <w:sz w:val="32"/>
          <w:szCs w:val="32"/>
          <w:lang w:val="en-US" w:eastAsia="zh-CN"/>
        </w:rPr>
        <w:t>玉溪市生态环境保护综合行政执法支队、玉溪市生态环境局红塔分局要切实承担事中事后监管责任，履行属地监管职责，按照相关法律法规及《关于进一步完善建设项目环境保护</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三同时</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及竣工环境保护自主验收监管工作机制的意见》（环执法〔2021〕70号）要求，加强对该项目环境保护</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三同时</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及自主验收的监管。</w:t>
      </w:r>
    </w:p>
    <w:p w14:paraId="14D4F9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宋体" w:cs="Times New Roman"/>
          <w:sz w:val="32"/>
          <w:szCs w:val="32"/>
        </w:rPr>
      </w:pPr>
    </w:p>
    <w:p w14:paraId="0A667AA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0A75FBEE">
      <w:pPr>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方正仿宋_GBK" w:cs="Times New Roman"/>
          <w:sz w:val="32"/>
          <w:szCs w:val="32"/>
        </w:rPr>
        <w:t>202</w:t>
      </w:r>
      <w:r>
        <w:rPr>
          <w:rFonts w:hint="default"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23</w:t>
      </w:r>
      <w:r>
        <w:rPr>
          <w:rFonts w:hint="default" w:eastAsia="方正仿宋_GBK" w:cs="Times New Roman"/>
          <w:sz w:val="32"/>
          <w:szCs w:val="32"/>
          <w:lang w:val="en-US" w:eastAsia="zh-CN"/>
        </w:rPr>
        <w:t>日</w:t>
      </w:r>
    </w:p>
    <w:p w14:paraId="7779A196">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D56EEF4">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3D58B3A2">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D555A9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471B1E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9BC054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98AC6F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3BAD0C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8EE1E2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DB6D3E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68A1BF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6FD5AA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672AF2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571023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0CA6CCC">
      <w:pPr>
        <w:keepNext w:val="0"/>
        <w:keepLines w:val="0"/>
        <w:pageBreakBefore w:val="0"/>
        <w:widowControl/>
        <w:suppressLineNumbers w:val="0"/>
        <w:kinsoku/>
        <w:wordWrap/>
        <w:overflowPunct/>
        <w:topLinePunct w:val="0"/>
        <w:autoSpaceDE/>
        <w:autoSpaceDN/>
        <w:bidi w:val="0"/>
        <w:adjustRightInd/>
        <w:snapToGrid/>
        <w:spacing w:line="510" w:lineRule="exact"/>
        <w:ind w:left="1119" w:leftChars="133" w:right="279" w:rightChars="133" w:hanging="840" w:hangingChars="300"/>
        <w:jc w:val="left"/>
        <w:textAlignment w:val="auto"/>
        <w:rPr>
          <w:rFonts w:hint="eastAsia"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红塔分局，云南佳源环境工程评估有限公司，玉溪禾川绿色环境咨询有限公司。</w:t>
      </w:r>
    </w:p>
    <w:p w14:paraId="35AC0DB7">
      <w:pPr>
        <w:pStyle w:val="11"/>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eastAsia"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23</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7CA20C-08F2-4A95-9C41-C943CB6C42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3621AFEA-7692-4F2F-A3D1-9F8DDA21AFD5}"/>
  </w:font>
  <w:font w:name="方正仿宋_GBK">
    <w:panose1 w:val="03000509000000000000"/>
    <w:charset w:val="86"/>
    <w:family w:val="script"/>
    <w:pitch w:val="default"/>
    <w:sig w:usb0="00000001" w:usb1="080E0000" w:usb2="00000000" w:usb3="00000000" w:csb0="00040000" w:csb1="00000000"/>
    <w:embedRegular r:id="rId3" w:fontKey="{C37D0152-FE7D-48FA-A1D9-419188558275}"/>
  </w:font>
  <w:font w:name="方正黑体_GBK">
    <w:panose1 w:val="03000509000000000000"/>
    <w:charset w:val="86"/>
    <w:family w:val="auto"/>
    <w:pitch w:val="default"/>
    <w:sig w:usb0="00000001" w:usb1="080E0000" w:usb2="00000000" w:usb3="00000000" w:csb0="00040000" w:csb1="00000000"/>
    <w:embedRegular r:id="rId4" w:fontKey="{886F278F-85E5-4EB2-A620-99BC1605E3CD}"/>
  </w:font>
  <w:font w:name="仿宋_GB2312">
    <w:altName w:val="仿宋"/>
    <w:panose1 w:val="02010609030101010101"/>
    <w:charset w:val="86"/>
    <w:family w:val="modern"/>
    <w:pitch w:val="default"/>
    <w:sig w:usb0="00000000" w:usb1="00000000" w:usb2="00000010" w:usb3="00000000" w:csb0="00040000" w:csb1="00000000"/>
    <w:embedRegular r:id="rId5" w:fontKey="{494CF815-D3D9-4264-8C2D-4E0FB51E3F30}"/>
  </w:font>
  <w:font w:name="方正楷体_GBK">
    <w:panose1 w:val="03000509000000000000"/>
    <w:charset w:val="86"/>
    <w:family w:val="auto"/>
    <w:pitch w:val="default"/>
    <w:sig w:usb0="00000001" w:usb1="080E0000" w:usb2="00000000" w:usb3="00000000" w:csb0="00040000" w:csb1="00000000"/>
    <w:embedRegular r:id="rId6" w:fontKey="{DAD2004F-1600-4A12-84E0-104B5768D34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E11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2FBB7">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4796A015">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E02FBB7">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4796A015">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D22F">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226F3">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2C5303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9226F3">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2C5303E"/>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4D05C7C"/>
    <w:rsid w:val="05112A52"/>
    <w:rsid w:val="05654E7F"/>
    <w:rsid w:val="06214956"/>
    <w:rsid w:val="06BC5E2C"/>
    <w:rsid w:val="06D849E3"/>
    <w:rsid w:val="071D3B65"/>
    <w:rsid w:val="075F1CAC"/>
    <w:rsid w:val="07CE7264"/>
    <w:rsid w:val="07F17A7B"/>
    <w:rsid w:val="08223482"/>
    <w:rsid w:val="08284712"/>
    <w:rsid w:val="085B58CB"/>
    <w:rsid w:val="09294E4C"/>
    <w:rsid w:val="09B951AD"/>
    <w:rsid w:val="0A955323"/>
    <w:rsid w:val="0AD4224E"/>
    <w:rsid w:val="0B0E131B"/>
    <w:rsid w:val="0C0258F7"/>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202892"/>
    <w:rsid w:val="0F2B41E4"/>
    <w:rsid w:val="0F674CA9"/>
    <w:rsid w:val="0F7142A9"/>
    <w:rsid w:val="0F725F1C"/>
    <w:rsid w:val="0F806825"/>
    <w:rsid w:val="0FE76F0B"/>
    <w:rsid w:val="10010FC0"/>
    <w:rsid w:val="10085FCB"/>
    <w:rsid w:val="10600A97"/>
    <w:rsid w:val="10A16249"/>
    <w:rsid w:val="10C1633C"/>
    <w:rsid w:val="10F70241"/>
    <w:rsid w:val="112106B9"/>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542DE9"/>
    <w:rsid w:val="15B44512"/>
    <w:rsid w:val="15BD14B0"/>
    <w:rsid w:val="16297009"/>
    <w:rsid w:val="169870CB"/>
    <w:rsid w:val="16C0349F"/>
    <w:rsid w:val="16C63F1A"/>
    <w:rsid w:val="16D33FA6"/>
    <w:rsid w:val="16E04139"/>
    <w:rsid w:val="175B5421"/>
    <w:rsid w:val="17951DDA"/>
    <w:rsid w:val="17FE34B7"/>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CB3F7F"/>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0B7E34"/>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23EDB"/>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691313"/>
    <w:rsid w:val="2CE31097"/>
    <w:rsid w:val="2D2A0DD4"/>
    <w:rsid w:val="2D45752B"/>
    <w:rsid w:val="2D9B5CF7"/>
    <w:rsid w:val="2DBD7D3C"/>
    <w:rsid w:val="2DF36CFD"/>
    <w:rsid w:val="2E8D30CF"/>
    <w:rsid w:val="2EAD3464"/>
    <w:rsid w:val="2F1E099F"/>
    <w:rsid w:val="2F2F5103"/>
    <w:rsid w:val="2FA950FF"/>
    <w:rsid w:val="2FAE1C18"/>
    <w:rsid w:val="2FEC06AE"/>
    <w:rsid w:val="302A3931"/>
    <w:rsid w:val="30AB341D"/>
    <w:rsid w:val="30B073D9"/>
    <w:rsid w:val="30BA0CF3"/>
    <w:rsid w:val="30E34D34"/>
    <w:rsid w:val="311A1F18"/>
    <w:rsid w:val="313E4CDB"/>
    <w:rsid w:val="32025B28"/>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160007"/>
    <w:rsid w:val="43341062"/>
    <w:rsid w:val="43A30C64"/>
    <w:rsid w:val="43AE36B3"/>
    <w:rsid w:val="43D7253F"/>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7EA15E0"/>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AF71A39"/>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C9023B"/>
    <w:rsid w:val="51D643CD"/>
    <w:rsid w:val="52601BDC"/>
    <w:rsid w:val="52814125"/>
    <w:rsid w:val="52866CCF"/>
    <w:rsid w:val="52D2446B"/>
    <w:rsid w:val="534A1F20"/>
    <w:rsid w:val="53701FD1"/>
    <w:rsid w:val="539D1C58"/>
    <w:rsid w:val="544F4F79"/>
    <w:rsid w:val="54604096"/>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73667C"/>
    <w:rsid w:val="591816AF"/>
    <w:rsid w:val="59A943A7"/>
    <w:rsid w:val="59F12363"/>
    <w:rsid w:val="5A4822A0"/>
    <w:rsid w:val="5A754143"/>
    <w:rsid w:val="5A7D0E49"/>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9F73A3"/>
    <w:rsid w:val="61ED227C"/>
    <w:rsid w:val="61F915CB"/>
    <w:rsid w:val="62197AC8"/>
    <w:rsid w:val="623B220C"/>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497163"/>
    <w:rsid w:val="69624277"/>
    <w:rsid w:val="6A065065"/>
    <w:rsid w:val="6A4C776B"/>
    <w:rsid w:val="6A970CFF"/>
    <w:rsid w:val="6B1B7DA6"/>
    <w:rsid w:val="6B24315D"/>
    <w:rsid w:val="6B57133D"/>
    <w:rsid w:val="6BB00B08"/>
    <w:rsid w:val="6C196406"/>
    <w:rsid w:val="6C692E30"/>
    <w:rsid w:val="6C7B2415"/>
    <w:rsid w:val="6CC816B1"/>
    <w:rsid w:val="6D047A58"/>
    <w:rsid w:val="6D0B2A7F"/>
    <w:rsid w:val="6DAA4D2E"/>
    <w:rsid w:val="6DC4470E"/>
    <w:rsid w:val="6F3F4FA6"/>
    <w:rsid w:val="6F4C5C4D"/>
    <w:rsid w:val="6FBF2ED7"/>
    <w:rsid w:val="6FCE533B"/>
    <w:rsid w:val="70645DE9"/>
    <w:rsid w:val="709D12FB"/>
    <w:rsid w:val="70A73049"/>
    <w:rsid w:val="70CA5A60"/>
    <w:rsid w:val="71AF11D9"/>
    <w:rsid w:val="71E877A4"/>
    <w:rsid w:val="71ED15D7"/>
    <w:rsid w:val="720019E1"/>
    <w:rsid w:val="7278158D"/>
    <w:rsid w:val="72814495"/>
    <w:rsid w:val="72AD3FBA"/>
    <w:rsid w:val="72B73CFC"/>
    <w:rsid w:val="730F0F49"/>
    <w:rsid w:val="737547B1"/>
    <w:rsid w:val="73A33523"/>
    <w:rsid w:val="73DF4C9F"/>
    <w:rsid w:val="7417602D"/>
    <w:rsid w:val="74650CEA"/>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r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Body Text"/>
    <w:basedOn w:val="1"/>
    <w:next w:val="1"/>
    <w:qFormat/>
    <w:uiPriority w:val="0"/>
    <w:pPr>
      <w:spacing w:after="120"/>
    </w:pPr>
  </w:style>
  <w:style w:type="paragraph" w:styleId="9">
    <w:name w:val="Plain Text"/>
    <w:basedOn w:val="1"/>
    <w:next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8"/>
    <w:next w:val="1"/>
    <w:qFormat/>
    <w:uiPriority w:val="0"/>
    <w:pPr>
      <w:widowControl/>
      <w:ind w:firstLine="420" w:firstLineChars="100"/>
      <w:jc w:val="left"/>
    </w:pPr>
    <w:rPr>
      <w:rFonts w:ascii="Calibri" w:hAnsi="Calibri" w:cs="宋体"/>
      <w:kern w:val="0"/>
    </w:rPr>
  </w:style>
  <w:style w:type="paragraph" w:styleId="15">
    <w:name w:val="Body Text First Indent 2"/>
    <w:basedOn w:val="1"/>
    <w:next w:val="14"/>
    <w:qFormat/>
    <w:uiPriority w:val="0"/>
    <w:pPr>
      <w:ind w:firstLine="420" w:firstLineChars="200"/>
    </w:pPr>
  </w:style>
  <w:style w:type="character" w:styleId="18">
    <w:name w:val="page number"/>
    <w:basedOn w:val="17"/>
    <w:qFormat/>
    <w:uiPriority w:val="0"/>
  </w:style>
  <w:style w:type="paragraph" w:customStyle="1" w:styleId="19">
    <w:name w:val="纯文本1"/>
    <w:basedOn w:val="1"/>
    <w:qFormat/>
    <w:uiPriority w:val="0"/>
    <w:rPr>
      <w:rFonts w:ascii="宋体" w:hAnsi="Courier New"/>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19"/>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2553</Words>
  <Characters>2696</Characters>
  <Lines>17</Lines>
  <Paragraphs>4</Paragraphs>
  <TotalTime>1</TotalTime>
  <ScaleCrop>false</ScaleCrop>
  <LinksUpToDate>false</LinksUpToDate>
  <CharactersWithSpaces>2715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2026-03-30T07:36:56Z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DFDF59E3E84B4134A2448F02D6EB54C2_13</vt:lpwstr>
  </property>
  <property fmtid="{D5CDD505-2E9C-101B-9397-08002B2CF9AE}" pid="4" name="KSOTemplateDocerSaveRecord">
    <vt:lpwstr>eyJoZGlkIjoiN2QwZTEyMDA2YTk0ZjkwMmJjYjhmNmM0NmZmYWY5N2EiLCJ1c2VySWQiOiIxMDY3ODYwMTEzIn0=</vt:lpwstr>
  </property>
</Properties>
</file>