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方正小标宋_GBK" w:eastAsia="方正小标宋_GBK"/>
          <w:sz w:val="44"/>
          <w:szCs w:val="44"/>
        </w:rPr>
      </w:pPr>
      <w:r>
        <w:rPr>
          <w:rFonts w:hint="eastAsia" w:ascii="方正小标宋_GBK" w:eastAsia="方正小标宋_GBK"/>
          <w:sz w:val="44"/>
          <w:szCs w:val="44"/>
        </w:rPr>
        <w:t>玉溪市城市管理条例（草案）</w:t>
      </w:r>
    </w:p>
    <w:p>
      <w:pPr>
        <w:ind w:firstLine="0" w:firstLineChars="0"/>
        <w:jc w:val="center"/>
        <w:rPr>
          <w:rFonts w:ascii="方正楷体_GBK" w:eastAsia="方正楷体_GBK"/>
        </w:rPr>
      </w:pPr>
      <w:r>
        <w:rPr>
          <w:rFonts w:hint="eastAsia" w:ascii="方正楷体_GBK" w:eastAsia="方正楷体_GBK"/>
        </w:rPr>
        <w:t>（征求意见稿）</w:t>
      </w:r>
    </w:p>
    <w:p>
      <w:r>
        <w:t>​​</w:t>
      </w:r>
    </w:p>
    <w:p>
      <w:pPr>
        <w:ind w:firstLine="0" w:firstLineChars="0"/>
        <w:jc w:val="center"/>
        <w:rPr>
          <w:rFonts w:ascii="方正楷体_GBK" w:eastAsia="方正楷体_GBK"/>
        </w:rPr>
      </w:pPr>
      <w:r>
        <w:rPr>
          <w:rFonts w:hint="eastAsia" w:ascii="方正楷体_GBK" w:eastAsia="方正楷体_GBK"/>
        </w:rPr>
        <w:t>目　录</w:t>
      </w:r>
    </w:p>
    <w:p>
      <w:pPr>
        <w:rPr>
          <w:rFonts w:ascii="方正楷体_GBK" w:eastAsia="方正楷体_GBK"/>
        </w:rPr>
      </w:pPr>
      <w:r>
        <w:rPr>
          <w:rFonts w:hint="eastAsia" w:ascii="方正楷体_GBK" w:eastAsia="方正楷体_GBK"/>
        </w:rPr>
        <w:t>第一章　总　则</w:t>
      </w:r>
    </w:p>
    <w:p>
      <w:pPr>
        <w:rPr>
          <w:rFonts w:ascii="方正楷体_GBK" w:eastAsia="方正楷体_GBK"/>
        </w:rPr>
      </w:pPr>
      <w:r>
        <w:rPr>
          <w:rFonts w:hint="eastAsia" w:ascii="方正楷体_GBK" w:eastAsia="方正楷体_GBK"/>
        </w:rPr>
        <w:t>第二章　城市管理规范</w:t>
      </w:r>
    </w:p>
    <w:p>
      <w:pPr>
        <w:rPr>
          <w:rFonts w:ascii="方正楷体_GBK" w:eastAsia="方正楷体_GBK"/>
        </w:rPr>
      </w:pPr>
      <w:r>
        <w:rPr>
          <w:rFonts w:hint="eastAsia" w:ascii="方正楷体_GBK" w:eastAsia="方正楷体_GBK"/>
        </w:rPr>
        <w:t>第三章　城市管理行政执法</w:t>
      </w:r>
    </w:p>
    <w:p>
      <w:pPr>
        <w:rPr>
          <w:rFonts w:ascii="方正楷体_GBK" w:eastAsia="方正楷体_GBK"/>
        </w:rPr>
      </w:pPr>
      <w:r>
        <w:rPr>
          <w:rFonts w:hint="eastAsia" w:ascii="方正楷体_GBK" w:eastAsia="方正楷体_GBK"/>
        </w:rPr>
        <w:t>第四章　法律责任</w:t>
      </w:r>
    </w:p>
    <w:p>
      <w:pPr>
        <w:rPr>
          <w:rFonts w:ascii="方正楷体_GBK" w:eastAsia="方正楷体_GBK"/>
        </w:rPr>
        <w:sectPr>
          <w:headerReference r:id="rId5" w:type="default"/>
          <w:footerReference r:id="rId6" w:type="default"/>
          <w:pgSz w:w="11906" w:h="16838"/>
          <w:pgMar w:top="1440" w:right="1800" w:bottom="1440" w:left="1800" w:header="851" w:footer="992" w:gutter="0"/>
          <w:cols w:space="425" w:num="1"/>
          <w:docGrid w:type="lines" w:linePitch="435" w:charSpace="0"/>
        </w:sectPr>
      </w:pPr>
      <w:r>
        <w:rPr>
          <w:rFonts w:hint="eastAsia" w:ascii="方正楷体_GBK" w:eastAsia="方正楷体_GBK"/>
        </w:rPr>
        <w:t>第五章　附　则</w:t>
      </w:r>
    </w:p>
    <w:p>
      <w:pPr>
        <w:spacing w:after="0"/>
        <w:ind w:firstLine="0" w:firstLineChars="0"/>
        <w:contextualSpacing/>
        <w:jc w:val="center"/>
        <w:rPr>
          <w:rFonts w:ascii="方正黑体_GBK" w:eastAsia="方正黑体_GBK"/>
        </w:rPr>
      </w:pPr>
      <w:r>
        <w:rPr>
          <w:rFonts w:hint="eastAsia" w:ascii="方正黑体_GBK" w:eastAsia="方正黑体_GBK"/>
        </w:rPr>
        <w:t>第一章　总　　则</w:t>
      </w:r>
    </w:p>
    <w:p>
      <w:pPr>
        <w:spacing w:after="0"/>
        <w:ind w:firstLine="0" w:firstLineChars="0"/>
        <w:contextualSpacing/>
        <w:jc w:val="center"/>
      </w:pPr>
    </w:p>
    <w:p>
      <w:pPr>
        <w:spacing w:after="0"/>
        <w:contextualSpacing/>
      </w:pPr>
      <w:r>
        <w:rPr>
          <w:rFonts w:hint="eastAsia" w:ascii="方正黑体_GBK" w:eastAsia="方正黑体_GBK"/>
        </w:rPr>
        <w:t>第一条</w:t>
      </w:r>
      <w:r>
        <w:rPr>
          <w:rFonts w:hint="eastAsia" w:ascii="方正黑体_GBK" w:eastAsia="方正黑体_GBK"/>
          <w:lang w:val="en-US" w:eastAsia="zh-CN"/>
        </w:rPr>
        <w:t xml:space="preserve"> </w:t>
      </w:r>
      <w:r>
        <w:t>为了规范城市管理，提升城市公共服务水</w:t>
      </w:r>
      <w:r>
        <w:rPr>
          <w:rFonts w:hint="eastAsia" w:ascii="方正仿宋_GBK"/>
        </w:rPr>
        <w:t>平，推进城市治理体系和治理能力现代化，建设</w:t>
      </w:r>
      <w:r>
        <w:rPr>
          <w:rFonts w:hint="eastAsia"/>
        </w:rPr>
        <w:t>现代宜居生态城市，根据有关法律、法</w:t>
      </w:r>
      <w:r>
        <w:t>规，结合本市实际，制定本条例。</w:t>
      </w:r>
    </w:p>
    <w:p>
      <w:pPr>
        <w:spacing w:after="0"/>
        <w:contextualSpacing/>
        <w:rPr>
          <w:rFonts w:ascii="黑体" w:eastAsia="黑体"/>
        </w:rPr>
      </w:pPr>
      <w:r>
        <w:rPr>
          <w:rFonts w:hint="eastAsia" w:ascii="方正黑体_GBK" w:eastAsia="方正黑体_GBK"/>
        </w:rPr>
        <w:t xml:space="preserve">第二条 </w:t>
      </w:r>
      <w:r>
        <w:rPr>
          <w:rFonts w:hint="eastAsia"/>
        </w:rPr>
        <w:t>本条例适用于本市行政区域内的城市、县城建成区以及依法实施城市化管理的其他区域内对规划建设、市政公用设施、市容环境卫生、环境保护和道路交通等公共事务和秩序进行管理、服务的活动。</w:t>
      </w:r>
    </w:p>
    <w:p>
      <w:pPr>
        <w:spacing w:after="0"/>
        <w:contextualSpacing/>
      </w:pPr>
      <w:r>
        <w:rPr>
          <w:rFonts w:eastAsia="方正黑体_GBK"/>
        </w:rPr>
        <w:t>第</w:t>
      </w:r>
      <w:r>
        <w:rPr>
          <w:rFonts w:hint="eastAsia" w:eastAsia="方正黑体_GBK"/>
        </w:rPr>
        <w:t>三</w:t>
      </w:r>
      <w:r>
        <w:rPr>
          <w:rFonts w:eastAsia="方正黑体_GBK"/>
        </w:rPr>
        <w:t>条</w:t>
      </w:r>
      <w:r>
        <w:rPr>
          <w:rFonts w:hint="eastAsia" w:eastAsia="方正黑体_GBK"/>
        </w:rPr>
        <w:t xml:space="preserve"> </w:t>
      </w:r>
      <w:r>
        <w:t>城市管理坚持以人为本、</w:t>
      </w:r>
      <w:r>
        <w:rPr>
          <w:rFonts w:hint="eastAsia"/>
        </w:rPr>
        <w:t>绿色发展、服务优先、综合治理、</w:t>
      </w:r>
      <w:r>
        <w:t>协调创新</w:t>
      </w:r>
      <w:r>
        <w:rPr>
          <w:rFonts w:hint="eastAsia"/>
        </w:rPr>
        <w:t>的</w:t>
      </w:r>
      <w:r>
        <w:t>原则</w:t>
      </w:r>
      <w:r>
        <w:rPr>
          <w:rFonts w:hint="eastAsia"/>
        </w:rPr>
        <w:t>。</w:t>
      </w:r>
    </w:p>
    <w:p>
      <w:pPr>
        <w:spacing w:after="0"/>
        <w:contextualSpacing/>
      </w:pPr>
      <w:r>
        <w:rPr>
          <w:rFonts w:hint="eastAsia" w:ascii="方正黑体_GBK" w:eastAsia="方正黑体_GBK" w:cs="仿宋_GB2312"/>
        </w:rPr>
        <w:t xml:space="preserve">第四条 </w:t>
      </w:r>
      <w:r>
        <w:rPr>
          <w:rFonts w:hint="eastAsia"/>
        </w:rPr>
        <w:t>市、县（市、区）人民政府应当加强对城市管理工作的领导，将城市管理纳入国民经济和社会发展规划，建立健全城市管理工作机制，统筹协调解决城市管理工作中的重大事项，并将城市管理所需经费列入同级财政预算。</w:t>
      </w:r>
    </w:p>
    <w:p>
      <w:pPr>
        <w:spacing w:after="0"/>
        <w:contextualSpacing/>
      </w:pPr>
      <w:r>
        <w:rPr>
          <w:rFonts w:hint="eastAsia"/>
        </w:rPr>
        <w:t>镇人民政府、街道办事处根据职责组织落实辖区内城市管理工作，指导村（居）民委员会协助开展城市管理工作。</w:t>
      </w:r>
    </w:p>
    <w:p>
      <w:pPr>
        <w:spacing w:after="0"/>
        <w:contextualSpacing/>
      </w:pPr>
      <w:r>
        <w:rPr>
          <w:rFonts w:hint="eastAsia"/>
        </w:rPr>
        <w:t>村（居）民委员会协助做好城市管理有关工作。</w:t>
      </w:r>
    </w:p>
    <w:p>
      <w:pPr>
        <w:spacing w:after="0"/>
        <w:contextualSpacing/>
      </w:pPr>
      <w:r>
        <w:rPr>
          <w:rFonts w:hint="eastAsia" w:ascii="黑体" w:eastAsia="黑体" w:cs="仿宋_GB2312"/>
        </w:rPr>
        <w:t xml:space="preserve">第五条 </w:t>
      </w:r>
      <w:r>
        <w:rPr>
          <w:rFonts w:hint="eastAsia"/>
        </w:rPr>
        <w:t>市人民政府城市管理主管部门负责城市管理工作的业务指导、综合协调、监督管理。</w:t>
      </w:r>
    </w:p>
    <w:p>
      <w:pPr>
        <w:spacing w:after="0"/>
        <w:contextualSpacing/>
      </w:pPr>
      <w:r>
        <w:rPr>
          <w:rFonts w:hint="eastAsia"/>
        </w:rPr>
        <w:t>县（市、区）人民政府城市管理主管部门依照职责负责行政区域内城市管理工作。</w:t>
      </w:r>
    </w:p>
    <w:p>
      <w:pPr>
        <w:spacing w:after="0"/>
        <w:contextualSpacing/>
      </w:pPr>
      <w:r>
        <w:rPr>
          <w:rFonts w:hint="eastAsia"/>
        </w:rPr>
        <w:t>发展改革、工业和信息化、公安、民政、自然资源、生态环境、住房城乡建设、交通运输、水利、文化和旅游、卫生健康、应急管理、市场监管、政务服务、林草等部门，按照各自职责做好城市管理的相关工作。</w:t>
      </w:r>
    </w:p>
    <w:p>
      <w:pPr>
        <w:spacing w:after="0"/>
        <w:contextualSpacing/>
      </w:pPr>
      <w:r>
        <w:rPr>
          <w:rFonts w:hint="eastAsia"/>
        </w:rPr>
        <w:t>开发区管理委员会按照职责，做好城市管理工作。</w:t>
      </w:r>
    </w:p>
    <w:p>
      <w:pPr>
        <w:spacing w:after="0"/>
        <w:contextualSpacing/>
      </w:pPr>
      <w:r>
        <w:rPr>
          <w:rFonts w:eastAsia="方正黑体_GBK"/>
        </w:rPr>
        <w:t>第</w:t>
      </w:r>
      <w:r>
        <w:rPr>
          <w:rFonts w:hint="eastAsia" w:eastAsia="方正黑体_GBK"/>
        </w:rPr>
        <w:t>六</w:t>
      </w:r>
      <w:r>
        <w:rPr>
          <w:rFonts w:eastAsia="方正黑体_GBK"/>
        </w:rPr>
        <w:t>条</w:t>
      </w:r>
      <w:r>
        <w:rPr>
          <w:rFonts w:hint="eastAsia" w:eastAsia="方正黑体_GBK"/>
        </w:rPr>
        <w:t xml:space="preserve"> </w:t>
      </w:r>
      <w:r>
        <w:rPr>
          <w:rFonts w:hint="eastAsia"/>
        </w:rPr>
        <w:t>市、</w:t>
      </w:r>
      <w:r>
        <w:t>县</w:t>
      </w:r>
      <w:r>
        <w:rPr>
          <w:rFonts w:hint="eastAsia"/>
        </w:rPr>
        <w:t>（市、区）</w:t>
      </w:r>
      <w:r>
        <w:t>人民政府应当</w:t>
      </w:r>
      <w:r>
        <w:rPr>
          <w:rFonts w:hint="eastAsia"/>
        </w:rPr>
        <w:t>加强城市运行管理服务信息化建设，将市政设施安全运行、市容秩序、环境卫生、交通管理、园林绿化等城市管理事项纳入城市运行管理服务平台，实现信息共享、分级监管、协同联动，提升城市公共事务管理和公共服务的智慧化、精细化水平。</w:t>
      </w:r>
    </w:p>
    <w:p>
      <w:pPr>
        <w:spacing w:after="0"/>
        <w:contextualSpacing/>
      </w:pPr>
      <w:r>
        <w:rPr>
          <w:rFonts w:eastAsia="方正黑体_GBK"/>
        </w:rPr>
        <w:t>第</w:t>
      </w:r>
      <w:r>
        <w:rPr>
          <w:rFonts w:hint="eastAsia" w:eastAsia="方正黑体_GBK"/>
        </w:rPr>
        <w:t>七</w:t>
      </w:r>
      <w:r>
        <w:rPr>
          <w:rFonts w:eastAsia="方正黑体_GBK"/>
        </w:rPr>
        <w:t>条</w:t>
      </w:r>
      <w:r>
        <w:rPr>
          <w:rFonts w:hint="eastAsia" w:eastAsia="方正黑体_GBK"/>
        </w:rPr>
        <w:t xml:space="preserve"> </w:t>
      </w:r>
      <w:r>
        <w:rPr>
          <w:rFonts w:hint="eastAsia"/>
        </w:rPr>
        <w:t>市、县（市、区）人民政府及其有关部门，应当加强对城市管理工作的宣传教育，增强公众的法治意识、文明意识，引导公民、法人和其他组织参与城市管理，鼓励和支持城市管理志愿服务，构建城市管理社会共治格局。</w:t>
      </w:r>
    </w:p>
    <w:p>
      <w:pPr>
        <w:spacing w:after="0"/>
        <w:contextualSpacing/>
        <w:rPr>
          <w:rFonts w:eastAsia="方正黑体_GBK"/>
          <w:color w:val="FF0000"/>
          <w:szCs w:val="32"/>
        </w:rPr>
      </w:pPr>
      <w:r>
        <w:rPr>
          <w:rFonts w:hint="eastAsia" w:ascii="方正黑体_GBK" w:eastAsia="方正黑体_GBK"/>
        </w:rPr>
        <w:t xml:space="preserve">第八条 </w:t>
      </w:r>
      <w:r>
        <w:rPr>
          <w:rFonts w:hint="eastAsia" w:ascii="方正仿宋_GBK"/>
          <w:szCs w:val="32"/>
        </w:rPr>
        <w:t>任何单位和个人对妨害城市管理的行为有权劝阻、举报。</w:t>
      </w:r>
    </w:p>
    <w:p>
      <w:pPr>
        <w:spacing w:after="0"/>
        <w:contextualSpacing/>
      </w:pPr>
      <w:r>
        <w:rPr>
          <w:rFonts w:hint="eastAsia"/>
        </w:rPr>
        <w:t>市、县（市、区）人民政府及其有关部门应当畅通公众参与城市管理的渠道，</w:t>
      </w:r>
      <w:r>
        <w:t>建立和完善市民投诉、举报与反馈机制，向社会公布投诉举报的电话、信箱</w:t>
      </w:r>
      <w:r>
        <w:rPr>
          <w:rFonts w:hint="eastAsia"/>
        </w:rPr>
        <w:t>或者</w:t>
      </w:r>
      <w:r>
        <w:t>电子邮箱。对收到的投诉举报，应当及时处理、反馈处理结果，并为投诉人</w:t>
      </w:r>
      <w:r>
        <w:rPr>
          <w:rFonts w:hint="eastAsia"/>
        </w:rPr>
        <w:t>或者</w:t>
      </w:r>
      <w:r>
        <w:t>举报人保密。</w:t>
      </w:r>
    </w:p>
    <w:p>
      <w:pPr>
        <w:spacing w:after="0"/>
        <w:ind w:firstLine="0" w:firstLineChars="0"/>
        <w:contextualSpacing/>
      </w:pPr>
    </w:p>
    <w:p>
      <w:pPr>
        <w:spacing w:after="0"/>
        <w:ind w:firstLine="0" w:firstLineChars="0"/>
        <w:contextualSpacing/>
        <w:jc w:val="center"/>
        <w:rPr>
          <w:rFonts w:ascii="方正黑体_GBK" w:eastAsia="方正黑体_GBK"/>
        </w:rPr>
      </w:pPr>
      <w:r>
        <w:rPr>
          <w:rFonts w:hint="eastAsia" w:ascii="方正黑体_GBK" w:eastAsia="方正黑体_GBK"/>
        </w:rPr>
        <w:t>第二章　城市管理规范</w:t>
      </w:r>
    </w:p>
    <w:p>
      <w:pPr>
        <w:spacing w:after="0"/>
        <w:ind w:firstLine="0" w:firstLineChars="0"/>
        <w:contextualSpacing/>
        <w:jc w:val="center"/>
      </w:pPr>
    </w:p>
    <w:p>
      <w:pPr>
        <w:spacing w:after="0"/>
        <w:contextualSpacing/>
        <w:rPr>
          <w:szCs w:val="32"/>
        </w:rPr>
      </w:pPr>
      <w:r>
        <w:rPr>
          <w:rFonts w:eastAsia="方正黑体_GBK"/>
          <w:szCs w:val="32"/>
        </w:rPr>
        <w:t>第</w:t>
      </w:r>
      <w:r>
        <w:rPr>
          <w:rFonts w:hint="eastAsia" w:eastAsia="方正黑体_GBK"/>
          <w:szCs w:val="32"/>
        </w:rPr>
        <w:t>九</w:t>
      </w:r>
      <w:r>
        <w:rPr>
          <w:rFonts w:eastAsia="方正黑体_GBK"/>
          <w:szCs w:val="32"/>
        </w:rPr>
        <w:t>条</w:t>
      </w:r>
      <w:r>
        <w:rPr>
          <w:rFonts w:hint="eastAsia" w:eastAsia="方正黑体_GBK"/>
          <w:szCs w:val="32"/>
        </w:rPr>
        <w:t xml:space="preserve"> </w:t>
      </w:r>
      <w:r>
        <w:rPr>
          <w:rFonts w:hint="eastAsia"/>
        </w:rPr>
        <w:t>编制、审批国土空间规划应当综合考虑人口分布、经济布局、国土利用、生态保护等因素，优化城市空间结构，优先安排基础设施以及公共服务设施的建设。</w:t>
      </w:r>
      <w:r>
        <w:rPr>
          <w:rFonts w:hint="eastAsia"/>
          <w:szCs w:val="32"/>
        </w:rPr>
        <w:t>新建、改建、扩建建（构）筑物，应当按照规划要求进行建设。</w:t>
      </w:r>
    </w:p>
    <w:p>
      <w:pPr>
        <w:spacing w:after="0"/>
        <w:contextualSpacing/>
        <w:rPr>
          <w:rFonts w:eastAsia="方正黑体_GBK"/>
        </w:rPr>
      </w:pPr>
      <w:bookmarkStart w:id="0" w:name="_Hlk213083628"/>
      <w:r>
        <w:rPr>
          <w:rFonts w:hint="eastAsia" w:ascii="方正黑体_GBK" w:eastAsia="方正黑体_GBK"/>
        </w:rPr>
        <w:t xml:space="preserve">第十条 </w:t>
      </w:r>
      <w:r>
        <w:rPr>
          <w:rFonts w:hint="eastAsia"/>
        </w:rPr>
        <w:t>市、县（市、区）人民政府应当完善历史文化遗产保护传承体系，</w:t>
      </w:r>
      <w:r>
        <w:rPr>
          <w:rFonts w:hint="eastAsia"/>
        </w:rPr>
        <w:t>组织开展老城区和老街区历史文化遗产</w:t>
      </w:r>
      <w:r>
        <w:rPr>
          <w:rFonts w:hint="eastAsia"/>
        </w:rPr>
        <w:t>专项调查，加强历史文化名城、街区整体保护，活化利用不可移动文物、历史建筑、工业遗产，加强文物资源保护管理利用和非物质文化遗产保护利用传承。</w:t>
      </w:r>
    </w:p>
    <w:p>
      <w:pPr>
        <w:spacing w:after="0"/>
        <w:contextualSpacing/>
      </w:pPr>
      <w:r>
        <w:rPr>
          <w:rFonts w:hint="eastAsia" w:eastAsia="方正黑体_GBK"/>
        </w:rPr>
        <w:t xml:space="preserve">第十一条 </w:t>
      </w:r>
      <w:r>
        <w:rPr>
          <w:rFonts w:hint="eastAsia"/>
        </w:rPr>
        <w:t>旧城改造、</w:t>
      </w:r>
      <w:r>
        <w:t>新区开发</w:t>
      </w:r>
      <w:r>
        <w:rPr>
          <w:rFonts w:hint="eastAsia"/>
        </w:rPr>
        <w:t>，</w:t>
      </w:r>
      <w:r>
        <w:t>应当</w:t>
      </w:r>
      <w:r>
        <w:rPr>
          <w:rFonts w:hint="eastAsia"/>
        </w:rPr>
        <w:t>按照规划要求合理配套</w:t>
      </w:r>
      <w:r>
        <w:t>建设</w:t>
      </w:r>
      <w:r>
        <w:rPr>
          <w:rFonts w:hint="eastAsia"/>
        </w:rPr>
        <w:t>停车泊位、充电设施、公共交通、</w:t>
      </w:r>
      <w:r>
        <w:rPr>
          <w:rFonts w:hint="eastAsia"/>
          <w:szCs w:val="32"/>
        </w:rPr>
        <w:t>航空器临时起降点</w:t>
      </w:r>
      <w:r>
        <w:rPr>
          <w:rFonts w:hint="eastAsia"/>
        </w:rPr>
        <w:t>和无障碍等服务设施，并</w:t>
      </w:r>
      <w:r>
        <w:t>与周边环境</w:t>
      </w:r>
      <w:r>
        <w:rPr>
          <w:rFonts w:hint="eastAsia"/>
        </w:rPr>
        <w:t>风貌</w:t>
      </w:r>
      <w:r>
        <w:t>相协调。</w:t>
      </w:r>
    </w:p>
    <w:p>
      <w:pPr>
        <w:spacing w:after="0"/>
        <w:contextualSpacing/>
      </w:pPr>
      <w:r>
        <w:rPr>
          <w:rFonts w:hint="eastAsia"/>
        </w:rPr>
        <w:t>新建、改建、扩建城市道路及交通、城市照明、燃气管道、供排水管网、市容环卫等设施的，应当征求有关部门的意见。</w:t>
      </w:r>
    </w:p>
    <w:p>
      <w:pPr>
        <w:spacing w:after="0"/>
        <w:contextualSpacing/>
      </w:pPr>
      <w:r>
        <w:rPr>
          <w:rFonts w:hint="eastAsia" w:ascii="方正黑体_GBK" w:eastAsia="方正黑体_GBK"/>
        </w:rPr>
        <w:t xml:space="preserve">第十二条 </w:t>
      </w:r>
      <w:r>
        <w:rPr>
          <w:rFonts w:hint="eastAsia"/>
        </w:rPr>
        <w:t>城市供排水、供电、供气、通信、广播电视等依附于主体工程或者城市道路的各种管线、杆线以及公交通信号灯、道路交通技术监控设备、交通标志标线等公共交通配套设施，应当与主体工程或者城市道路同步规划、同步建设、同步投入使用。</w:t>
      </w:r>
    </w:p>
    <w:p>
      <w:pPr>
        <w:spacing w:after="0"/>
        <w:contextualSpacing/>
      </w:pPr>
      <w:r>
        <w:rPr>
          <w:rFonts w:hint="eastAsia"/>
        </w:rPr>
        <w:t>既有架空管线和建（构）筑物的附着管线，应当根据规划逐步改造入地，或者采取隐蔽措施。建有地下综合管廊的区域，管线应当按照有关规定进入管廊有序敷设。</w:t>
      </w:r>
    </w:p>
    <w:p>
      <w:pPr>
        <w:spacing w:after="0"/>
        <w:contextualSpacing/>
        <w:rPr>
          <w:rFonts w:ascii="方正仿宋_GBK"/>
        </w:rPr>
      </w:pPr>
      <w:r>
        <w:rPr>
          <w:rFonts w:hint="eastAsia" w:ascii="方正黑体_GBK" w:eastAsia="方正黑体_GBK"/>
        </w:rPr>
        <w:t xml:space="preserve">第十三条 </w:t>
      </w:r>
      <w:r>
        <w:rPr>
          <w:rFonts w:hint="eastAsia" w:ascii="方正仿宋_GBK"/>
        </w:rPr>
        <w:t>市、县（市、区）人民政府应当建立健全城市管理应急响应机制，做好应急避难场所、设施设备管理和应急物资储备，加强专业应急救援队伍建设，提高城市应急保障能力。</w:t>
      </w:r>
    </w:p>
    <w:p>
      <w:pPr>
        <w:spacing w:after="0"/>
        <w:contextualSpacing/>
        <w:rPr>
          <w:rFonts w:ascii="方正黑体_GBK" w:eastAsia="方正黑体_GBK"/>
        </w:rPr>
      </w:pPr>
      <w:r>
        <w:rPr>
          <w:rFonts w:hint="eastAsia" w:ascii="方正仿宋_GBK"/>
        </w:rPr>
        <w:t>城市管理有关部门、镇人民政府、街道办事处应当按照有关规定，制定相应的突发事件应急预案，组织开展应急演练和应急知识宣传普及活动。</w:t>
      </w:r>
    </w:p>
    <w:p>
      <w:pPr>
        <w:spacing w:after="0"/>
        <w:contextualSpacing/>
        <w:rPr>
          <w:strike/>
        </w:rPr>
      </w:pPr>
      <w:r>
        <w:rPr>
          <w:rFonts w:eastAsia="方正黑体_GBK"/>
        </w:rPr>
        <w:t>第</w:t>
      </w:r>
      <w:r>
        <w:rPr>
          <w:rFonts w:hint="eastAsia" w:eastAsia="方正黑体_GBK"/>
        </w:rPr>
        <w:t>十四</w:t>
      </w:r>
      <w:r>
        <w:rPr>
          <w:rFonts w:eastAsia="方正黑体_GBK"/>
        </w:rPr>
        <w:t>条</w:t>
      </w:r>
      <w:r>
        <w:rPr>
          <w:rFonts w:hint="eastAsia" w:ascii="黑体" w:eastAsia="黑体"/>
        </w:rPr>
        <w:t xml:space="preserve"> </w:t>
      </w:r>
      <w:r>
        <w:t>公共洗手设施</w:t>
      </w:r>
      <w:r>
        <w:rPr>
          <w:rFonts w:hint="eastAsia"/>
        </w:rPr>
        <w:t>产权或者管理单位应当加强维护管理，</w:t>
      </w:r>
      <w:r>
        <w:t>确保洗手设施正常</w:t>
      </w:r>
      <w:r>
        <w:rPr>
          <w:rFonts w:hint="eastAsia"/>
        </w:rPr>
        <w:t>运行</w:t>
      </w:r>
      <w:r>
        <w:t>。</w:t>
      </w:r>
    </w:p>
    <w:p>
      <w:pPr>
        <w:spacing w:after="0"/>
        <w:contextualSpacing/>
      </w:pPr>
      <w:r>
        <w:rPr>
          <w:rFonts w:hint="eastAsia"/>
        </w:rPr>
        <w:t>任何单位和个人不得</w:t>
      </w:r>
      <w:r>
        <w:t>占用公共洗手设施</w:t>
      </w:r>
      <w:r>
        <w:rPr>
          <w:rFonts w:hint="eastAsia"/>
        </w:rPr>
        <w:t>进行</w:t>
      </w:r>
      <w:r>
        <w:t>洗菜、洗车、</w:t>
      </w:r>
      <w:r>
        <w:rPr>
          <w:rFonts w:hint="eastAsia"/>
        </w:rPr>
        <w:t>取</w:t>
      </w:r>
      <w:r>
        <w:t>水</w:t>
      </w:r>
      <w:r>
        <w:rPr>
          <w:rFonts w:hint="eastAsia"/>
        </w:rPr>
        <w:t>。</w:t>
      </w:r>
    </w:p>
    <w:p>
      <w:pPr>
        <w:spacing w:after="0"/>
        <w:contextualSpacing/>
      </w:pPr>
      <w:r>
        <w:rPr>
          <w:rFonts w:eastAsia="方正黑体_GBK"/>
          <w:szCs w:val="32"/>
        </w:rPr>
        <w:t>第</w:t>
      </w:r>
      <w:r>
        <w:rPr>
          <w:rFonts w:hint="eastAsia" w:eastAsia="方正黑体_GBK"/>
          <w:szCs w:val="32"/>
        </w:rPr>
        <w:t>十五</w:t>
      </w:r>
      <w:r>
        <w:rPr>
          <w:rFonts w:eastAsia="方正黑体_GBK"/>
          <w:szCs w:val="32"/>
        </w:rPr>
        <w:t>条</w:t>
      </w:r>
      <w:r>
        <w:rPr>
          <w:rFonts w:hint="eastAsia" w:ascii="黑体" w:eastAsia="黑体"/>
        </w:rPr>
        <w:t xml:space="preserve"> </w:t>
      </w:r>
      <w:r>
        <w:rPr>
          <w:rFonts w:hint="eastAsia"/>
        </w:rPr>
        <w:t>城市公厕实行免费开放，</w:t>
      </w:r>
      <w:r>
        <w:t>应当配备专人进行常态化保洁，保持卫生清洁和设施完好。</w:t>
      </w:r>
    </w:p>
    <w:p>
      <w:pPr>
        <w:spacing w:after="0"/>
        <w:contextualSpacing/>
      </w:pPr>
      <w:r>
        <w:rPr>
          <w:rFonts w:hint="eastAsia"/>
        </w:rPr>
        <w:t>鼓励公共建筑</w:t>
      </w:r>
      <w:r>
        <w:t>附设的</w:t>
      </w:r>
      <w:r>
        <w:rPr>
          <w:rFonts w:hint="eastAsia"/>
        </w:rPr>
        <w:t>公厕</w:t>
      </w:r>
      <w:r>
        <w:t>设置对外开放标识，在工作、营业时间向社会开放。</w:t>
      </w:r>
    </w:p>
    <w:p>
      <w:pPr>
        <w:spacing w:after="0"/>
        <w:contextualSpacing/>
      </w:pPr>
      <w:r>
        <w:rPr>
          <w:rFonts w:hint="eastAsia" w:ascii="方正黑体_GBK" w:eastAsia="方正黑体_GBK"/>
        </w:rPr>
        <w:t>第十六条</w:t>
      </w:r>
      <w:r>
        <w:rPr>
          <w:rFonts w:hint="eastAsia" w:ascii="黑体" w:eastAsia="黑体"/>
        </w:rPr>
        <w:t xml:space="preserve"> </w:t>
      </w:r>
      <w:r>
        <w:rPr>
          <w:rFonts w:hint="eastAsia"/>
        </w:rPr>
        <w:t>未经城市管理主管部门和公安机关交通管理部门批准，任何单位和个人不得擅自占用或者挖掘城市道路。</w:t>
      </w:r>
    </w:p>
    <w:p>
      <w:pPr>
        <w:spacing w:after="0"/>
        <w:contextualSpacing/>
      </w:pPr>
      <w:r>
        <w:rPr>
          <w:rFonts w:hint="eastAsia"/>
        </w:rPr>
        <w:t>新建、扩建、改建的城市道路交付使用后5年内、大修的城市道路竣工后3年内不得挖掘；因管网改造、管线接驳等特殊情况需要挖掘的，由城市管理主管部门报本级人民政府批准。</w:t>
      </w:r>
    </w:p>
    <w:p>
      <w:pPr>
        <w:spacing w:after="0"/>
        <w:contextualSpacing/>
      </w:pPr>
      <w:r>
        <w:rPr>
          <w:rFonts w:hint="eastAsia"/>
        </w:rPr>
        <w:t>依照前两款规定经批准占用或者挖掘城市道路的，施工单位应当按照批准的位置、面积、期限占用或者挖掘，最大限度降低对城市道路通行的影响，并按期恢复原状。</w:t>
      </w:r>
    </w:p>
    <w:p>
      <w:pPr>
        <w:spacing w:after="0"/>
        <w:contextualSpacing/>
      </w:pPr>
      <w:r>
        <w:rPr>
          <w:rFonts w:hint="eastAsia"/>
        </w:rPr>
        <w:t>埋设在城市道路下的管线发生故障需要紧急抢修的，可以先行挖掘抢修，并同时通知城市管理主管部门和公安机关交通管理部门，在24小时内按照规定补办批准手续。</w:t>
      </w:r>
    </w:p>
    <w:p>
      <w:pPr>
        <w:spacing w:after="0"/>
        <w:contextualSpacing/>
      </w:pPr>
      <w:r>
        <w:rPr>
          <w:rFonts w:hint="eastAsia" w:ascii="方正黑体_GBK" w:eastAsia="方正黑体_GBK"/>
        </w:rPr>
        <w:t xml:space="preserve">第十七条 </w:t>
      </w:r>
      <w:r>
        <w:rPr>
          <w:rFonts w:hint="eastAsia"/>
        </w:rPr>
        <w:t>城市功能照明和景观亮化设施设置应当符合城市照明专项规划、技术规范和节能环保要求，防止光污染。</w:t>
      </w:r>
    </w:p>
    <w:p>
      <w:pPr>
        <w:spacing w:after="0"/>
        <w:contextualSpacing/>
      </w:pPr>
      <w:r>
        <w:rPr>
          <w:rFonts w:hint="eastAsia"/>
        </w:rPr>
        <w:t>产权单位或者设置人应当合理控制广告屏、广告牌、灯箱等设施的亮度、颜色和开启时间，避免使用刺眼色彩和深夜过度照明。</w:t>
      </w:r>
    </w:p>
    <w:p>
      <w:pPr>
        <w:spacing w:after="0"/>
        <w:contextualSpacing/>
      </w:pPr>
      <w:r>
        <w:rPr>
          <w:rFonts w:eastAsia="方正黑体_GBK"/>
        </w:rPr>
        <w:t>第</w:t>
      </w:r>
      <w:r>
        <w:rPr>
          <w:rFonts w:hint="eastAsia" w:eastAsia="方正黑体_GBK"/>
        </w:rPr>
        <w:t>十八</w:t>
      </w:r>
      <w:r>
        <w:rPr>
          <w:rFonts w:eastAsia="方正黑体_GBK"/>
        </w:rPr>
        <w:t>条</w:t>
      </w:r>
      <w:r>
        <w:rPr>
          <w:rFonts w:hint="eastAsia" w:ascii="黑体" w:eastAsia="黑体"/>
        </w:rPr>
        <w:t xml:space="preserve"> </w:t>
      </w:r>
      <w:r>
        <w:rPr>
          <w:rFonts w:hint="eastAsia"/>
        </w:rPr>
        <w:t>任何单位和个人</w:t>
      </w:r>
      <w:r>
        <w:t>不得</w:t>
      </w:r>
      <w:r>
        <w:rPr>
          <w:rFonts w:hint="eastAsia"/>
        </w:rPr>
        <w:t>实施下列侵占、损害市政公用设施的</w:t>
      </w:r>
      <w:r>
        <w:t>行为：</w:t>
      </w:r>
    </w:p>
    <w:p>
      <w:pPr>
        <w:spacing w:after="0"/>
        <w:contextualSpacing/>
      </w:pPr>
      <w:r>
        <w:rPr>
          <w:rFonts w:hint="eastAsia"/>
        </w:rPr>
        <w:t>（一）损坏或者</w:t>
      </w:r>
      <w:r>
        <w:t>擅自压占地下管线</w:t>
      </w:r>
      <w:r>
        <w:rPr>
          <w:rFonts w:hint="eastAsia"/>
        </w:rPr>
        <w:t>；</w:t>
      </w:r>
    </w:p>
    <w:p>
      <w:pPr>
        <w:spacing w:after="0"/>
        <w:contextualSpacing/>
      </w:pPr>
      <w:r>
        <w:t>（</w:t>
      </w:r>
      <w:r>
        <w:rPr>
          <w:rFonts w:hint="eastAsia"/>
        </w:rPr>
        <w:t>二</w:t>
      </w:r>
      <w:r>
        <w:t>）移动</w:t>
      </w:r>
      <w:r>
        <w:rPr>
          <w:rFonts w:hint="eastAsia"/>
        </w:rPr>
        <w:t>、</w:t>
      </w:r>
      <w:r>
        <w:t>毁损窨井盖、标识标牌等道路附属设施；</w:t>
      </w:r>
    </w:p>
    <w:p>
      <w:pPr>
        <w:spacing w:after="0"/>
        <w:contextualSpacing/>
      </w:pPr>
      <w:r>
        <w:rPr>
          <w:rFonts w:hint="eastAsia"/>
        </w:rPr>
        <w:t>（三）</w:t>
      </w:r>
      <w:r>
        <w:t>擅自连接、改装、拆除供</w:t>
      </w:r>
      <w:r>
        <w:rPr>
          <w:rFonts w:hint="eastAsia"/>
        </w:rPr>
        <w:t>排</w:t>
      </w:r>
      <w:r>
        <w:t>水、</w:t>
      </w:r>
      <w:r>
        <w:rPr>
          <w:rFonts w:hint="eastAsia"/>
        </w:rPr>
        <w:t>供电、</w:t>
      </w:r>
      <w:r>
        <w:t>供气</w:t>
      </w:r>
      <w:r>
        <w:rPr>
          <w:rFonts w:hint="eastAsia"/>
        </w:rPr>
        <w:t>、通信、广播电视</w:t>
      </w:r>
      <w:r>
        <w:t>等公用管线、</w:t>
      </w:r>
      <w:r>
        <w:rPr>
          <w:rFonts w:hint="eastAsia"/>
        </w:rPr>
        <w:t>杆线、</w:t>
      </w:r>
      <w:r>
        <w:t>管沟</w:t>
      </w:r>
      <w:r>
        <w:rPr>
          <w:rFonts w:hint="eastAsia"/>
        </w:rPr>
        <w:t>或者擅自操作公共管线的闸阀等设施设备</w:t>
      </w:r>
      <w:r>
        <w:t>；</w:t>
      </w:r>
    </w:p>
    <w:p>
      <w:pPr>
        <w:spacing w:after="0"/>
        <w:contextualSpacing/>
        <w:rPr>
          <w:rFonts w:hint="eastAsia" w:ascii="方正黑体_GBK" w:hAnsi="方正黑体_GBK" w:eastAsia="方正黑体_GBK" w:cs="方正黑体_GBK"/>
        </w:rPr>
      </w:pPr>
      <w:r>
        <w:rPr>
          <w:rFonts w:hint="eastAsia"/>
        </w:rPr>
        <w:t>（四）法律、法规规定的其他侵占、损害市政公用设施的行为。</w:t>
      </w:r>
    </w:p>
    <w:p>
      <w:pPr>
        <w:spacing w:after="0"/>
        <w:contextualSpacing/>
        <w:rPr>
          <w:rFonts w:ascii="方正仿宋_GBK"/>
        </w:rPr>
      </w:pPr>
      <w:r>
        <w:rPr>
          <w:rFonts w:hint="eastAsia" w:ascii="方正黑体_GBK" w:eastAsia="方正黑体_GBK"/>
        </w:rPr>
        <w:t xml:space="preserve">第十九条 </w:t>
      </w:r>
      <w:r>
        <w:rPr>
          <w:rFonts w:hint="eastAsia" w:ascii="方正仿宋_GBK"/>
        </w:rPr>
        <w:t>市、县（市、区）人民政府及城市管理有关部门应当健全相关工作机制，组织开展违法建设治理工作，预防和减少违法建设行为。</w:t>
      </w:r>
    </w:p>
    <w:p>
      <w:pPr>
        <w:spacing w:after="0"/>
        <w:contextualSpacing/>
        <w:rPr>
          <w:rFonts w:ascii="方正仿宋_GBK"/>
        </w:rPr>
      </w:pPr>
      <w:r>
        <w:rPr>
          <w:rFonts w:hint="eastAsia" w:ascii="方正仿宋_GBK"/>
        </w:rPr>
        <w:t>镇人民政府、街道办事处负责协同开展违法建设治理工作，将违法建设的巡查工作纳入网格化管理。</w:t>
      </w:r>
    </w:p>
    <w:p>
      <w:pPr>
        <w:spacing w:after="0"/>
        <w:contextualSpacing/>
        <w:rPr>
          <w:rFonts w:ascii="方正仿宋_GBK"/>
        </w:rPr>
      </w:pPr>
      <w:r>
        <w:rPr>
          <w:rFonts w:hint="eastAsia" w:ascii="方正仿宋_GBK"/>
        </w:rPr>
        <w:t>村（居）民委员会发现违法建设行为，应当进行劝阻、疏导、制止，并向查处机关或者镇人民政府、街道办事处报告。</w:t>
      </w:r>
    </w:p>
    <w:p>
      <w:pPr>
        <w:spacing w:after="0"/>
        <w:contextualSpacing/>
        <w:rPr>
          <w:rFonts w:ascii="方正仿宋_GBK"/>
        </w:rPr>
      </w:pPr>
      <w:r>
        <w:rPr>
          <w:rFonts w:hint="eastAsia" w:ascii="方正仿宋_GBK"/>
        </w:rPr>
        <w:t>物业服务人应当加强对物业服务区域内建设施工、房屋装饰装修等活动的日常巡查管理，对违法建设行为及时劝阻、制止，并向查处机关或者镇人民政府、街道办事处报告。</w:t>
      </w:r>
    </w:p>
    <w:p>
      <w:pPr>
        <w:spacing w:after="0"/>
        <w:contextualSpacing/>
        <w:rPr>
          <w:rFonts w:ascii="方正仿宋_GBK"/>
        </w:rPr>
      </w:pPr>
      <w:r>
        <w:rPr>
          <w:rFonts w:hint="eastAsia" w:ascii="方正黑体_GBK" w:eastAsia="方正黑体_GBK"/>
        </w:rPr>
        <w:t xml:space="preserve">第二十条 </w:t>
      </w:r>
      <w:r>
        <w:rPr>
          <w:rFonts w:hint="eastAsia" w:ascii="方正仿宋_GBK"/>
        </w:rPr>
        <w:t>任何单位和个人不得实施下列违法建设行为：</w:t>
      </w:r>
    </w:p>
    <w:p>
      <w:pPr>
        <w:spacing w:after="0"/>
        <w:contextualSpacing/>
        <w:rPr>
          <w:rFonts w:ascii="方正仿宋_GBK"/>
        </w:rPr>
      </w:pPr>
      <w:r>
        <w:rPr>
          <w:rFonts w:hint="eastAsia" w:ascii="方正仿宋_GBK"/>
        </w:rPr>
        <w:t>（一）未经原设计单位或者具有相应资质等级的设计单位提出设计方案，变动建筑主体和承重结构；</w:t>
      </w:r>
    </w:p>
    <w:p>
      <w:pPr>
        <w:spacing w:after="0"/>
        <w:contextualSpacing/>
        <w:rPr>
          <w:rFonts w:ascii="方正仿宋_GBK"/>
        </w:rPr>
      </w:pPr>
      <w:r>
        <w:rPr>
          <w:rFonts w:hint="eastAsia" w:ascii="方正仿宋_GBK"/>
        </w:rPr>
        <w:t>（二）将没有防水要求的房间或者阳台改为卫生间、厨房间；</w:t>
      </w:r>
    </w:p>
    <w:p>
      <w:pPr>
        <w:spacing w:after="0"/>
        <w:contextualSpacing/>
        <w:rPr>
          <w:rFonts w:ascii="方正仿宋_GBK"/>
        </w:rPr>
      </w:pPr>
      <w:r>
        <w:rPr>
          <w:rFonts w:hint="eastAsia" w:ascii="方正仿宋_GBK"/>
        </w:rPr>
        <w:t>（三）扩大承重墙上原有的门窗尺寸，拆除连接阳台的砖、混凝土墙体；</w:t>
      </w:r>
    </w:p>
    <w:p>
      <w:pPr>
        <w:spacing w:after="0"/>
        <w:contextualSpacing/>
        <w:rPr>
          <w:rFonts w:ascii="方正仿宋_GBK"/>
        </w:rPr>
      </w:pPr>
      <w:r>
        <w:rPr>
          <w:rFonts w:hint="eastAsia" w:ascii="方正仿宋_GBK"/>
        </w:rPr>
        <w:t>（四）在走廊、过道、阳台、屋顶等部位乱搭乱建等行为；</w:t>
      </w:r>
    </w:p>
    <w:p>
      <w:pPr>
        <w:spacing w:after="0"/>
        <w:contextualSpacing/>
        <w:rPr>
          <w:rFonts w:ascii="方正仿宋_GBK"/>
        </w:rPr>
      </w:pPr>
      <w:r>
        <w:rPr>
          <w:rFonts w:hint="eastAsia" w:ascii="方正仿宋_GBK"/>
        </w:rPr>
        <w:t>（五）开挖、钻探建（构）筑物内外的底层地面等行为；</w:t>
      </w:r>
    </w:p>
    <w:p>
      <w:pPr>
        <w:spacing w:after="0"/>
        <w:contextualSpacing/>
        <w:rPr>
          <w:rFonts w:ascii="方正仿宋_GBK"/>
        </w:rPr>
      </w:pPr>
      <w:r>
        <w:rPr>
          <w:rFonts w:hint="eastAsia" w:ascii="方正仿宋_GBK"/>
        </w:rPr>
        <w:t>（六）擅自改变住宅外立面，在非承重外墙上开门、窗；</w:t>
      </w:r>
    </w:p>
    <w:p>
      <w:pPr>
        <w:spacing w:after="0"/>
        <w:contextualSpacing/>
        <w:rPr>
          <w:rFonts w:eastAsia="方正黑体_GBK"/>
          <w:u w:val="single"/>
        </w:rPr>
      </w:pPr>
      <w:r>
        <w:rPr>
          <w:rFonts w:hint="eastAsia" w:ascii="方正仿宋_GBK"/>
        </w:rPr>
        <w:t>（七）法律、法规规定的其他违法建设行为。</w:t>
      </w:r>
    </w:p>
    <w:p>
      <w:pPr>
        <w:spacing w:after="0"/>
        <w:contextualSpacing/>
        <w:rPr>
          <w:strike/>
        </w:rPr>
      </w:pPr>
      <w:r>
        <w:rPr>
          <w:rFonts w:eastAsia="方正黑体_GBK"/>
        </w:rPr>
        <w:t>第</w:t>
      </w:r>
      <w:r>
        <w:rPr>
          <w:rFonts w:hint="eastAsia" w:eastAsia="方正黑体_GBK"/>
        </w:rPr>
        <w:t>二十一</w:t>
      </w:r>
      <w:r>
        <w:rPr>
          <w:rFonts w:eastAsia="方正黑体_GBK"/>
        </w:rPr>
        <w:t>条</w:t>
      </w:r>
      <w:r>
        <w:rPr>
          <w:rFonts w:hint="eastAsia" w:eastAsia="方正黑体_GBK"/>
        </w:rPr>
        <w:t xml:space="preserve"> </w:t>
      </w:r>
      <w:r>
        <w:t>镇人民政府、街道办事处</w:t>
      </w:r>
      <w:r>
        <w:rPr>
          <w:rFonts w:hint="eastAsia"/>
        </w:rPr>
        <w:t>按照方便群众、合理布局、安全有序等原则，可以划定临时摊点经营区域，并设置必要的供水、供电和污水、垃圾收集、油烟处理等设施，确定管理责任人。</w:t>
      </w:r>
    </w:p>
    <w:p>
      <w:pPr>
        <w:spacing w:after="0"/>
        <w:contextualSpacing/>
      </w:pPr>
      <w:r>
        <w:rPr>
          <w:rFonts w:hint="eastAsia"/>
        </w:rPr>
        <w:t>摊点经营者应当按照规定的时间、区域和业态经营，并保持场地及周边环境卫生整洁。</w:t>
      </w:r>
    </w:p>
    <w:p>
      <w:pPr>
        <w:spacing w:after="0"/>
        <w:contextualSpacing/>
      </w:pPr>
      <w:r>
        <w:rPr>
          <w:rFonts w:eastAsia="方正黑体_GBK"/>
        </w:rPr>
        <w:t>第</w:t>
      </w:r>
      <w:r>
        <w:rPr>
          <w:rFonts w:hint="eastAsia" w:eastAsia="方正黑体_GBK"/>
        </w:rPr>
        <w:t>二十二</w:t>
      </w:r>
      <w:r>
        <w:rPr>
          <w:rFonts w:eastAsia="方正黑体_GBK"/>
        </w:rPr>
        <w:t>条</w:t>
      </w:r>
      <w:r>
        <w:rPr>
          <w:rFonts w:hint="eastAsia" w:ascii="黑体" w:eastAsia="黑体"/>
        </w:rPr>
        <w:t xml:space="preserve"> </w:t>
      </w:r>
      <w:r>
        <w:rPr>
          <w:rFonts w:hint="eastAsia"/>
        </w:rPr>
        <w:t>任何单位和个人应当规范生产、经营活动区域，不得实施下列行为：</w:t>
      </w:r>
    </w:p>
    <w:p>
      <w:pPr>
        <w:spacing w:after="0"/>
        <w:contextualSpacing/>
      </w:pPr>
      <w:r>
        <w:rPr>
          <w:rFonts w:hint="eastAsia"/>
        </w:rPr>
        <w:t>（一）擅自占用城市道路；</w:t>
      </w:r>
    </w:p>
    <w:p>
      <w:pPr>
        <w:spacing w:after="0"/>
        <w:contextualSpacing/>
      </w:pPr>
      <w:r>
        <w:rPr>
          <w:rFonts w:hint="eastAsia"/>
        </w:rPr>
        <w:t>（二）擅自占用城市道路红线与建筑边界（围墙）之间的区域等公共场所；</w:t>
      </w:r>
    </w:p>
    <w:p>
      <w:pPr>
        <w:spacing w:after="0"/>
        <w:contextualSpacing/>
      </w:pPr>
      <w:r>
        <w:rPr>
          <w:rFonts w:hint="eastAsia"/>
        </w:rPr>
        <w:t>（三）擅自超出临街商铺的门、窗边界从事经营活动；</w:t>
      </w:r>
    </w:p>
    <w:p>
      <w:pPr>
        <w:spacing w:after="0"/>
        <w:contextualSpacing/>
      </w:pPr>
      <w:r>
        <w:rPr>
          <w:rFonts w:hint="eastAsia"/>
        </w:rPr>
        <w:t>（四）其他违反法律、法规规定的行为。</w:t>
      </w:r>
    </w:p>
    <w:p>
      <w:pPr>
        <w:spacing w:after="0"/>
        <w:contextualSpacing/>
      </w:pPr>
      <w:r>
        <w:rPr>
          <w:rFonts w:eastAsia="方正黑体_GBK"/>
        </w:rPr>
        <w:t>第</w:t>
      </w:r>
      <w:r>
        <w:rPr>
          <w:rFonts w:hint="eastAsia" w:eastAsia="方正黑体_GBK"/>
        </w:rPr>
        <w:t>二十三</w:t>
      </w:r>
      <w:r>
        <w:rPr>
          <w:rFonts w:eastAsia="方正黑体_GBK"/>
        </w:rPr>
        <w:t>条</w:t>
      </w:r>
      <w:r>
        <w:rPr>
          <w:rFonts w:hint="eastAsia"/>
        </w:rPr>
        <w:t xml:space="preserve"> </w:t>
      </w:r>
      <w:r>
        <w:t>户外广告</w:t>
      </w:r>
      <w:r>
        <w:rPr>
          <w:rFonts w:hint="eastAsia"/>
        </w:rPr>
        <w:t>和招牌设施的</w:t>
      </w:r>
      <w:r>
        <w:t>产权单位或者设置人应当加强日常维护和安全检查，及时修整、更换、拆除影响市容或者存在安全隐患的设施，保持整洁美观、安全牢固、功能完好。</w:t>
      </w:r>
    </w:p>
    <w:p>
      <w:pPr>
        <w:spacing w:after="0"/>
        <w:contextualSpacing/>
      </w:pPr>
      <w:r>
        <w:rPr>
          <w:rFonts w:hint="eastAsia"/>
        </w:rPr>
        <w:t>户外广告设施临时空置的，应当及时设置公益广告。</w:t>
      </w:r>
    </w:p>
    <w:p>
      <w:pPr>
        <w:spacing w:after="0"/>
        <w:contextualSpacing/>
      </w:pPr>
      <w:r>
        <w:rPr>
          <w:rFonts w:hint="eastAsia"/>
        </w:rPr>
        <w:t>任何单位和个人不得擅自</w:t>
      </w:r>
      <w:r>
        <w:t>在</w:t>
      </w:r>
      <w:r>
        <w:rPr>
          <w:rFonts w:hint="eastAsia"/>
        </w:rPr>
        <w:t>户外</w:t>
      </w:r>
      <w:r>
        <w:t>公共区域设置广告牌、标语牌、宣传栏</w:t>
      </w:r>
      <w:r>
        <w:rPr>
          <w:rFonts w:hint="eastAsia"/>
        </w:rPr>
        <w:t>、实物造型</w:t>
      </w:r>
      <w:r>
        <w:t>等</w:t>
      </w:r>
      <w:r>
        <w:rPr>
          <w:rFonts w:hint="eastAsia"/>
        </w:rPr>
        <w:t>设施。</w:t>
      </w:r>
    </w:p>
    <w:p>
      <w:pPr>
        <w:spacing w:after="0"/>
        <w:contextualSpacing/>
      </w:pPr>
      <w:r>
        <w:rPr>
          <w:rFonts w:eastAsia="方正黑体_GBK"/>
        </w:rPr>
        <w:t>第</w:t>
      </w:r>
      <w:r>
        <w:rPr>
          <w:rFonts w:hint="eastAsia" w:eastAsia="方正黑体_GBK"/>
        </w:rPr>
        <w:t>二十四</w:t>
      </w:r>
      <w:r>
        <w:rPr>
          <w:rFonts w:eastAsia="方正黑体_GBK"/>
        </w:rPr>
        <w:t>条</w:t>
      </w:r>
      <w:r>
        <w:rPr>
          <w:rFonts w:hint="eastAsia" w:eastAsia="方正黑体_GBK"/>
        </w:rPr>
        <w:t xml:space="preserve"> </w:t>
      </w:r>
      <w:r>
        <w:rPr>
          <w:rFonts w:hint="eastAsia"/>
        </w:rPr>
        <w:t>养犬应当</w:t>
      </w:r>
      <w:r>
        <w:t>依法登记</w:t>
      </w:r>
      <w:r>
        <w:rPr>
          <w:rFonts w:hint="eastAsia"/>
        </w:rPr>
        <w:t>、免疫。养犬登记、免疫要求等由公安机关会同县（市、区）人民政府农业农村主管部门予以公告。</w:t>
      </w:r>
    </w:p>
    <w:p>
      <w:pPr>
        <w:spacing w:after="0"/>
        <w:contextualSpacing/>
      </w:pPr>
      <w:r>
        <w:rPr>
          <w:rFonts w:hint="eastAsia"/>
        </w:rPr>
        <w:t>禁止在本市行政区域内的城市、县城建成区以及依法实施城市化管理的其他区域内饲养烈性犬。烈性犬类名录由公安机关会同市人民政府农业农村主管部门确定并向社会公布。</w:t>
      </w:r>
    </w:p>
    <w:p>
      <w:pPr>
        <w:spacing w:after="0"/>
        <w:contextualSpacing/>
      </w:pPr>
      <w:r>
        <w:rPr>
          <w:rFonts w:eastAsia="方正黑体_GBK"/>
        </w:rPr>
        <w:t>第</w:t>
      </w:r>
      <w:r>
        <w:rPr>
          <w:rFonts w:hint="eastAsia" w:eastAsia="方正黑体_GBK"/>
        </w:rPr>
        <w:t>二十五</w:t>
      </w:r>
      <w:r>
        <w:rPr>
          <w:rFonts w:eastAsia="方正黑体_GBK"/>
        </w:rPr>
        <w:t>条</w:t>
      </w:r>
      <w:r>
        <w:rPr>
          <w:rFonts w:hint="eastAsia" w:eastAsia="方正黑体_GBK"/>
        </w:rPr>
        <w:t xml:space="preserve"> </w:t>
      </w:r>
      <w:r>
        <w:t>犬只死亡、丢失</w:t>
      </w:r>
      <w:r>
        <w:rPr>
          <w:rFonts w:hint="eastAsia"/>
        </w:rPr>
        <w:t>或者养犬人</w:t>
      </w:r>
      <w:r>
        <w:t>遗弃、无偿送养、寄养超过6个月的，养犬人应当自相关事项发生之日起</w:t>
      </w:r>
      <w:r>
        <w:rPr>
          <w:rFonts w:hint="eastAsia"/>
        </w:rPr>
        <w:t>30</w:t>
      </w:r>
      <w:r>
        <w:t>日内申请办理注销登记</w:t>
      </w:r>
      <w:r>
        <w:rPr>
          <w:rFonts w:hint="eastAsia"/>
        </w:rPr>
        <w:t>。</w:t>
      </w:r>
    </w:p>
    <w:p>
      <w:pPr>
        <w:spacing w:after="0"/>
        <w:contextualSpacing/>
      </w:pPr>
      <w:r>
        <w:t>养犬人未按规定办理注销登记或者犬只免疫有效期满未对犬只进行狂犬病免疫接种的，由公安机关依法注销其养犬登记。</w:t>
      </w:r>
    </w:p>
    <w:p>
      <w:pPr>
        <w:spacing w:after="0"/>
        <w:contextualSpacing/>
      </w:pPr>
      <w:r>
        <w:rPr>
          <w:rFonts w:hint="eastAsia" w:eastAsia="方正黑体_GBK"/>
          <w:szCs w:val="32"/>
        </w:rPr>
        <w:t>第</w:t>
      </w:r>
      <w:r>
        <w:rPr>
          <w:rFonts w:hint="eastAsia" w:eastAsia="方正黑体_GBK"/>
        </w:rPr>
        <w:t>二十六</w:t>
      </w:r>
      <w:r>
        <w:rPr>
          <w:rFonts w:hint="eastAsia" w:eastAsia="方正黑体_GBK"/>
          <w:szCs w:val="32"/>
        </w:rPr>
        <w:t xml:space="preserve">条 </w:t>
      </w:r>
      <w:r>
        <w:rPr>
          <w:rFonts w:hint="eastAsia"/>
        </w:rPr>
        <w:t>养犬人不得实施下列行为：</w:t>
      </w:r>
    </w:p>
    <w:p>
      <w:pPr>
        <w:spacing w:after="0"/>
        <w:contextualSpacing/>
      </w:pPr>
      <w:r>
        <w:rPr>
          <w:rFonts w:hint="eastAsia"/>
        </w:rPr>
        <w:t>（一）驱使或者放任犬只恐吓、伤害他人；</w:t>
      </w:r>
    </w:p>
    <w:p>
      <w:pPr>
        <w:spacing w:after="0"/>
        <w:contextualSpacing/>
      </w:pPr>
      <w:r>
        <w:rPr>
          <w:rFonts w:hint="eastAsia"/>
        </w:rPr>
        <w:t>（二）干扰他人正常生活，犬吠影响他人正常工作和休息；</w:t>
      </w:r>
    </w:p>
    <w:p>
      <w:pPr>
        <w:spacing w:after="0"/>
        <w:contextualSpacing/>
      </w:pPr>
      <w:r>
        <w:rPr>
          <w:rFonts w:hint="eastAsia"/>
        </w:rPr>
        <w:t>（三）携带犬只乘坐公共交通工具或者进入设置有犬只禁入标志的公共场所；</w:t>
      </w:r>
    </w:p>
    <w:p>
      <w:pPr>
        <w:spacing w:after="0"/>
        <w:contextualSpacing/>
      </w:pPr>
      <w:r>
        <w:rPr>
          <w:rFonts w:hint="eastAsia"/>
        </w:rPr>
        <w:t>（四）携犬出户牵引犬绳超过2米；</w:t>
      </w:r>
    </w:p>
    <w:p>
      <w:pPr>
        <w:spacing w:after="0"/>
        <w:contextualSpacing/>
      </w:pPr>
      <w:r>
        <w:rPr>
          <w:rFonts w:hint="eastAsia"/>
        </w:rPr>
        <w:t>（五）放任犬只随地便溺污染环境卫生，不清理犬只粪便；</w:t>
      </w:r>
    </w:p>
    <w:p>
      <w:pPr>
        <w:spacing w:after="0"/>
        <w:contextualSpacing/>
      </w:pPr>
      <w:r>
        <w:rPr>
          <w:rFonts w:hint="eastAsia"/>
        </w:rPr>
        <w:t>（六）法律、法规规定的其他禁止行为。</w:t>
      </w:r>
    </w:p>
    <w:p>
      <w:pPr>
        <w:spacing w:after="0"/>
        <w:contextualSpacing/>
      </w:pPr>
      <w:r>
        <w:rPr>
          <w:rFonts w:hint="eastAsia"/>
        </w:rPr>
        <w:t>残障人士携带导盲犬或者扶助犬的，不受前款第三项的限制。</w:t>
      </w:r>
    </w:p>
    <w:p>
      <w:pPr>
        <w:spacing w:after="0"/>
        <w:contextualSpacing/>
      </w:pPr>
      <w:r>
        <w:rPr>
          <w:rFonts w:hint="eastAsia"/>
        </w:rPr>
        <w:t>鼓励养犬人携犬出户时采取为犬只佩戴嘴套等安全防护措施。</w:t>
      </w:r>
    </w:p>
    <w:p>
      <w:pPr>
        <w:spacing w:after="0"/>
        <w:contextualSpacing/>
        <w:rPr>
          <w:rFonts w:ascii="方正仿宋_GBK"/>
        </w:rPr>
      </w:pPr>
      <w:r>
        <w:rPr>
          <w:rFonts w:hint="eastAsia" w:ascii="方正黑体_GBK" w:eastAsia="方正黑体_GBK"/>
        </w:rPr>
        <w:t xml:space="preserve">第二十七条 </w:t>
      </w:r>
      <w:r>
        <w:rPr>
          <w:rFonts w:hint="eastAsia" w:ascii="方正仿宋_GBK"/>
        </w:rPr>
        <w:t>生态环境主管部门负责对餐饮业油烟污染防治实施统一监督管理。</w:t>
      </w:r>
    </w:p>
    <w:p>
      <w:pPr>
        <w:spacing w:after="0"/>
        <w:contextualSpacing/>
        <w:rPr>
          <w:rFonts w:ascii="方正仿宋_GBK"/>
        </w:rPr>
      </w:pPr>
      <w:r>
        <w:rPr>
          <w:rFonts w:hint="eastAsia" w:ascii="方正仿宋_GBK"/>
        </w:rPr>
        <w:t>市场监督管理部门在申请人申请办理餐饮业经营项目市场主体登记时，应当告知申请人新建、改建、扩建产生油烟、异味、废气的餐饮业经营项目选址应当符合大气污染防治的相关要求，提示选址禁止性要求。</w:t>
      </w:r>
    </w:p>
    <w:p>
      <w:pPr>
        <w:spacing w:after="0"/>
        <w:contextualSpacing/>
        <w:rPr>
          <w:rFonts w:ascii="方正仿宋_GBK"/>
        </w:rPr>
      </w:pPr>
      <w:r>
        <w:rPr>
          <w:rFonts w:hint="eastAsia" w:ascii="方正仿宋_GBK"/>
        </w:rPr>
        <w:t>城市管理、自然资源、住房城乡建设等部门应当按照各自职责，做好餐饮业油烟污染防治有关工作。</w:t>
      </w:r>
    </w:p>
    <w:p>
      <w:pPr>
        <w:spacing w:after="0"/>
        <w:contextualSpacing/>
      </w:pPr>
      <w:r>
        <w:rPr>
          <w:rFonts w:hint="eastAsia" w:ascii="方正仿宋_GBK"/>
        </w:rPr>
        <w:t>镇人民政府、街道办事处和村（居）民委员会按照职责协助有关部门做好本区域内餐饮业油烟污染防治有关工作，加强对餐饮业油烟污染投诉的协调处理。</w:t>
      </w:r>
    </w:p>
    <w:p>
      <w:pPr>
        <w:spacing w:after="0"/>
        <w:contextualSpacing/>
      </w:pPr>
      <w:r>
        <w:rPr>
          <w:rFonts w:eastAsia="方正黑体_GBK"/>
        </w:rPr>
        <w:t>第</w:t>
      </w:r>
      <w:r>
        <w:rPr>
          <w:rFonts w:hint="eastAsia" w:eastAsia="方正黑体_GBK"/>
        </w:rPr>
        <w:t>二十</w:t>
      </w:r>
      <w:r>
        <w:rPr>
          <w:rFonts w:hint="eastAsia" w:eastAsia="方正黑体_GBK"/>
        </w:rPr>
        <w:t>八</w:t>
      </w:r>
      <w:r>
        <w:rPr>
          <w:rFonts w:eastAsia="方正黑体_GBK"/>
        </w:rPr>
        <w:t>条</w:t>
      </w:r>
      <w:r>
        <w:rPr>
          <w:rFonts w:hint="eastAsia" w:eastAsia="方正黑体_GBK"/>
        </w:rPr>
        <w:t xml:space="preserve"> </w:t>
      </w:r>
      <w:r>
        <w:rPr>
          <w:rFonts w:hint="eastAsia"/>
        </w:rPr>
        <w:t>排放油烟污染物的餐饮服务业经营者应当按照规定安装油烟净化等污染防治设施并保持正常使用。</w:t>
      </w:r>
    </w:p>
    <w:p>
      <w:pPr>
        <w:spacing w:after="0"/>
        <w:contextualSpacing/>
      </w:pPr>
      <w:r>
        <w:rPr>
          <w:rFonts w:hint="eastAsia"/>
        </w:rPr>
        <w:t>餐饮服务业经营者应当对油烟净化设施进行维护保养。</w:t>
      </w:r>
    </w:p>
    <w:p>
      <w:pPr>
        <w:spacing w:after="0"/>
        <w:contextualSpacing/>
        <w:rPr>
          <w:rFonts w:ascii="方正仿宋_GBK"/>
          <w:szCs w:val="32"/>
        </w:rPr>
      </w:pPr>
      <w:r>
        <w:rPr>
          <w:rFonts w:hint="eastAsia" w:eastAsia="方正黑体_GBK"/>
        </w:rPr>
        <w:t>第二十</w:t>
      </w:r>
      <w:r>
        <w:rPr>
          <w:rFonts w:hint="eastAsia" w:eastAsia="方正黑体_GBK"/>
        </w:rPr>
        <w:t>九</w:t>
      </w:r>
      <w:r>
        <w:rPr>
          <w:rFonts w:hint="eastAsia" w:eastAsia="方正黑体_GBK"/>
        </w:rPr>
        <w:t>条</w:t>
      </w:r>
      <w:r>
        <w:rPr>
          <w:rFonts w:hint="eastAsia" w:ascii="方正黑体_GBK" w:hAnsi="方正黑体_GBK" w:eastAsia="方正黑体_GBK" w:cs="方正黑体_GBK"/>
        </w:rPr>
        <w:t xml:space="preserve"> </w:t>
      </w:r>
      <w:r>
        <w:rPr>
          <w:rFonts w:hint="eastAsia"/>
        </w:rPr>
        <w:t>餐饮服务业经营者</w:t>
      </w:r>
      <w:r>
        <w:rPr>
          <w:rFonts w:hint="eastAsia" w:ascii="方正仿宋_GBK"/>
          <w:szCs w:val="32"/>
        </w:rPr>
        <w:t>不得实施下列妨碍餐饮油烟达标排放的行为：</w:t>
      </w:r>
    </w:p>
    <w:p>
      <w:pPr>
        <w:pStyle w:val="38"/>
        <w:spacing w:after="0" w:line="580" w:lineRule="exact"/>
        <w:ind w:left="0" w:firstLine="640"/>
        <w:rPr>
          <w:rFonts w:hint="eastAsia" w:ascii="方正仿宋_GBK" w:eastAsia="方正仿宋_GBK"/>
          <w:sz w:val="32"/>
          <w:szCs w:val="32"/>
        </w:rPr>
      </w:pPr>
      <w:r>
        <w:rPr>
          <w:rFonts w:hint="eastAsia" w:ascii="方正仿宋_GBK" w:eastAsia="方正仿宋_GBK"/>
          <w:sz w:val="32"/>
          <w:szCs w:val="32"/>
        </w:rPr>
        <w:t>（一）在未采取其他油烟净化措施使油烟达标排放的情况下，闲置或者拆除油烟净化设施；</w:t>
      </w:r>
    </w:p>
    <w:p>
      <w:pPr>
        <w:pStyle w:val="38"/>
        <w:spacing w:after="0" w:line="580" w:lineRule="exact"/>
        <w:ind w:left="0" w:firstLine="640"/>
        <w:rPr>
          <w:rFonts w:hint="eastAsia" w:ascii="方正仿宋_GBK" w:eastAsia="方正仿宋_GBK"/>
          <w:sz w:val="32"/>
          <w:szCs w:val="32"/>
        </w:rPr>
      </w:pPr>
      <w:r>
        <w:rPr>
          <w:rFonts w:hint="eastAsia" w:ascii="方正仿宋_GBK" w:eastAsia="方正仿宋_GBK"/>
          <w:sz w:val="32"/>
          <w:szCs w:val="32"/>
        </w:rPr>
        <w:t>（二）在居民住宅楼、未配套设立专用烟道的商住综合楼以及商住综合楼内与居住层相邻的商业楼层内新建、改建、扩建产生油烟、异味、废气的餐饮服务项目；</w:t>
      </w:r>
    </w:p>
    <w:p>
      <w:pPr>
        <w:pStyle w:val="38"/>
        <w:spacing w:after="0" w:line="580" w:lineRule="exact"/>
        <w:ind w:left="0" w:firstLine="640"/>
        <w:rPr>
          <w:rFonts w:hint="eastAsia" w:ascii="方正仿宋_GBK" w:eastAsia="方正仿宋_GBK"/>
          <w:sz w:val="32"/>
          <w:szCs w:val="32"/>
        </w:rPr>
      </w:pPr>
      <w:r>
        <w:rPr>
          <w:rFonts w:hint="eastAsia" w:ascii="方正仿宋_GBK" w:eastAsia="方正仿宋_GBK"/>
          <w:sz w:val="32"/>
          <w:szCs w:val="32"/>
        </w:rPr>
        <w:t>（三）向城镇排水设施排放油烟；</w:t>
      </w:r>
    </w:p>
    <w:p>
      <w:pPr>
        <w:spacing w:after="0"/>
        <w:contextualSpacing/>
        <w:rPr>
          <w:rFonts w:ascii="方正仿宋_GBK"/>
          <w:kern w:val="0"/>
          <w:szCs w:val="32"/>
          <w:highlight w:val="green"/>
        </w:rPr>
      </w:pPr>
      <w:r>
        <w:rPr>
          <w:rFonts w:hint="eastAsia" w:ascii="方正仿宋_GBK"/>
          <w:szCs w:val="32"/>
        </w:rPr>
        <w:t>（四）法律、法规规定的其他</w:t>
      </w:r>
      <w:r>
        <w:rPr>
          <w:rFonts w:hint="eastAsia" w:ascii="方正仿宋_GBK"/>
          <w:kern w:val="0"/>
          <w:szCs w:val="32"/>
        </w:rPr>
        <w:t>妨碍餐饮油烟达标排放的</w:t>
      </w:r>
      <w:r>
        <w:rPr>
          <w:rFonts w:hint="eastAsia" w:ascii="方正仿宋_GBK"/>
          <w:szCs w:val="32"/>
        </w:rPr>
        <w:t>行为。</w:t>
      </w:r>
    </w:p>
    <w:p>
      <w:pPr>
        <w:spacing w:after="0"/>
        <w:contextualSpacing/>
      </w:pPr>
      <w:r>
        <w:rPr>
          <w:rFonts w:hint="eastAsia" w:ascii="方正黑体_GBK" w:hAnsi="方正黑体_GBK" w:eastAsia="方正黑体_GBK" w:cs="方正黑体_GBK"/>
        </w:rPr>
        <w:t xml:space="preserve">第三十条 </w:t>
      </w:r>
      <w:r>
        <w:t>产生、收集厨余垃圾的单位和其他生产经营者，应当将厨余垃圾交由具备相应资质条件的单位进行无害化处理。</w:t>
      </w:r>
    </w:p>
    <w:p>
      <w:pPr>
        <w:spacing w:after="0"/>
        <w:contextualSpacing/>
      </w:pPr>
      <w:r>
        <w:rPr>
          <w:rFonts w:hint="eastAsia"/>
        </w:rPr>
        <w:t>禁止单位和其他生产经营者将厨余垃圾与其他垃圾混装、混倒或者排入雨水、污水管道等。</w:t>
      </w:r>
    </w:p>
    <w:p>
      <w:pPr>
        <w:spacing w:after="0"/>
        <w:contextualSpacing/>
      </w:pPr>
      <w:r>
        <w:rPr>
          <w:rFonts w:hint="eastAsia"/>
        </w:rPr>
        <w:t>禁止个人从事厨余垃圾经营性收集、运输、处置活动。</w:t>
      </w:r>
    </w:p>
    <w:p>
      <w:pPr>
        <w:spacing w:after="0"/>
        <w:contextualSpacing/>
        <w:rPr>
          <w:rFonts w:eastAsia="方正黑体_GBK"/>
        </w:rPr>
      </w:pPr>
      <w:r>
        <w:rPr>
          <w:rFonts w:hint="eastAsia" w:eastAsia="方正黑体_GBK"/>
        </w:rPr>
        <w:t xml:space="preserve">第三十一条 </w:t>
      </w:r>
      <w:r>
        <w:rPr>
          <w:rFonts w:hint="eastAsia" w:ascii="方正仿宋_GBK"/>
        </w:rPr>
        <w:t>生态环境主管部门应当公布区域噪声最高限值，会同有关部门按照规定在噪声敏感建筑物集中区域和广场、公园等公共场所，合理设置噪声自动监测和显示设施，监测区域声环境质量。</w:t>
      </w:r>
    </w:p>
    <w:p>
      <w:pPr>
        <w:spacing w:after="0"/>
        <w:contextualSpacing/>
      </w:pPr>
      <w:r>
        <w:rPr>
          <w:rFonts w:hint="eastAsia" w:eastAsia="方正黑体_GBK"/>
        </w:rPr>
        <w:t xml:space="preserve">第三十二条 </w:t>
      </w:r>
      <w:r>
        <w:rPr>
          <w:rFonts w:hint="eastAsia"/>
        </w:rPr>
        <w:t>街道、广场、公园等公共场所管理者应当合理规定健身、娱乐、宣传等活动的区域、时段、音量。在公共场所组织或者开展健身、娱乐、宣传等活动应当遵守有关规定，不得干扰他人正常生活。</w:t>
      </w:r>
    </w:p>
    <w:p>
      <w:pPr>
        <w:spacing w:after="0"/>
        <w:contextualSpacing/>
      </w:pPr>
      <w:r>
        <w:t>在已竣工交付的建筑物内，禁止在节假日全天和工作日的12点至14点、19点至次日8点进行产生噪声的室内装修活动。</w:t>
      </w:r>
      <w:r>
        <w:rPr>
          <w:rFonts w:hint="eastAsia"/>
        </w:rPr>
        <w:t>因房屋安全紧急维修、公共利益需要的，应当提前告知周边居民，并采取有效降噪措施。</w:t>
      </w:r>
    </w:p>
    <w:p>
      <w:pPr>
        <w:spacing w:after="0"/>
        <w:contextualSpacing/>
      </w:pPr>
      <w:r>
        <w:rPr>
          <w:rFonts w:hint="eastAsia" w:ascii="方正黑体_GBK" w:eastAsia="方正黑体_GBK"/>
        </w:rPr>
        <w:t xml:space="preserve">第三十三条 </w:t>
      </w:r>
      <w:r>
        <w:rPr>
          <w:rFonts w:hint="eastAsia"/>
        </w:rPr>
        <w:t>村（居）民委员会、业主委员会、物业服务人应当依法对产生社会生活噪声污染的行为进行劝阻、调解；劝阻、调解无效的，可以向负有社会生活噪声污染防治监督管理职责的部门或者县（市、区）人民政府指定的部门报告或者投诉，接到报告或者投诉的部门应当依法处理。</w:t>
      </w:r>
    </w:p>
    <w:p>
      <w:pPr>
        <w:spacing w:after="0"/>
        <w:contextualSpacing/>
      </w:pPr>
      <w:r>
        <w:rPr>
          <w:rFonts w:eastAsia="方正黑体_GBK"/>
        </w:rPr>
        <w:t>第</w:t>
      </w:r>
      <w:r>
        <w:rPr>
          <w:rFonts w:hint="eastAsia" w:eastAsia="方正黑体_GBK"/>
        </w:rPr>
        <w:t>三十</w:t>
      </w:r>
      <w:r>
        <w:rPr>
          <w:rFonts w:hint="eastAsia" w:ascii="方正黑体_GBK" w:eastAsia="方正黑体_GBK"/>
        </w:rPr>
        <w:t>四</w:t>
      </w:r>
      <w:r>
        <w:rPr>
          <w:rFonts w:eastAsia="方正黑体_GBK"/>
        </w:rPr>
        <w:t>条</w:t>
      </w:r>
      <w:r>
        <w:rPr>
          <w:rFonts w:hint="eastAsia" w:eastAsia="方正黑体_GBK"/>
        </w:rPr>
        <w:t xml:space="preserve"> </w:t>
      </w:r>
      <w:r>
        <w:t>在噪声敏感建筑物集中区域，禁止</w:t>
      </w:r>
      <w:r>
        <w:rPr>
          <w:rFonts w:hint="eastAsia"/>
        </w:rPr>
        <w:t>在当日22点</w:t>
      </w:r>
      <w:r>
        <w:t>至次日</w:t>
      </w:r>
      <w:r>
        <w:rPr>
          <w:rFonts w:hint="eastAsia"/>
        </w:rPr>
        <w:t>6点</w:t>
      </w:r>
      <w:r>
        <w:t>进行产生噪声的建筑施工作业，但抢修、抢险施工作业，因生产工艺要求或者其他特殊需要必须连续施工作业的除外。</w:t>
      </w:r>
    </w:p>
    <w:p>
      <w:pPr>
        <w:spacing w:after="0"/>
        <w:contextualSpacing/>
      </w:pPr>
      <w:r>
        <w:rPr>
          <w:rFonts w:hint="eastAsia"/>
        </w:rPr>
        <w:t>因特殊需要必须连续施工作业的，应当取得住房城乡建设、生</w:t>
      </w:r>
      <w:r>
        <w:rPr>
          <w:rFonts w:hint="eastAsia" w:ascii="方正仿宋_GBK"/>
        </w:rPr>
        <w:t>态环境主管部门或者</w:t>
      </w:r>
      <w:r>
        <w:rPr>
          <w:rFonts w:hint="eastAsia"/>
        </w:rPr>
        <w:t>市、县（市、区）人民政府指定的部门的证明，并在施工现场显著位置公示或者以其他方式公告附近居民。</w:t>
      </w:r>
    </w:p>
    <w:p>
      <w:pPr>
        <w:spacing w:after="0"/>
        <w:contextualSpacing/>
      </w:pPr>
      <w:r>
        <w:rPr>
          <w:rFonts w:hint="eastAsia" w:eastAsia="方正黑体_GBK"/>
        </w:rPr>
        <w:t xml:space="preserve">第三十五条 </w:t>
      </w:r>
      <w:r>
        <w:t>在中考、高考或者其他重大社会活动期间，市、县（市、区）人民政府</w:t>
      </w:r>
      <w:r>
        <w:rPr>
          <w:rFonts w:hint="eastAsia"/>
        </w:rPr>
        <w:t>或者其指定的部门可以</w:t>
      </w:r>
      <w:r>
        <w:t>对特定区域内可能产生噪声污染的活动采取临时性限制措施，</w:t>
      </w:r>
      <w:r>
        <w:rPr>
          <w:rFonts w:hint="eastAsia"/>
        </w:rPr>
        <w:t>并</w:t>
      </w:r>
      <w:r>
        <w:t>提前向社会公告。</w:t>
      </w:r>
    </w:p>
    <w:p>
      <w:pPr>
        <w:spacing w:after="0"/>
        <w:contextualSpacing/>
        <w:rPr>
          <w:rFonts w:ascii="黑体" w:eastAsia="黑体"/>
        </w:rPr>
      </w:pPr>
      <w:r>
        <w:rPr>
          <w:rFonts w:hint="eastAsia" w:ascii="方正黑体_GBK" w:hAnsi="方正黑体_GBK" w:eastAsia="方正黑体_GBK" w:cs="方正黑体_GBK"/>
        </w:rPr>
        <w:t>第</w:t>
      </w:r>
      <w:r>
        <w:rPr>
          <w:rFonts w:hint="eastAsia" w:eastAsia="方正黑体_GBK"/>
          <w:kern w:val="0"/>
        </w:rPr>
        <w:t>三十六</w:t>
      </w:r>
      <w:r>
        <w:rPr>
          <w:rFonts w:hint="eastAsia" w:ascii="方正黑体_GBK" w:hAnsi="方正黑体_GBK" w:eastAsia="方正黑体_GBK" w:cs="方正黑体_GBK"/>
        </w:rPr>
        <w:t xml:space="preserve">条 </w:t>
      </w:r>
      <w:r>
        <w:rPr>
          <w:rFonts w:hint="eastAsia"/>
        </w:rPr>
        <w:t>任何单位和个人不得擅自倾倒、堆放、丢弃、抛撒、遗撒或者焚烧建筑垃圾。</w:t>
      </w:r>
    </w:p>
    <w:p>
      <w:pPr>
        <w:spacing w:after="0"/>
        <w:contextualSpacing/>
        <w:rPr>
          <w:rFonts w:eastAsia="方正黑体_GBK"/>
        </w:rPr>
      </w:pPr>
      <w:r>
        <w:t>建筑垃圾</w:t>
      </w:r>
      <w:r>
        <w:rPr>
          <w:rFonts w:hint="eastAsia"/>
        </w:rPr>
        <w:t>运输</w:t>
      </w:r>
      <w:r>
        <w:t>单位</w:t>
      </w:r>
      <w:r>
        <w:rPr>
          <w:rFonts w:hint="eastAsia"/>
        </w:rPr>
        <w:t>应当随车携带建筑垃圾处置核准文件，</w:t>
      </w:r>
      <w:r>
        <w:rPr>
          <w:rFonts w:hint="eastAsia" w:hAnsi="方正仿宋_GBK" w:cs="方正仿宋_GBK"/>
        </w:rPr>
        <w:t>并按规定的时间、路线和地点运输。</w:t>
      </w:r>
    </w:p>
    <w:bookmarkEnd w:id="0"/>
    <w:p>
      <w:pPr>
        <w:spacing w:after="0"/>
        <w:contextualSpacing/>
        <w:rPr>
          <w:shd w:val="clear" w:color="auto" w:fill="FFFFFF"/>
        </w:rPr>
      </w:pPr>
      <w:r>
        <w:rPr>
          <w:rFonts w:eastAsia="方正黑体_GBK"/>
          <w:kern w:val="0"/>
        </w:rPr>
        <w:t>第</w:t>
      </w:r>
      <w:r>
        <w:rPr>
          <w:rFonts w:hint="eastAsia" w:eastAsia="方正黑体_GBK"/>
          <w:kern w:val="0"/>
        </w:rPr>
        <w:t>三十七</w:t>
      </w:r>
      <w:r>
        <w:rPr>
          <w:rFonts w:eastAsia="方正黑体_GBK"/>
          <w:kern w:val="0"/>
        </w:rPr>
        <w:t>条</w:t>
      </w:r>
      <w:r>
        <w:rPr>
          <w:rFonts w:hint="eastAsia" w:eastAsia="方正黑体_GBK"/>
          <w:kern w:val="0"/>
        </w:rPr>
        <w:t xml:space="preserve"> </w:t>
      </w:r>
      <w:r>
        <w:rPr>
          <w:rFonts w:hint="eastAsia"/>
          <w:shd w:val="clear" w:color="auto" w:fill="FFFFFF"/>
        </w:rPr>
        <w:t>施工工地</w:t>
      </w:r>
      <w:r>
        <w:rPr>
          <w:shd w:val="clear" w:color="auto" w:fill="FFFFFF"/>
        </w:rPr>
        <w:t>应当</w:t>
      </w:r>
      <w:r>
        <w:rPr>
          <w:rFonts w:hint="eastAsia"/>
          <w:shd w:val="clear" w:color="auto" w:fill="FFFFFF"/>
        </w:rPr>
        <w:t>设</w:t>
      </w:r>
      <w:r>
        <w:rPr>
          <w:shd w:val="clear" w:color="auto" w:fill="FFFFFF"/>
        </w:rPr>
        <w:t>置高度不低于</w:t>
      </w:r>
      <w:r>
        <w:rPr>
          <w:rFonts w:hint="eastAsia"/>
          <w:shd w:val="clear" w:color="auto" w:fill="FFFFFF"/>
        </w:rPr>
        <w:t>2</w:t>
      </w:r>
      <w:r>
        <w:rPr>
          <w:shd w:val="clear" w:color="auto" w:fill="FFFFFF"/>
        </w:rPr>
        <w:t>米</w:t>
      </w:r>
      <w:r>
        <w:rPr>
          <w:rFonts w:hint="eastAsia"/>
          <w:shd w:val="clear" w:color="auto" w:fill="FFFFFF"/>
        </w:rPr>
        <w:t>的硬质密闭</w:t>
      </w:r>
      <w:r>
        <w:rPr>
          <w:shd w:val="clear" w:color="auto" w:fill="FFFFFF"/>
        </w:rPr>
        <w:t>围挡</w:t>
      </w:r>
      <w:r>
        <w:rPr>
          <w:rFonts w:hint="eastAsia"/>
          <w:shd w:val="clear" w:color="auto" w:fill="FFFFFF"/>
        </w:rPr>
        <w:t>，并对</w:t>
      </w:r>
      <w:r>
        <w:rPr>
          <w:shd w:val="clear" w:color="auto" w:fill="FFFFFF"/>
        </w:rPr>
        <w:t>围档底边采取有效防溢措施，</w:t>
      </w:r>
      <w:r>
        <w:rPr>
          <w:rFonts w:hint="eastAsia"/>
          <w:shd w:val="clear" w:color="auto" w:fill="FFFFFF"/>
        </w:rPr>
        <w:t>防止</w:t>
      </w:r>
      <w:r>
        <w:rPr>
          <w:shd w:val="clear" w:color="auto" w:fill="FFFFFF"/>
        </w:rPr>
        <w:t>泥浆外漏</w:t>
      </w:r>
      <w:r>
        <w:rPr>
          <w:rFonts w:hint="eastAsia"/>
          <w:shd w:val="clear" w:color="auto" w:fill="FFFFFF"/>
        </w:rPr>
        <w:t>。</w:t>
      </w:r>
    </w:p>
    <w:p>
      <w:pPr>
        <w:spacing w:after="0"/>
        <w:contextualSpacing/>
        <w:rPr>
          <w:shd w:val="clear" w:color="auto" w:fill="FFFFFF"/>
        </w:rPr>
      </w:pPr>
      <w:r>
        <w:rPr>
          <w:rFonts w:hint="eastAsia"/>
          <w:shd w:val="clear" w:color="auto" w:fill="FFFFFF"/>
        </w:rPr>
        <w:t>货车停车场、料场、堆场的</w:t>
      </w:r>
      <w:r>
        <w:rPr>
          <w:shd w:val="clear" w:color="auto" w:fill="FFFFFF"/>
        </w:rPr>
        <w:t>出入口、主要道路</w:t>
      </w:r>
      <w:r>
        <w:rPr>
          <w:rFonts w:hint="eastAsia"/>
          <w:shd w:val="clear" w:color="auto" w:fill="FFFFFF"/>
        </w:rPr>
        <w:t>应当</w:t>
      </w:r>
      <w:r>
        <w:rPr>
          <w:shd w:val="clear" w:color="auto" w:fill="FFFFFF"/>
        </w:rPr>
        <w:t>进行硬化处理，并配备车辆冲洗设施以及配套的排水、泥浆沉淀设施，对出场的运输车辆进行冲洗，保持车身清洁</w:t>
      </w:r>
      <w:r>
        <w:rPr>
          <w:rFonts w:hint="eastAsia"/>
          <w:shd w:val="clear" w:color="auto" w:fill="FFFFFF"/>
        </w:rPr>
        <w:t>。</w:t>
      </w:r>
    </w:p>
    <w:p>
      <w:pPr>
        <w:spacing w:after="0"/>
        <w:contextualSpacing/>
      </w:pPr>
      <w:r>
        <w:rPr>
          <w:rFonts w:hint="eastAsia" w:ascii="方正黑体_GBK" w:eastAsia="方正黑体_GBK"/>
        </w:rPr>
        <w:t xml:space="preserve">第三十八条 </w:t>
      </w:r>
      <w:r>
        <w:t>市、县（市、区）人民政府应当完善城市慢行交通系统，优先发展城市公共交通</w:t>
      </w:r>
      <w:r>
        <w:rPr>
          <w:rFonts w:hint="eastAsia"/>
        </w:rPr>
        <w:t>，</w:t>
      </w:r>
      <w:r>
        <w:t>发展绿色交通，推广普及新能源交通工具。</w:t>
      </w:r>
    </w:p>
    <w:p>
      <w:pPr>
        <w:spacing w:after="0"/>
        <w:contextualSpacing/>
        <w:rPr>
          <w:rFonts w:ascii="方正黑体_GBK" w:eastAsia="方正黑体_GBK" w:cs="仿宋_GB2312"/>
          <w:szCs w:val="32"/>
        </w:rPr>
      </w:pPr>
      <w:r>
        <w:rPr>
          <w:rFonts w:hint="eastAsia"/>
        </w:rPr>
        <w:t>鼓励市民优先选择城市公共交通、步行等绿色出行方式。</w:t>
      </w:r>
    </w:p>
    <w:p>
      <w:pPr>
        <w:spacing w:after="0"/>
        <w:contextualSpacing/>
      </w:pPr>
      <w:r>
        <w:rPr>
          <w:rFonts w:eastAsia="方正黑体_GBK"/>
        </w:rPr>
        <w:t>第</w:t>
      </w:r>
      <w:r>
        <w:rPr>
          <w:rFonts w:hint="eastAsia" w:eastAsia="方正黑体_GBK"/>
        </w:rPr>
        <w:t>三十九</w:t>
      </w:r>
      <w:r>
        <w:rPr>
          <w:rFonts w:eastAsia="方正黑体_GBK"/>
        </w:rPr>
        <w:t>条</w:t>
      </w:r>
      <w:r>
        <w:rPr>
          <w:rFonts w:hint="eastAsia" w:eastAsia="方正黑体_GBK"/>
        </w:rPr>
        <w:t xml:space="preserve"> </w:t>
      </w:r>
      <w:r>
        <w:rPr>
          <w:rFonts w:hint="eastAsia"/>
        </w:rPr>
        <w:t>县（市、区）人民政府应当建立互联网租赁自行车投放调控机制，加强投放规模的动态监测、引导和调控。</w:t>
      </w:r>
    </w:p>
    <w:p>
      <w:pPr>
        <w:spacing w:after="0"/>
        <w:contextualSpacing/>
      </w:pPr>
      <w:r>
        <w:rPr>
          <w:rFonts w:hint="eastAsia"/>
        </w:rPr>
        <w:t>运营企业投放车辆应当按照投放调控管理规定，运用技术措施规范车辆停放秩序，保障骑行安全，及时清理存在安全隐患和不能提供服务的车辆。</w:t>
      </w:r>
    </w:p>
    <w:p>
      <w:pPr>
        <w:spacing w:after="0"/>
        <w:contextualSpacing/>
      </w:pPr>
      <w:r>
        <w:rPr>
          <w:rFonts w:hint="eastAsia"/>
        </w:rPr>
        <w:t>使用人不得违反法律、法规关于车辆停放的规定。</w:t>
      </w:r>
    </w:p>
    <w:p>
      <w:pPr>
        <w:spacing w:after="0"/>
        <w:contextualSpacing/>
        <w:rPr>
          <w:rFonts w:ascii="方正黑体_GBK" w:eastAsia="方正黑体_GBK" w:cs="仿宋_GB2312"/>
          <w:szCs w:val="32"/>
        </w:rPr>
      </w:pPr>
      <w:r>
        <w:rPr>
          <w:rFonts w:hint="eastAsia"/>
        </w:rPr>
        <w:t>本条例所称互联网租赁自行车，包括自行车和电动自行车。</w:t>
      </w:r>
    </w:p>
    <w:p>
      <w:pPr>
        <w:spacing w:after="0"/>
        <w:contextualSpacing/>
      </w:pPr>
      <w:r>
        <w:rPr>
          <w:rFonts w:hint="eastAsia" w:ascii="方正黑体_GBK" w:eastAsia="方正黑体_GBK" w:cs="仿宋_GB2312"/>
          <w:szCs w:val="32"/>
        </w:rPr>
        <w:t>第</w:t>
      </w:r>
      <w:r>
        <w:rPr>
          <w:rFonts w:hint="eastAsia" w:ascii="方正黑体_GBK" w:eastAsia="方正黑体_GBK"/>
        </w:rPr>
        <w:t>四十</w:t>
      </w:r>
      <w:r>
        <w:rPr>
          <w:rFonts w:hint="eastAsia" w:ascii="方正黑体_GBK" w:eastAsia="方正黑体_GBK" w:cs="仿宋_GB2312"/>
          <w:szCs w:val="32"/>
        </w:rPr>
        <w:t xml:space="preserve">条 </w:t>
      </w:r>
      <w:r>
        <w:rPr>
          <w:rFonts w:hint="eastAsia"/>
        </w:rPr>
        <w:t>支持利用城市道路红线与临街建筑边界（围墙）之间的公共区域增设停车场和停车泊位。</w:t>
      </w:r>
    </w:p>
    <w:p>
      <w:pPr>
        <w:spacing w:after="0"/>
        <w:contextualSpacing/>
      </w:pPr>
      <w:r>
        <w:rPr>
          <w:rFonts w:hint="eastAsia"/>
        </w:rPr>
        <w:t>鼓励具备条件的机关、企业事业单位和社会团体将其内部停车场对外开放。</w:t>
      </w:r>
    </w:p>
    <w:p>
      <w:pPr>
        <w:spacing w:after="0"/>
        <w:contextualSpacing/>
        <w:rPr>
          <w:rFonts w:hint="eastAsia" w:ascii="方正黑体_GBK" w:eastAsia="方正黑体_GBK" w:hAnsiTheme="majorEastAsia"/>
        </w:rPr>
      </w:pPr>
      <w:r>
        <w:rPr>
          <w:rFonts w:hint="eastAsia"/>
        </w:rPr>
        <w:t>停车供需矛盾突出的区域，其周边道路具备夜间、节假日、休息日等时段性停车条件的，可以在城市道路范围内设置可变停车区域。</w:t>
      </w:r>
    </w:p>
    <w:p>
      <w:pPr>
        <w:spacing w:after="0"/>
        <w:contextualSpacing/>
      </w:pPr>
      <w:r>
        <w:rPr>
          <w:rFonts w:hint="eastAsia" w:ascii="方正黑体_GBK" w:eastAsia="方正黑体_GBK"/>
        </w:rPr>
        <w:t xml:space="preserve">第四十一条 </w:t>
      </w:r>
      <w:r>
        <w:rPr>
          <w:rFonts w:hint="eastAsia"/>
        </w:rPr>
        <w:t>市、县（市、区）人民政府应当加强智慧停车公共信息管理平台建设，提倡和推广应用大数据、物联网</w:t>
      </w:r>
      <w:r>
        <w:rPr>
          <w:rFonts w:hint="eastAsia"/>
          <w:b/>
          <w:bCs/>
        </w:rPr>
        <w:t>、</w:t>
      </w:r>
      <w:r>
        <w:rPr>
          <w:rFonts w:hint="eastAsia"/>
        </w:rPr>
        <w:t>移动通信等新技术新模式，实现移动终端智能化停车服务应用，推动停车资源互联网租赁和供需快速匹配。</w:t>
      </w:r>
    </w:p>
    <w:p>
      <w:pPr>
        <w:spacing w:after="0"/>
        <w:contextualSpacing/>
        <w:rPr>
          <w:rFonts w:hint="eastAsia" w:ascii="方正黑体_GBK" w:eastAsia="方正黑体_GBK" w:hAnsiTheme="majorEastAsia"/>
        </w:rPr>
      </w:pPr>
      <w:r>
        <w:rPr>
          <w:rFonts w:hint="eastAsia"/>
        </w:rPr>
        <w:t>停车场经营主体应当建立严格的个人信息保护制度，不得收集与其提供的服务无关的个人信息。</w:t>
      </w:r>
    </w:p>
    <w:p>
      <w:pPr>
        <w:spacing w:after="0"/>
        <w:contextualSpacing/>
      </w:pPr>
      <w:r>
        <w:rPr>
          <w:rFonts w:hint="eastAsia" w:ascii="方正黑体_GBK" w:eastAsia="方正黑体_GBK"/>
        </w:rPr>
        <w:t xml:space="preserve">第四十二条 </w:t>
      </w:r>
      <w:r>
        <w:rPr>
          <w:rFonts w:hint="eastAsia"/>
        </w:rPr>
        <w:t>任何单位和个人不得实施下列妨碍停车泊位以及停车设施设备正常使用的行为：</w:t>
      </w:r>
    </w:p>
    <w:p>
      <w:pPr>
        <w:spacing w:after="0"/>
        <w:contextualSpacing/>
      </w:pPr>
      <w:r>
        <w:rPr>
          <w:rFonts w:hint="eastAsia"/>
        </w:rPr>
        <w:t>（一）在无专属使用权的停车泊位上设置地桩、地锁或者其他障碍物；</w:t>
      </w:r>
    </w:p>
    <w:p>
      <w:pPr>
        <w:spacing w:after="0"/>
        <w:contextualSpacing/>
      </w:pPr>
      <w:r>
        <w:rPr>
          <w:rFonts w:hint="eastAsia"/>
        </w:rPr>
        <w:t>（二）擅自设置、撤除停车泊位或者涂改停车泊位标志、标线；</w:t>
      </w:r>
    </w:p>
    <w:p>
      <w:pPr>
        <w:spacing w:after="0"/>
        <w:contextualSpacing/>
      </w:pPr>
      <w:r>
        <w:rPr>
          <w:rFonts w:hint="eastAsia"/>
        </w:rPr>
        <w:t>（三）将机动车遗弃在公共停车场或者路内停车泊位；</w:t>
      </w:r>
    </w:p>
    <w:p>
      <w:pPr>
        <w:spacing w:after="0"/>
        <w:contextualSpacing/>
      </w:pPr>
      <w:r>
        <w:rPr>
          <w:rFonts w:hint="eastAsia"/>
        </w:rPr>
        <w:t>（四）其他妨碍停车泊位以及停车设施设备正常使用的行为。</w:t>
      </w:r>
    </w:p>
    <w:p>
      <w:pPr>
        <w:spacing w:after="0"/>
        <w:contextualSpacing/>
      </w:pPr>
      <w:r>
        <w:rPr>
          <w:rFonts w:hint="eastAsia" w:ascii="方正黑体_GBK" w:eastAsia="方正黑体_GBK" w:hAnsiTheme="majorEastAsia"/>
        </w:rPr>
        <w:t xml:space="preserve">第四十三条 </w:t>
      </w:r>
      <w:r>
        <w:rPr>
          <w:rFonts w:hint="eastAsia"/>
        </w:rPr>
        <w:t>从事低空飞行活动的单位或者个人应当遵守有关法律法规和规章制度，对飞行安全承担主体责任。低空飞行活动依法须经批准或者备案的，应当在批准或者备案的空域范围和飞行时间内进行。</w:t>
      </w:r>
    </w:p>
    <w:p>
      <w:pPr>
        <w:spacing w:after="0"/>
        <w:contextualSpacing/>
      </w:pPr>
      <w:r>
        <w:t>公安机关会同民航、空管等部门</w:t>
      </w:r>
      <w:r>
        <w:rPr>
          <w:rFonts w:hint="eastAsia"/>
        </w:rPr>
        <w:t>，</w:t>
      </w:r>
      <w:r>
        <w:t>根据公共安全管理需要，经</w:t>
      </w:r>
      <w:r>
        <w:rPr>
          <w:rFonts w:hint="eastAsia"/>
        </w:rPr>
        <w:t>市</w:t>
      </w:r>
      <w:r>
        <w:t>人民政府批准和公告后，可以在涉及公共安全的人员聚集场所及其周边适飞空域内，对民用无人驾驶航空器采取警示、限飞、疏导等措施</w:t>
      </w:r>
      <w:r>
        <w:rPr>
          <w:rFonts w:hint="eastAsia"/>
        </w:rPr>
        <w:t>。</w:t>
      </w:r>
    </w:p>
    <w:p>
      <w:pPr>
        <w:spacing w:after="0"/>
        <w:contextualSpacing/>
      </w:pPr>
    </w:p>
    <w:p>
      <w:pPr>
        <w:spacing w:after="0"/>
        <w:contextualSpacing/>
      </w:pPr>
    </w:p>
    <w:p>
      <w:pPr>
        <w:spacing w:after="0"/>
        <w:ind w:firstLine="0" w:firstLineChars="0"/>
        <w:contextualSpacing/>
        <w:jc w:val="center"/>
        <w:rPr>
          <w:rFonts w:ascii="方正黑体_GBK" w:eastAsia="方正黑体_GBK"/>
        </w:rPr>
      </w:pPr>
      <w:r>
        <w:rPr>
          <w:rFonts w:hint="eastAsia" w:ascii="方正黑体_GBK" w:eastAsia="方正黑体_GBK"/>
        </w:rPr>
        <w:t>第三章　城市管理行政执法</w:t>
      </w:r>
    </w:p>
    <w:p>
      <w:pPr>
        <w:spacing w:after="0"/>
        <w:ind w:firstLine="0" w:firstLineChars="0"/>
        <w:contextualSpacing/>
        <w:jc w:val="center"/>
      </w:pPr>
    </w:p>
    <w:p>
      <w:pPr>
        <w:spacing w:after="0"/>
        <w:contextualSpacing/>
      </w:pPr>
      <w:r>
        <w:rPr>
          <w:rFonts w:hint="eastAsia" w:ascii="黑体" w:eastAsia="黑体"/>
        </w:rPr>
        <w:t xml:space="preserve">第四十四条 </w:t>
      </w:r>
      <w:r>
        <w:t>城市管理相关事项依法实行综合行政执法制度，相对集中行政处罚权，具体范围由县（市、区）人民政府向社会公布。</w:t>
      </w:r>
    </w:p>
    <w:p>
      <w:pPr>
        <w:spacing w:after="0"/>
        <w:contextualSpacing/>
      </w:pPr>
      <w:r>
        <w:rPr>
          <w:rFonts w:hint="eastAsia"/>
        </w:rPr>
        <w:t>县（市、区）人民政府城市管理主管部门按照职责和分工，在其管辖范围内实行相对集中行政处罚权。</w:t>
      </w:r>
    </w:p>
    <w:p>
      <w:pPr>
        <w:spacing w:after="0"/>
        <w:contextualSpacing/>
      </w:pPr>
      <w:r>
        <w:rPr>
          <w:rFonts w:hint="eastAsia"/>
        </w:rPr>
        <w:t>县（市、区）人民政府城市管理主管部门可以依法实施与相对集中行政处罚权有关的行政强制措施。</w:t>
      </w:r>
    </w:p>
    <w:p>
      <w:pPr>
        <w:spacing w:after="0"/>
        <w:contextualSpacing/>
      </w:pPr>
      <w:r>
        <w:rPr>
          <w:rFonts w:hint="eastAsia" w:ascii="黑体" w:eastAsia="黑体"/>
        </w:rPr>
        <w:t xml:space="preserve">第四十五条 </w:t>
      </w:r>
      <w:r>
        <w:rPr>
          <w:rFonts w:hint="eastAsia"/>
        </w:rPr>
        <w:t>市、县（市、区）人民政府住房城乡建设、生态环境、市场监督管理、自然资源、林业和草原等有关部门应当落实行业监管责任，为城市管理主管部门行使相对集中行政处罚权提供业务指导和技术支持，防止日常管理与行政执法相互脱节。</w:t>
      </w:r>
    </w:p>
    <w:p>
      <w:pPr>
        <w:spacing w:after="0"/>
        <w:contextualSpacing/>
      </w:pPr>
      <w:r>
        <w:rPr>
          <w:rFonts w:hint="eastAsia"/>
        </w:rPr>
        <w:t>城市管理主管部门与有关部门应当建立行政执法信息互通共享机制，及时通报行政执法信息和相关行政管理信息。</w:t>
      </w:r>
    </w:p>
    <w:p>
      <w:pPr>
        <w:spacing w:after="0"/>
        <w:contextualSpacing/>
        <w:rPr>
          <w:rFonts w:eastAsia="方正黑体_GBK"/>
        </w:rPr>
      </w:pPr>
      <w:r>
        <w:rPr>
          <w:rFonts w:hint="eastAsia" w:ascii="黑体" w:eastAsia="黑体"/>
        </w:rPr>
        <w:t>第四十六条</w:t>
      </w:r>
      <w:r>
        <w:rPr>
          <w:rFonts w:hint="eastAsia" w:ascii="黑体" w:eastAsia="黑体"/>
          <w:lang w:val="en-US" w:eastAsia="zh-CN"/>
        </w:rPr>
        <w:t xml:space="preserve"> </w:t>
      </w:r>
      <w:r>
        <w:rPr>
          <w:rFonts w:hint="eastAsia"/>
        </w:rPr>
        <w:t>县（市、区）人民政府城市管理主管部门按照相关规定集中行使的行政处罚权事项依法赋权镇、街道行使的，由有关镇人民政府、街道办事处在本辖区内行使。</w:t>
      </w:r>
    </w:p>
    <w:p>
      <w:pPr>
        <w:spacing w:after="0"/>
        <w:contextualSpacing/>
      </w:pPr>
    </w:p>
    <w:p>
      <w:pPr>
        <w:spacing w:after="0"/>
        <w:contextualSpacing/>
      </w:pPr>
    </w:p>
    <w:p>
      <w:pPr>
        <w:spacing w:after="0"/>
        <w:ind w:firstLine="0" w:firstLineChars="0"/>
        <w:contextualSpacing/>
        <w:jc w:val="center"/>
        <w:rPr>
          <w:rFonts w:ascii="方正黑体_GBK" w:eastAsia="方正黑体_GBK"/>
        </w:rPr>
      </w:pPr>
      <w:r>
        <w:rPr>
          <w:rFonts w:hint="eastAsia" w:ascii="方正黑体_GBK" w:eastAsia="方正黑体_GBK"/>
        </w:rPr>
        <w:t>第四章　法律责任</w:t>
      </w:r>
    </w:p>
    <w:p>
      <w:pPr>
        <w:spacing w:after="0"/>
        <w:ind w:firstLine="0" w:firstLineChars="0"/>
        <w:contextualSpacing/>
        <w:jc w:val="center"/>
        <w:rPr>
          <w:highlight w:val="yellow"/>
        </w:rPr>
      </w:pPr>
    </w:p>
    <w:p>
      <w:pPr>
        <w:spacing w:after="0"/>
        <w:contextualSpacing/>
        <w:rPr>
          <w:lang w:bidi="ar"/>
        </w:rPr>
      </w:pPr>
      <w:r>
        <w:rPr>
          <w:rFonts w:hint="eastAsia" w:ascii="方正黑体_GBK" w:eastAsia="方正黑体_GBK"/>
          <w:lang w:bidi="ar"/>
        </w:rPr>
        <w:t>第</w:t>
      </w:r>
      <w:r>
        <w:rPr>
          <w:rFonts w:hint="eastAsia" w:eastAsia="方正黑体_GBK"/>
        </w:rPr>
        <w:t>四十七</w:t>
      </w:r>
      <w:r>
        <w:rPr>
          <w:rFonts w:hint="eastAsia" w:ascii="方正黑体_GBK" w:eastAsia="方正黑体_GBK"/>
          <w:lang w:bidi="ar"/>
        </w:rPr>
        <w:t>条</w:t>
      </w:r>
      <w:r>
        <w:rPr>
          <w:rFonts w:hint="eastAsia" w:ascii="方正黑体_GBK" w:eastAsia="方正黑体_GBK"/>
        </w:rPr>
        <w:t xml:space="preserve"> </w:t>
      </w:r>
      <w:r>
        <w:rPr>
          <w:rFonts w:hint="eastAsia"/>
          <w:lang w:bidi="ar"/>
        </w:rPr>
        <w:t>城市管理有关部门及其工作人员滥用职权、玩忽职守、徇私舞弊的，由所在单位或者上级主管机关给予处分；构成犯罪的，依法追究刑事责任。</w:t>
      </w:r>
    </w:p>
    <w:p>
      <w:pPr>
        <w:spacing w:after="0"/>
        <w:contextualSpacing/>
      </w:pPr>
      <w:r>
        <w:rPr>
          <w:rFonts w:eastAsia="方正黑体_GBK"/>
        </w:rPr>
        <w:t>第</w:t>
      </w:r>
      <w:r>
        <w:rPr>
          <w:rFonts w:hint="eastAsia" w:eastAsia="方正黑体_GBK"/>
        </w:rPr>
        <w:t>四十八</w:t>
      </w:r>
      <w:r>
        <w:rPr>
          <w:rFonts w:eastAsia="方正黑体_GBK"/>
        </w:rPr>
        <w:t>条</w:t>
      </w:r>
      <w:r>
        <w:rPr>
          <w:rFonts w:hint="eastAsia" w:eastAsia="方正黑体_GBK"/>
        </w:rPr>
        <w:t xml:space="preserve"> </w:t>
      </w:r>
      <w:r>
        <w:rPr>
          <w:rFonts w:hint="eastAsia"/>
        </w:rPr>
        <w:t>违反</w:t>
      </w:r>
      <w:r>
        <w:t>下列规定的行为，由县（市、区）人民</w:t>
      </w:r>
      <w:r>
        <w:rPr>
          <w:rFonts w:hint="eastAsia" w:ascii="方正仿宋_GBK"/>
        </w:rPr>
        <w:t>政府城市管理主</w:t>
      </w:r>
      <w:r>
        <w:t>管部门责令改正，并按照下列规定处罚：</w:t>
      </w:r>
    </w:p>
    <w:p>
      <w:pPr>
        <w:spacing w:after="0"/>
        <w:contextualSpacing/>
      </w:pPr>
      <w:r>
        <w:t>（一）违反本条例第</w:t>
      </w:r>
      <w:r>
        <w:rPr>
          <w:rFonts w:hint="eastAsia"/>
        </w:rPr>
        <w:t>十八</w:t>
      </w:r>
      <w:r>
        <w:t>条规定，</w:t>
      </w:r>
      <w:r>
        <w:rPr>
          <w:rFonts w:hint="eastAsia"/>
        </w:rPr>
        <w:t>侵占、损害</w:t>
      </w:r>
      <w:r>
        <w:t>市政公用设施的，给予警告，可以并处</w:t>
      </w:r>
      <w:r>
        <w:rPr>
          <w:rFonts w:hint="eastAsia"/>
        </w:rPr>
        <w:t>200</w:t>
      </w:r>
      <w:r>
        <w:t>元以上</w:t>
      </w:r>
      <w:r>
        <w:rPr>
          <w:rFonts w:hint="eastAsia"/>
        </w:rPr>
        <w:t>1000</w:t>
      </w:r>
      <w:r>
        <w:t>元以下罚款；情节严重的，处</w:t>
      </w:r>
      <w:r>
        <w:rPr>
          <w:rFonts w:hint="eastAsia"/>
        </w:rPr>
        <w:t>1000</w:t>
      </w:r>
      <w:r>
        <w:t>元以上</w:t>
      </w:r>
      <w:r>
        <w:rPr>
          <w:rFonts w:hint="eastAsia"/>
        </w:rPr>
        <w:t>5000</w:t>
      </w:r>
      <w:r>
        <w:t>元以下罚款；造成设施、设备损坏的，依法承担赔偿责任；</w:t>
      </w:r>
    </w:p>
    <w:p>
      <w:pPr>
        <w:spacing w:after="0"/>
        <w:contextualSpacing/>
      </w:pPr>
      <w:r>
        <w:t>（</w:t>
      </w:r>
      <w:r>
        <w:rPr>
          <w:rFonts w:hint="eastAsia"/>
        </w:rPr>
        <w:t>二）</w:t>
      </w:r>
      <w:r>
        <w:t>违反本条例第</w:t>
      </w:r>
      <w:r>
        <w:rPr>
          <w:rFonts w:hint="eastAsia"/>
        </w:rPr>
        <w:t>二十二</w:t>
      </w:r>
      <w:r>
        <w:t>条</w:t>
      </w:r>
      <w:r>
        <w:rPr>
          <w:rFonts w:hint="eastAsia"/>
        </w:rPr>
        <w:t>第二、第三项</w:t>
      </w:r>
      <w:r>
        <w:t>规定，</w:t>
      </w:r>
      <w:r>
        <w:rPr>
          <w:rFonts w:hint="eastAsia"/>
        </w:rPr>
        <w:t>擅自占用城市道路红线与建筑边界（围墙）之间的区域等公共场所</w:t>
      </w:r>
      <w:r>
        <w:t>或者</w:t>
      </w:r>
      <w:r>
        <w:rPr>
          <w:rFonts w:hint="eastAsia"/>
        </w:rPr>
        <w:t>擅自超出临街商铺的门、窗边界从事经营活动的</w:t>
      </w:r>
      <w:r>
        <w:t>，给予警告，可以处100元以上500元以下罚款</w:t>
      </w:r>
      <w:r>
        <w:rPr>
          <w:rFonts w:hint="eastAsia"/>
        </w:rPr>
        <w:t>；</w:t>
      </w:r>
    </w:p>
    <w:p>
      <w:pPr>
        <w:spacing w:after="0"/>
        <w:contextualSpacing/>
      </w:pPr>
      <w:r>
        <w:t>（</w:t>
      </w:r>
      <w:r>
        <w:rPr>
          <w:rFonts w:hint="eastAsia"/>
        </w:rPr>
        <w:t>三</w:t>
      </w:r>
      <w:r>
        <w:t>）违反本条例第</w:t>
      </w:r>
      <w:r>
        <w:rPr>
          <w:rFonts w:hint="eastAsia"/>
        </w:rPr>
        <w:t>二十三</w:t>
      </w:r>
      <w:r>
        <w:t>条第</w:t>
      </w:r>
      <w:r>
        <w:rPr>
          <w:rFonts w:hint="eastAsia"/>
        </w:rPr>
        <w:t>三</w:t>
      </w:r>
      <w:r>
        <w:t>款规定，擅自在</w:t>
      </w:r>
      <w:r>
        <w:rPr>
          <w:rFonts w:hint="eastAsia"/>
        </w:rPr>
        <w:t>户外</w:t>
      </w:r>
      <w:r>
        <w:t>公共区域设置户外广告牌、标语牌、宣传栏、实物造型等设施的，</w:t>
      </w:r>
      <w:r>
        <w:rPr>
          <w:rFonts w:hint="eastAsia"/>
        </w:rPr>
        <w:t>给予</w:t>
      </w:r>
      <w:r>
        <w:t>警告；逾期不改正的，对个人处200元以上1000元以下罚款，对单位处500元以上2000元以下罚款；</w:t>
      </w:r>
    </w:p>
    <w:p>
      <w:pPr>
        <w:spacing w:after="0"/>
        <w:contextualSpacing/>
      </w:pPr>
      <w:r>
        <w:t>（</w:t>
      </w:r>
      <w:r>
        <w:rPr>
          <w:rFonts w:hint="eastAsia"/>
        </w:rPr>
        <w:t>四</w:t>
      </w:r>
      <w:r>
        <w:t>）违反本条例第</w:t>
      </w:r>
      <w:r>
        <w:rPr>
          <w:rFonts w:hint="eastAsia"/>
        </w:rPr>
        <w:t>二十六</w:t>
      </w:r>
      <w:r>
        <w:t>条第四、第五项规定，</w:t>
      </w:r>
      <w:r>
        <w:rPr>
          <w:rFonts w:hint="eastAsia"/>
        </w:rPr>
        <w:t>携犬出户牵引犬绳超过2米或者放任犬只随地便溺污染环境卫生，不清理犬只粪便的，</w:t>
      </w:r>
      <w:r>
        <w:t>给予警告，可以处50元以上200元以下罚款；</w:t>
      </w:r>
    </w:p>
    <w:p>
      <w:pPr>
        <w:spacing w:after="0"/>
        <w:contextualSpacing/>
      </w:pPr>
      <w:r>
        <w:t>（</w:t>
      </w:r>
      <w:r>
        <w:rPr>
          <w:rFonts w:hint="eastAsia"/>
        </w:rPr>
        <w:t>五</w:t>
      </w:r>
      <w:r>
        <w:t>）违反本条例第</w:t>
      </w:r>
      <w:r>
        <w:rPr>
          <w:rFonts w:hint="eastAsia"/>
        </w:rPr>
        <w:t>三十</w:t>
      </w:r>
      <w:r>
        <w:t>条第二款规定，将</w:t>
      </w:r>
      <w:r>
        <w:rPr>
          <w:rFonts w:hint="eastAsia"/>
        </w:rPr>
        <w:t>厨余</w:t>
      </w:r>
      <w:r>
        <w:t>垃圾与其他垃圾混装、混倒或者排入雨水、污水管道等的，给予警告，对单位处1000元以上5000元以下罚款，对个人处200元以上1000元以下罚款；</w:t>
      </w:r>
    </w:p>
    <w:p>
      <w:pPr>
        <w:spacing w:after="0"/>
        <w:contextualSpacing/>
      </w:pPr>
      <w:r>
        <w:t>（</w:t>
      </w:r>
      <w:r>
        <w:rPr>
          <w:rFonts w:hint="eastAsia"/>
        </w:rPr>
        <w:t>六</w:t>
      </w:r>
      <w:r>
        <w:t>）违反本条例第</w:t>
      </w:r>
      <w:r>
        <w:rPr>
          <w:rFonts w:hint="eastAsia"/>
        </w:rPr>
        <w:t>三十</w:t>
      </w:r>
      <w:r>
        <w:t>条第三款规定，个人从事厨余垃圾经营性收集、运输、处置活动的，给予警告，可以处200元以上1000元以下罚款；</w:t>
      </w:r>
    </w:p>
    <w:p>
      <w:pPr>
        <w:spacing w:after="0"/>
        <w:contextualSpacing/>
      </w:pPr>
      <w:r>
        <w:t>（</w:t>
      </w:r>
      <w:r>
        <w:rPr>
          <w:rFonts w:hint="eastAsia"/>
        </w:rPr>
        <w:t>七</w:t>
      </w:r>
      <w:r>
        <w:t>）违反本条例第</w:t>
      </w:r>
      <w:r>
        <w:rPr>
          <w:rFonts w:hint="eastAsia"/>
        </w:rPr>
        <w:t>三十六</w:t>
      </w:r>
      <w:r>
        <w:t>条第二款规定，未随车携带建筑垃圾处置核准文件的，给予警告，可以处200元罚款；未按规定的时间、路线和地点运输的，给予警告，处200元以上1000元以下罚款；</w:t>
      </w:r>
    </w:p>
    <w:p>
      <w:pPr>
        <w:spacing w:after="0"/>
        <w:contextualSpacing/>
      </w:pPr>
      <w:r>
        <w:t>（</w:t>
      </w:r>
      <w:r>
        <w:rPr>
          <w:rFonts w:hint="eastAsia"/>
        </w:rPr>
        <w:t>八</w:t>
      </w:r>
      <w:r>
        <w:t>）违反本条例第</w:t>
      </w:r>
      <w:r>
        <w:rPr>
          <w:rFonts w:hint="eastAsia"/>
        </w:rPr>
        <w:t>三十七</w:t>
      </w:r>
      <w:r>
        <w:t>条第二款规定，货车停车场、料场的出入口、主要道路未进行硬化处理或者未配备车辆冲洗设施以及配套的排水、泥浆沉淀设施，对出场的运输车辆进行冲洗的，</w:t>
      </w:r>
      <w:r>
        <w:rPr>
          <w:rFonts w:hint="eastAsia"/>
        </w:rPr>
        <w:t>给予警告，</w:t>
      </w:r>
      <w:r>
        <w:t>可以处1000元以上5000元以下罚款</w:t>
      </w:r>
      <w:r>
        <w:rPr>
          <w:rFonts w:hint="eastAsia" w:ascii="黑体" w:eastAsia="黑体"/>
        </w:rPr>
        <w:t>。</w:t>
      </w:r>
    </w:p>
    <w:p>
      <w:pPr>
        <w:spacing w:after="0"/>
        <w:contextualSpacing/>
      </w:pPr>
      <w:r>
        <w:rPr>
          <w:rFonts w:hint="eastAsia" w:ascii="方正黑体_GBK" w:eastAsia="方正黑体_GBK"/>
        </w:rPr>
        <w:t>第</w:t>
      </w:r>
      <w:r>
        <w:rPr>
          <w:rFonts w:hint="eastAsia" w:eastAsia="方正黑体_GBK"/>
        </w:rPr>
        <w:t>四十九</w:t>
      </w:r>
      <w:r>
        <w:rPr>
          <w:rFonts w:hint="eastAsia" w:ascii="方正黑体_GBK" w:eastAsia="方正黑体_GBK"/>
        </w:rPr>
        <w:t xml:space="preserve">条 </w:t>
      </w:r>
      <w:r>
        <w:t>违反本条例第</w:t>
      </w:r>
      <w:r>
        <w:rPr>
          <w:rFonts w:hint="eastAsia"/>
        </w:rPr>
        <w:t>二十六</w:t>
      </w:r>
      <w:r>
        <w:t>条规定，</w:t>
      </w:r>
      <w:r>
        <w:rPr>
          <w:rFonts w:hint="eastAsia"/>
        </w:rPr>
        <w:t>按照下列规定予以处罚：</w:t>
      </w:r>
    </w:p>
    <w:p>
      <w:pPr>
        <w:spacing w:after="0"/>
        <w:contextualSpacing/>
      </w:pPr>
      <w:r>
        <w:t>未经登记养犬的，由公安机关</w:t>
      </w:r>
      <w:r>
        <w:rPr>
          <w:rFonts w:hint="eastAsia"/>
        </w:rPr>
        <w:t>给予警告，</w:t>
      </w:r>
      <w:r>
        <w:t>责令限期改正，对个人可以处200元以下罚款，对单位可以处1000元以下罚款；逾期不改正的，对个人处500元罚款，对单位处5000元罚款。</w:t>
      </w:r>
    </w:p>
    <w:p>
      <w:pPr>
        <w:spacing w:after="0"/>
        <w:contextualSpacing/>
        <w:rPr>
          <w:rFonts w:eastAsia="方正黑体_GBK"/>
          <w:lang w:bidi="ar"/>
        </w:rPr>
      </w:pPr>
      <w:r>
        <w:rPr>
          <w:rFonts w:hint="eastAsia"/>
        </w:rPr>
        <w:t>未经免疫养犬的，由县（市、区）人民政府农业农村主管部门给予警告，责令</w:t>
      </w:r>
      <w:r>
        <w:t>限期</w:t>
      </w:r>
      <w:r>
        <w:rPr>
          <w:lang w:bidi="ar"/>
        </w:rPr>
        <w:t>改正，对个人可以处200元以下罚款，对单位可以处1000元以下罚款；逾期不改正的，对个人处500元罚款，对单位处5000元罚款。</w:t>
      </w:r>
    </w:p>
    <w:p>
      <w:pPr>
        <w:spacing w:after="0"/>
        <w:contextualSpacing/>
      </w:pPr>
      <w:r>
        <w:rPr>
          <w:rFonts w:hint="eastAsia" w:ascii="方正黑体_GBK" w:eastAsia="方正黑体_GBK"/>
        </w:rPr>
        <w:t xml:space="preserve">第五十条 </w:t>
      </w:r>
      <w:r>
        <w:t>违反本条例第</w:t>
      </w:r>
      <w:r>
        <w:rPr>
          <w:rFonts w:hint="eastAsia"/>
        </w:rPr>
        <w:t>三十七</w:t>
      </w:r>
      <w:r>
        <w:t>条第一款规定，施工工地设置硬质密闭围挡高度低于</w:t>
      </w:r>
      <w:r>
        <w:rPr>
          <w:rFonts w:hint="eastAsia"/>
        </w:rPr>
        <w:t>2</w:t>
      </w:r>
      <w:r>
        <w:t>米的，由县级以上人民政府住房城乡建设等部门</w:t>
      </w:r>
      <w:r>
        <w:rPr>
          <w:rFonts w:hint="eastAsia"/>
        </w:rPr>
        <w:t>给予警告，</w:t>
      </w:r>
      <w:r>
        <w:t>责令改正，可以处1000元以上5000元以下罚款</w:t>
      </w:r>
      <w:r>
        <w:rPr>
          <w:rFonts w:hint="eastAsia"/>
        </w:rPr>
        <w:t>。</w:t>
      </w:r>
    </w:p>
    <w:p>
      <w:pPr>
        <w:spacing w:after="0"/>
        <w:contextualSpacing/>
      </w:pPr>
      <w:r>
        <w:rPr>
          <w:rFonts w:hint="eastAsia" w:ascii="方正黑体_GBK" w:eastAsia="方正黑体_GBK"/>
        </w:rPr>
        <w:t xml:space="preserve">第五十一条 </w:t>
      </w:r>
      <w:r>
        <w:t>违反本条例第三十</w:t>
      </w:r>
      <w:r>
        <w:rPr>
          <w:rFonts w:hint="eastAsia"/>
        </w:rPr>
        <w:t>九</w:t>
      </w:r>
      <w:r>
        <w:t>条第二款规定，运营企业未按照投放调控管理规定投放车辆的，由县（市、区）人民政府确定的互联网租赁自行车主管部门</w:t>
      </w:r>
      <w:r>
        <w:rPr>
          <w:rFonts w:hint="eastAsia"/>
        </w:rPr>
        <w:t>给予警告，</w:t>
      </w:r>
      <w:r>
        <w:t>责令限期改正；逾期不改正的，处2万元以上10万元以下罚款。</w:t>
      </w:r>
    </w:p>
    <w:p>
      <w:pPr>
        <w:spacing w:after="0"/>
        <w:contextualSpacing/>
        <w:rPr>
          <w:rFonts w:ascii="方正黑体_GBK" w:eastAsia="方正黑体_GBK"/>
        </w:rPr>
      </w:pPr>
      <w:r>
        <w:rPr>
          <w:rFonts w:hint="eastAsia" w:ascii="方正黑体_GBK" w:eastAsia="方正黑体_GBK"/>
        </w:rPr>
        <w:t xml:space="preserve">第五十二条 </w:t>
      </w:r>
      <w:r>
        <w:t>违反本条例第</w:t>
      </w:r>
      <w:r>
        <w:rPr>
          <w:rFonts w:hint="eastAsia"/>
        </w:rPr>
        <w:t>四十二</w:t>
      </w:r>
      <w:r>
        <w:t>条第一项规定，在无专属使用权的停车泊位上设置地桩、地锁或者其他障碍物的，由公安交通管理部门</w:t>
      </w:r>
      <w:r>
        <w:rPr>
          <w:rFonts w:hint="eastAsia"/>
        </w:rPr>
        <w:t>给予警告，</w:t>
      </w:r>
      <w:r>
        <w:t>责令改正，可以处200元以上1000元以下</w:t>
      </w:r>
      <w:r>
        <w:rPr>
          <w:rFonts w:hint="eastAsia"/>
        </w:rPr>
        <w:t>罚款。</w:t>
      </w:r>
    </w:p>
    <w:p>
      <w:pPr>
        <w:spacing w:after="0"/>
        <w:contextualSpacing/>
      </w:pPr>
      <w:r>
        <w:rPr>
          <w:rFonts w:eastAsia="方正黑体_GBK"/>
        </w:rPr>
        <w:t>第</w:t>
      </w:r>
      <w:r>
        <w:rPr>
          <w:rFonts w:hint="eastAsia" w:eastAsia="方正黑体_GBK"/>
        </w:rPr>
        <w:t>五十三</w:t>
      </w:r>
      <w:r>
        <w:rPr>
          <w:rFonts w:eastAsia="方正黑体_GBK"/>
        </w:rPr>
        <w:t>条</w:t>
      </w:r>
      <w:r>
        <w:rPr>
          <w:rFonts w:hint="eastAsia" w:eastAsia="方正黑体_GBK"/>
        </w:rPr>
        <w:t xml:space="preserve"> </w:t>
      </w:r>
      <w:r>
        <w:rPr>
          <w:rFonts w:hint="eastAsia"/>
        </w:rPr>
        <w:t>违反本条例规定的其他行为，法律、法规已经规定法律责任的，从其规定。</w:t>
      </w:r>
    </w:p>
    <w:p>
      <w:pPr>
        <w:spacing w:after="0"/>
        <w:contextualSpacing/>
        <w:rPr>
          <w:lang w:bidi="ar"/>
        </w:rPr>
      </w:pPr>
    </w:p>
    <w:p>
      <w:pPr>
        <w:spacing w:after="0"/>
        <w:contextualSpacing/>
        <w:rPr>
          <w:lang w:bidi="ar"/>
        </w:rPr>
      </w:pPr>
    </w:p>
    <w:p>
      <w:pPr>
        <w:spacing w:after="0"/>
        <w:ind w:firstLine="0" w:firstLineChars="0"/>
        <w:contextualSpacing/>
        <w:jc w:val="center"/>
        <w:rPr>
          <w:rFonts w:ascii="方正黑体_GBK" w:eastAsia="方正黑体_GBK"/>
        </w:rPr>
      </w:pPr>
      <w:r>
        <w:rPr>
          <w:rFonts w:hint="eastAsia" w:ascii="方正黑体_GBK" w:eastAsia="方正黑体_GBK"/>
        </w:rPr>
        <w:t>第五章　附　则</w:t>
      </w:r>
    </w:p>
    <w:p>
      <w:pPr>
        <w:spacing w:after="0"/>
        <w:ind w:firstLine="0" w:firstLineChars="0"/>
        <w:contextualSpacing/>
        <w:jc w:val="center"/>
      </w:pPr>
    </w:p>
    <w:p>
      <w:pPr>
        <w:spacing w:after="0"/>
        <w:contextualSpacing/>
      </w:pPr>
      <w:r>
        <w:rPr>
          <w:rFonts w:hint="eastAsia" w:ascii="方正黑体_GBK" w:eastAsia="方正黑体_GBK"/>
        </w:rPr>
        <w:t>第五十四条</w:t>
      </w:r>
      <w:bookmarkStart w:id="1" w:name="_GoBack"/>
      <w:bookmarkEnd w:id="1"/>
      <w:r>
        <w:rPr>
          <w:rFonts w:hint="eastAsia" w:ascii="方正黑体_GBK" w:eastAsia="方正黑体_GBK"/>
        </w:rPr>
        <w:t xml:space="preserve"> </w:t>
      </w:r>
      <w:r>
        <w:t>本条例自</w:t>
      </w:r>
      <w:r>
        <w:rPr>
          <w:rFonts w:hint="eastAsia"/>
        </w:rPr>
        <w:t>×</w:t>
      </w:r>
      <w:r>
        <w:t>年</w:t>
      </w:r>
      <w:r>
        <w:rPr>
          <w:rFonts w:hint="eastAsia"/>
        </w:rPr>
        <w:t>×</w:t>
      </w:r>
      <w:r>
        <w:t>月</w:t>
      </w:r>
      <w:r>
        <w:rPr>
          <w:rFonts w:hint="eastAsia"/>
        </w:rPr>
        <w:t>×</w:t>
      </w:r>
      <w:r>
        <w:t>日起施行。</w:t>
      </w:r>
    </w:p>
    <w:sectPr>
      <w:pgSz w:w="11906" w:h="16838"/>
      <w:pgMar w:top="1440" w:right="1800" w:bottom="1440" w:left="1800"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00000001" w:usb1="08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ˎ̥">
    <w:altName w:val="汉仪新人文宋简"/>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 w:name="汉仪新人文宋简">
    <w:panose1 w:val="00020600040101010101"/>
    <w:charset w:val="86"/>
    <w:family w:val="auto"/>
    <w:pitch w:val="default"/>
    <w:sig w:usb0="A00002BF" w:usb1="1ACF7CFA" w:usb2="00000016"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3821067"/>
    </w:sdtPr>
    <w:sdtContent>
      <w:sdt>
        <w:sdtPr>
          <w:rPr>
            <w:rFonts w:ascii="Times New Roman" w:hAnsi="Times New Roman" w:cs="Times New Roman"/>
            <w:sz w:val="21"/>
            <w:szCs w:val="21"/>
          </w:rPr>
          <w:id w:val="1728636285"/>
        </w:sdtPr>
        <w:sdtEndPr>
          <w:rPr>
            <w:rFonts w:ascii="Times New Roman" w:hAnsi="Times New Roman" w:cs="Times New Roman"/>
            <w:sz w:val="21"/>
            <w:szCs w:val="21"/>
          </w:rPr>
        </w:sdtEndPr>
        <w:sdtContent>
          <w:p>
            <w:pPr>
              <w:pStyle w:val="13"/>
              <w:ind w:firstLine="0" w:firstLineChars="0"/>
              <w:jc w:val="center"/>
              <w:rPr>
                <w:rFonts w:hint="eastAsia"/>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r>
              <w:rPr>
                <w:rFonts w:ascii="Times New Roman" w:hAnsi="Times New Roman" w:cs="Times New Roman"/>
                <w:sz w:val="21"/>
                <w:szCs w:val="21"/>
                <w:lang w:val="zh-CN"/>
              </w:rPr>
              <w:t xml:space="preserve"> /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NUMPAGES</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60"/>
  <w:drawingGridVerticalSpacing w:val="435"/>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Y4ODA3ZjliYTBiZTU2MjgwMDA3NzZjY2FiNjIxZjgifQ=="/>
  </w:docVars>
  <w:rsids>
    <w:rsidRoot w:val="00C92A42"/>
    <w:rsid w:val="00004745"/>
    <w:rsid w:val="00013419"/>
    <w:rsid w:val="00022056"/>
    <w:rsid w:val="00026055"/>
    <w:rsid w:val="00031762"/>
    <w:rsid w:val="00036370"/>
    <w:rsid w:val="000365A2"/>
    <w:rsid w:val="00055476"/>
    <w:rsid w:val="00057232"/>
    <w:rsid w:val="0006677E"/>
    <w:rsid w:val="000716E2"/>
    <w:rsid w:val="000746B3"/>
    <w:rsid w:val="000931EF"/>
    <w:rsid w:val="000A182B"/>
    <w:rsid w:val="000C7EA2"/>
    <w:rsid w:val="000E0B67"/>
    <w:rsid w:val="000E4C21"/>
    <w:rsid w:val="001024F7"/>
    <w:rsid w:val="0010403D"/>
    <w:rsid w:val="00105B76"/>
    <w:rsid w:val="0011295A"/>
    <w:rsid w:val="0013163B"/>
    <w:rsid w:val="00131F21"/>
    <w:rsid w:val="00136054"/>
    <w:rsid w:val="001442C6"/>
    <w:rsid w:val="00157453"/>
    <w:rsid w:val="00157C74"/>
    <w:rsid w:val="001603CA"/>
    <w:rsid w:val="00160810"/>
    <w:rsid w:val="00164D7C"/>
    <w:rsid w:val="0017539E"/>
    <w:rsid w:val="00176C6F"/>
    <w:rsid w:val="00180F04"/>
    <w:rsid w:val="00183DA5"/>
    <w:rsid w:val="00196023"/>
    <w:rsid w:val="001A3899"/>
    <w:rsid w:val="001B152D"/>
    <w:rsid w:val="001D6AEC"/>
    <w:rsid w:val="001E2C83"/>
    <w:rsid w:val="001E36C9"/>
    <w:rsid w:val="001E43EB"/>
    <w:rsid w:val="00204A5B"/>
    <w:rsid w:val="00221232"/>
    <w:rsid w:val="00236206"/>
    <w:rsid w:val="00236F5E"/>
    <w:rsid w:val="00240C51"/>
    <w:rsid w:val="002410F2"/>
    <w:rsid w:val="002602B3"/>
    <w:rsid w:val="00267A64"/>
    <w:rsid w:val="00267CA5"/>
    <w:rsid w:val="002755EF"/>
    <w:rsid w:val="00277E9C"/>
    <w:rsid w:val="002A45A8"/>
    <w:rsid w:val="002A72D7"/>
    <w:rsid w:val="002B560F"/>
    <w:rsid w:val="002C138A"/>
    <w:rsid w:val="002C58CF"/>
    <w:rsid w:val="002F7839"/>
    <w:rsid w:val="00310150"/>
    <w:rsid w:val="00310CDD"/>
    <w:rsid w:val="00324E9E"/>
    <w:rsid w:val="00330B12"/>
    <w:rsid w:val="00333FE3"/>
    <w:rsid w:val="00340B39"/>
    <w:rsid w:val="00350C80"/>
    <w:rsid w:val="00354467"/>
    <w:rsid w:val="00360018"/>
    <w:rsid w:val="003632F1"/>
    <w:rsid w:val="00396986"/>
    <w:rsid w:val="003A6533"/>
    <w:rsid w:val="003E370C"/>
    <w:rsid w:val="0042025A"/>
    <w:rsid w:val="00431B6A"/>
    <w:rsid w:val="004527AA"/>
    <w:rsid w:val="004771B9"/>
    <w:rsid w:val="004929C0"/>
    <w:rsid w:val="004929E3"/>
    <w:rsid w:val="004937E6"/>
    <w:rsid w:val="00494384"/>
    <w:rsid w:val="004A29FD"/>
    <w:rsid w:val="004B01A6"/>
    <w:rsid w:val="004C05BE"/>
    <w:rsid w:val="004C704E"/>
    <w:rsid w:val="004D02BD"/>
    <w:rsid w:val="004D2B7A"/>
    <w:rsid w:val="004D65AC"/>
    <w:rsid w:val="004E6D02"/>
    <w:rsid w:val="00514026"/>
    <w:rsid w:val="00514383"/>
    <w:rsid w:val="005176F1"/>
    <w:rsid w:val="00530B2D"/>
    <w:rsid w:val="00532BDF"/>
    <w:rsid w:val="00544C53"/>
    <w:rsid w:val="00545D7B"/>
    <w:rsid w:val="00546D53"/>
    <w:rsid w:val="00551114"/>
    <w:rsid w:val="005571F8"/>
    <w:rsid w:val="005656D1"/>
    <w:rsid w:val="00576BB9"/>
    <w:rsid w:val="00580F6B"/>
    <w:rsid w:val="00591F6B"/>
    <w:rsid w:val="005923F4"/>
    <w:rsid w:val="00592425"/>
    <w:rsid w:val="005D74AE"/>
    <w:rsid w:val="005E5327"/>
    <w:rsid w:val="0060125C"/>
    <w:rsid w:val="006048F6"/>
    <w:rsid w:val="006112A5"/>
    <w:rsid w:val="006118C0"/>
    <w:rsid w:val="006528FB"/>
    <w:rsid w:val="0065652C"/>
    <w:rsid w:val="00660718"/>
    <w:rsid w:val="00677F6E"/>
    <w:rsid w:val="00685B07"/>
    <w:rsid w:val="006902FF"/>
    <w:rsid w:val="006B412C"/>
    <w:rsid w:val="006B5581"/>
    <w:rsid w:val="006E2AAD"/>
    <w:rsid w:val="006F602E"/>
    <w:rsid w:val="00704FBB"/>
    <w:rsid w:val="00721CD6"/>
    <w:rsid w:val="007267C2"/>
    <w:rsid w:val="00760ACA"/>
    <w:rsid w:val="00772350"/>
    <w:rsid w:val="007A3135"/>
    <w:rsid w:val="007A67F5"/>
    <w:rsid w:val="007B76DD"/>
    <w:rsid w:val="007C0B04"/>
    <w:rsid w:val="007C116A"/>
    <w:rsid w:val="007C6E76"/>
    <w:rsid w:val="007D1FF3"/>
    <w:rsid w:val="007E2BA7"/>
    <w:rsid w:val="008010C6"/>
    <w:rsid w:val="0081530F"/>
    <w:rsid w:val="00815CE3"/>
    <w:rsid w:val="0081700B"/>
    <w:rsid w:val="0082374A"/>
    <w:rsid w:val="0082756F"/>
    <w:rsid w:val="00836A12"/>
    <w:rsid w:val="00845B71"/>
    <w:rsid w:val="00853453"/>
    <w:rsid w:val="008803FB"/>
    <w:rsid w:val="0089266A"/>
    <w:rsid w:val="008964F5"/>
    <w:rsid w:val="008A3B5E"/>
    <w:rsid w:val="008A5F6F"/>
    <w:rsid w:val="008A7281"/>
    <w:rsid w:val="008B10B1"/>
    <w:rsid w:val="008D2813"/>
    <w:rsid w:val="008D4BFB"/>
    <w:rsid w:val="008E2B8D"/>
    <w:rsid w:val="008F0B73"/>
    <w:rsid w:val="00913851"/>
    <w:rsid w:val="0092272B"/>
    <w:rsid w:val="009364DC"/>
    <w:rsid w:val="00936CA8"/>
    <w:rsid w:val="00945E6C"/>
    <w:rsid w:val="009521EC"/>
    <w:rsid w:val="00952D87"/>
    <w:rsid w:val="00955D97"/>
    <w:rsid w:val="0096454E"/>
    <w:rsid w:val="00965174"/>
    <w:rsid w:val="00966DEB"/>
    <w:rsid w:val="00992335"/>
    <w:rsid w:val="009979B0"/>
    <w:rsid w:val="009A66E1"/>
    <w:rsid w:val="009B12FF"/>
    <w:rsid w:val="009B29A6"/>
    <w:rsid w:val="009B35E5"/>
    <w:rsid w:val="009B45DC"/>
    <w:rsid w:val="009B5255"/>
    <w:rsid w:val="009B7756"/>
    <w:rsid w:val="009D43CB"/>
    <w:rsid w:val="009E514C"/>
    <w:rsid w:val="00A14855"/>
    <w:rsid w:val="00A31C28"/>
    <w:rsid w:val="00A33849"/>
    <w:rsid w:val="00A40FAF"/>
    <w:rsid w:val="00A45DE3"/>
    <w:rsid w:val="00A6435D"/>
    <w:rsid w:val="00A715E9"/>
    <w:rsid w:val="00A72F75"/>
    <w:rsid w:val="00A73D0D"/>
    <w:rsid w:val="00AA19CC"/>
    <w:rsid w:val="00AA1B65"/>
    <w:rsid w:val="00AB0EC2"/>
    <w:rsid w:val="00AC03C9"/>
    <w:rsid w:val="00AC53ED"/>
    <w:rsid w:val="00AC6368"/>
    <w:rsid w:val="00AD2BAC"/>
    <w:rsid w:val="00AE15E4"/>
    <w:rsid w:val="00AE51CA"/>
    <w:rsid w:val="00B224C8"/>
    <w:rsid w:val="00B26A74"/>
    <w:rsid w:val="00B57F1E"/>
    <w:rsid w:val="00B63368"/>
    <w:rsid w:val="00B724E4"/>
    <w:rsid w:val="00B826FC"/>
    <w:rsid w:val="00BB5D2D"/>
    <w:rsid w:val="00BD3983"/>
    <w:rsid w:val="00BF2714"/>
    <w:rsid w:val="00C02C28"/>
    <w:rsid w:val="00C06EFC"/>
    <w:rsid w:val="00C31F85"/>
    <w:rsid w:val="00C33A5C"/>
    <w:rsid w:val="00C35978"/>
    <w:rsid w:val="00C35F97"/>
    <w:rsid w:val="00C5630D"/>
    <w:rsid w:val="00C8175F"/>
    <w:rsid w:val="00C86F18"/>
    <w:rsid w:val="00C92A42"/>
    <w:rsid w:val="00CC286B"/>
    <w:rsid w:val="00CD7C93"/>
    <w:rsid w:val="00CF04FA"/>
    <w:rsid w:val="00D179E2"/>
    <w:rsid w:val="00D226DE"/>
    <w:rsid w:val="00D40E6E"/>
    <w:rsid w:val="00D66012"/>
    <w:rsid w:val="00D7171D"/>
    <w:rsid w:val="00D752E1"/>
    <w:rsid w:val="00D96FE9"/>
    <w:rsid w:val="00DA4DE2"/>
    <w:rsid w:val="00DB1674"/>
    <w:rsid w:val="00DC4026"/>
    <w:rsid w:val="00DE4AE5"/>
    <w:rsid w:val="00DF1A33"/>
    <w:rsid w:val="00DF77B6"/>
    <w:rsid w:val="00E11721"/>
    <w:rsid w:val="00E132EC"/>
    <w:rsid w:val="00E13E16"/>
    <w:rsid w:val="00E25F0A"/>
    <w:rsid w:val="00E5391D"/>
    <w:rsid w:val="00E541A7"/>
    <w:rsid w:val="00E635C2"/>
    <w:rsid w:val="00E80D72"/>
    <w:rsid w:val="00E81A7C"/>
    <w:rsid w:val="00E83394"/>
    <w:rsid w:val="00E84277"/>
    <w:rsid w:val="00EA4BF7"/>
    <w:rsid w:val="00EA72A1"/>
    <w:rsid w:val="00EB621E"/>
    <w:rsid w:val="00EC5E02"/>
    <w:rsid w:val="00ED5BAE"/>
    <w:rsid w:val="00EF0174"/>
    <w:rsid w:val="00EF3BE5"/>
    <w:rsid w:val="00F26B16"/>
    <w:rsid w:val="00F44905"/>
    <w:rsid w:val="00F45D2F"/>
    <w:rsid w:val="00F47E79"/>
    <w:rsid w:val="00F543D1"/>
    <w:rsid w:val="00F545B1"/>
    <w:rsid w:val="00F62626"/>
    <w:rsid w:val="00F63A2E"/>
    <w:rsid w:val="00F73643"/>
    <w:rsid w:val="00F756A1"/>
    <w:rsid w:val="00F81A9D"/>
    <w:rsid w:val="00F84CA3"/>
    <w:rsid w:val="00F851AD"/>
    <w:rsid w:val="00F92E25"/>
    <w:rsid w:val="00FA039A"/>
    <w:rsid w:val="00FA1D91"/>
    <w:rsid w:val="00FB1B59"/>
    <w:rsid w:val="00FB2C69"/>
    <w:rsid w:val="00FC0433"/>
    <w:rsid w:val="00FC609F"/>
    <w:rsid w:val="00FF4B63"/>
    <w:rsid w:val="19232C97"/>
    <w:rsid w:val="1CC63BE5"/>
    <w:rsid w:val="1E263306"/>
    <w:rsid w:val="1F3FC2F3"/>
    <w:rsid w:val="1F6DC156"/>
    <w:rsid w:val="24820BD7"/>
    <w:rsid w:val="283B73C3"/>
    <w:rsid w:val="2C634B60"/>
    <w:rsid w:val="377DAC5E"/>
    <w:rsid w:val="37BEC3F1"/>
    <w:rsid w:val="3A475764"/>
    <w:rsid w:val="3B7E9E1A"/>
    <w:rsid w:val="3CC97668"/>
    <w:rsid w:val="3EFB5F61"/>
    <w:rsid w:val="43AE7132"/>
    <w:rsid w:val="45781CC0"/>
    <w:rsid w:val="46DC2172"/>
    <w:rsid w:val="4BB205A2"/>
    <w:rsid w:val="53CEBD8B"/>
    <w:rsid w:val="5AD65DED"/>
    <w:rsid w:val="5ADF742B"/>
    <w:rsid w:val="5C5B04F4"/>
    <w:rsid w:val="5CEF5BFB"/>
    <w:rsid w:val="5D9BD261"/>
    <w:rsid w:val="5DFFF6FE"/>
    <w:rsid w:val="5E86FA56"/>
    <w:rsid w:val="67D9F6DC"/>
    <w:rsid w:val="6D21370B"/>
    <w:rsid w:val="6FFFEEF8"/>
    <w:rsid w:val="73F39A7C"/>
    <w:rsid w:val="793026D2"/>
    <w:rsid w:val="79A70DC8"/>
    <w:rsid w:val="7D479965"/>
    <w:rsid w:val="7EED5B3A"/>
    <w:rsid w:val="7F570BE0"/>
    <w:rsid w:val="7F7FF92F"/>
    <w:rsid w:val="7FBEC711"/>
    <w:rsid w:val="8BBEAC6A"/>
    <w:rsid w:val="9C7D3170"/>
    <w:rsid w:val="BE3D2BB8"/>
    <w:rsid w:val="D27B357A"/>
    <w:rsid w:val="DBBF1B49"/>
    <w:rsid w:val="EF5FE1B8"/>
    <w:rsid w:val="F2EEA1BC"/>
    <w:rsid w:val="F3BF0971"/>
    <w:rsid w:val="F4EEDCE7"/>
    <w:rsid w:val="F6500B4C"/>
    <w:rsid w:val="F7FEC500"/>
    <w:rsid w:val="F8FE18CA"/>
    <w:rsid w:val="FB98BBE7"/>
    <w:rsid w:val="FF2F84C2"/>
    <w:rsid w:val="FF56E18A"/>
    <w:rsid w:val="FF5FD1EC"/>
    <w:rsid w:val="FF6CD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580" w:lineRule="exact"/>
      <w:ind w:firstLine="640" w:firstLineChars="200"/>
      <w:jc w:val="both"/>
    </w:pPr>
    <w:rPr>
      <w:rFonts w:ascii="Times New Roman" w:hAnsi="Times New Roman" w:eastAsia="方正仿宋_GBK" w:cs="Times New Roman"/>
      <w:snapToGrid w:val="0"/>
      <w:kern w:val="2"/>
      <w:sz w:val="32"/>
      <w:szCs w:val="24"/>
      <w:lang w:val="en-US" w:eastAsia="zh-CN" w:bidi="ar-SA"/>
    </w:rPr>
  </w:style>
  <w:style w:type="paragraph" w:styleId="2">
    <w:name w:val="heading 1"/>
    <w:basedOn w:val="1"/>
    <w:next w:val="1"/>
    <w:link w:val="25"/>
    <w:qFormat/>
    <w:uiPriority w:val="9"/>
    <w:pPr>
      <w:keepNext/>
      <w:keepLines/>
      <w:widowControl/>
      <w:spacing w:before="480" w:after="80" w:line="560" w:lineRule="exact"/>
      <w:ind w:firstLine="200"/>
      <w:outlineLvl w:val="0"/>
    </w:pPr>
    <w:rPr>
      <w:rFonts w:asciiTheme="majorHAnsi" w:hAnsiTheme="majorHAnsi" w:eastAsiaTheme="majorEastAsia" w:cstheme="majorBidi"/>
      <w:color w:val="2F5597" w:themeColor="accent1" w:themeShade="BF"/>
      <w:sz w:val="48"/>
      <w:szCs w:val="48"/>
      <w14:ligatures w14:val="standardContextual"/>
    </w:rPr>
  </w:style>
  <w:style w:type="paragraph" w:styleId="3">
    <w:name w:val="heading 2"/>
    <w:basedOn w:val="1"/>
    <w:next w:val="1"/>
    <w:link w:val="26"/>
    <w:semiHidden/>
    <w:unhideWhenUsed/>
    <w:qFormat/>
    <w:uiPriority w:val="9"/>
    <w:pPr>
      <w:keepNext/>
      <w:keepLines/>
      <w:widowControl/>
      <w:spacing w:before="160" w:after="80" w:line="560" w:lineRule="exact"/>
      <w:ind w:firstLine="200"/>
      <w:outlineLvl w:val="1"/>
    </w:pPr>
    <w:rPr>
      <w:rFonts w:asciiTheme="majorHAnsi" w:hAnsiTheme="majorHAnsi" w:eastAsiaTheme="majorEastAsia" w:cstheme="majorBidi"/>
      <w:color w:val="2F5597" w:themeColor="accent1" w:themeShade="BF"/>
      <w:sz w:val="40"/>
      <w:szCs w:val="40"/>
      <w14:ligatures w14:val="standardContextual"/>
    </w:rPr>
  </w:style>
  <w:style w:type="paragraph" w:styleId="4">
    <w:name w:val="heading 3"/>
    <w:basedOn w:val="1"/>
    <w:next w:val="1"/>
    <w:link w:val="27"/>
    <w:semiHidden/>
    <w:unhideWhenUsed/>
    <w:qFormat/>
    <w:uiPriority w:val="9"/>
    <w:pPr>
      <w:keepNext/>
      <w:keepLines/>
      <w:widowControl/>
      <w:spacing w:before="160" w:after="80" w:line="560" w:lineRule="exact"/>
      <w:ind w:firstLine="200"/>
      <w:outlineLvl w:val="2"/>
    </w:pPr>
    <w:rPr>
      <w:rFonts w:asciiTheme="majorHAnsi" w:hAnsiTheme="majorHAnsi" w:eastAsiaTheme="majorEastAsia" w:cstheme="majorBidi"/>
      <w:color w:val="2F5597" w:themeColor="accent1" w:themeShade="BF"/>
      <w:szCs w:val="32"/>
      <w14:ligatures w14:val="standardContextual"/>
    </w:rPr>
  </w:style>
  <w:style w:type="paragraph" w:styleId="5">
    <w:name w:val="heading 4"/>
    <w:basedOn w:val="1"/>
    <w:next w:val="1"/>
    <w:link w:val="28"/>
    <w:semiHidden/>
    <w:unhideWhenUsed/>
    <w:qFormat/>
    <w:uiPriority w:val="9"/>
    <w:pPr>
      <w:keepNext/>
      <w:keepLines/>
      <w:widowControl/>
      <w:spacing w:before="80" w:after="40" w:line="560" w:lineRule="exact"/>
      <w:ind w:firstLine="200"/>
      <w:outlineLvl w:val="3"/>
    </w:pPr>
    <w:rPr>
      <w:rFonts w:asciiTheme="minorHAnsi" w:hAnsiTheme="minorHAnsi" w:eastAsiaTheme="minorEastAsia" w:cstheme="majorBidi"/>
      <w:color w:val="2F5597" w:themeColor="accent1" w:themeShade="BF"/>
      <w:sz w:val="28"/>
      <w:szCs w:val="28"/>
      <w14:ligatures w14:val="standardContextual"/>
    </w:rPr>
  </w:style>
  <w:style w:type="paragraph" w:styleId="6">
    <w:name w:val="heading 5"/>
    <w:basedOn w:val="1"/>
    <w:next w:val="1"/>
    <w:link w:val="29"/>
    <w:semiHidden/>
    <w:unhideWhenUsed/>
    <w:qFormat/>
    <w:uiPriority w:val="9"/>
    <w:pPr>
      <w:keepNext/>
      <w:keepLines/>
      <w:widowControl/>
      <w:spacing w:before="80" w:after="40" w:line="560" w:lineRule="exact"/>
      <w:ind w:firstLine="200"/>
      <w:outlineLvl w:val="4"/>
    </w:pPr>
    <w:rPr>
      <w:rFonts w:asciiTheme="minorHAnsi" w:hAnsiTheme="minorHAnsi" w:eastAsiaTheme="minorEastAsia" w:cstheme="majorBidi"/>
      <w:color w:val="2F5597" w:themeColor="accent1" w:themeShade="BF"/>
      <w:sz w:val="24"/>
      <w14:ligatures w14:val="standardContextual"/>
    </w:rPr>
  </w:style>
  <w:style w:type="paragraph" w:styleId="7">
    <w:name w:val="heading 6"/>
    <w:basedOn w:val="1"/>
    <w:next w:val="1"/>
    <w:link w:val="30"/>
    <w:semiHidden/>
    <w:unhideWhenUsed/>
    <w:qFormat/>
    <w:uiPriority w:val="9"/>
    <w:pPr>
      <w:keepNext/>
      <w:keepLines/>
      <w:widowControl/>
      <w:spacing w:before="40" w:line="560" w:lineRule="exact"/>
      <w:ind w:firstLine="200"/>
      <w:outlineLvl w:val="5"/>
    </w:pPr>
    <w:rPr>
      <w:rFonts w:asciiTheme="minorHAnsi" w:hAnsiTheme="minorHAnsi" w:eastAsiaTheme="minorEastAsia" w:cstheme="majorBidi"/>
      <w:b/>
      <w:bCs/>
      <w:color w:val="2F5597" w:themeColor="accent1" w:themeShade="BF"/>
      <w:sz w:val="22"/>
      <w14:ligatures w14:val="standardContextual"/>
    </w:rPr>
  </w:style>
  <w:style w:type="paragraph" w:styleId="8">
    <w:name w:val="heading 7"/>
    <w:basedOn w:val="1"/>
    <w:next w:val="1"/>
    <w:link w:val="31"/>
    <w:semiHidden/>
    <w:unhideWhenUsed/>
    <w:qFormat/>
    <w:uiPriority w:val="9"/>
    <w:pPr>
      <w:keepNext/>
      <w:keepLines/>
      <w:widowControl/>
      <w:spacing w:before="40" w:line="560" w:lineRule="exact"/>
      <w:ind w:firstLine="200"/>
      <w:outlineLvl w:val="6"/>
    </w:pPr>
    <w:rPr>
      <w:rFonts w:asciiTheme="minorHAnsi" w:hAnsiTheme="minorHAnsi" w:eastAsiaTheme="minorEastAsia" w:cstheme="majorBidi"/>
      <w:b/>
      <w:bCs/>
      <w:color w:val="595959" w:themeColor="text1" w:themeTint="A6"/>
      <w:sz w:val="22"/>
      <w14:textFill>
        <w14:solidFill>
          <w14:schemeClr w14:val="tx1">
            <w14:lumMod w14:val="65000"/>
            <w14:lumOff w14:val="35000"/>
          </w14:schemeClr>
        </w14:solidFill>
      </w14:textFill>
      <w14:ligatures w14:val="standardContextual"/>
    </w:rPr>
  </w:style>
  <w:style w:type="paragraph" w:styleId="9">
    <w:name w:val="heading 8"/>
    <w:basedOn w:val="1"/>
    <w:next w:val="1"/>
    <w:link w:val="32"/>
    <w:semiHidden/>
    <w:unhideWhenUsed/>
    <w:qFormat/>
    <w:uiPriority w:val="9"/>
    <w:pPr>
      <w:keepNext/>
      <w:keepLines/>
      <w:widowControl/>
      <w:spacing w:line="560" w:lineRule="exact"/>
      <w:ind w:firstLine="200"/>
      <w:outlineLvl w:val="7"/>
    </w:pPr>
    <w:rPr>
      <w:rFonts w:asciiTheme="minorHAnsi" w:hAnsiTheme="minorHAnsi" w:eastAsiaTheme="min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10">
    <w:name w:val="heading 9"/>
    <w:basedOn w:val="1"/>
    <w:next w:val="1"/>
    <w:link w:val="33"/>
    <w:semiHidden/>
    <w:unhideWhenUsed/>
    <w:qFormat/>
    <w:uiPriority w:val="9"/>
    <w:pPr>
      <w:keepNext/>
      <w:keepLines/>
      <w:widowControl/>
      <w:spacing w:line="560" w:lineRule="exact"/>
      <w:ind w:firstLine="200"/>
      <w:outlineLvl w:val="8"/>
    </w:pPr>
    <w:rPr>
      <w:rFonts w:asciiTheme="minorHAnsi" w:hAnsiTheme="minorHAnsi"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5"/>
    <w:unhideWhenUsed/>
    <w:qFormat/>
    <w:uiPriority w:val="99"/>
    <w:pPr>
      <w:jc w:val="left"/>
    </w:pPr>
  </w:style>
  <w:style w:type="paragraph" w:styleId="12">
    <w:name w:val="Plain Text"/>
    <w:basedOn w:val="1"/>
    <w:link w:val="46"/>
    <w:unhideWhenUsed/>
    <w:qFormat/>
    <w:uiPriority w:val="99"/>
    <w:rPr>
      <w:rFonts w:hAnsi="Courier New" w:eastAsia="宋体" w:cs="Courier New"/>
      <w:szCs w:val="21"/>
    </w:rPr>
  </w:style>
  <w:style w:type="paragraph" w:styleId="13">
    <w:name w:val="footer"/>
    <w:basedOn w:val="1"/>
    <w:link w:val="44"/>
    <w:unhideWhenUsed/>
    <w:qFormat/>
    <w:uiPriority w:val="99"/>
    <w:pPr>
      <w:widowControl/>
      <w:tabs>
        <w:tab w:val="center" w:pos="4153"/>
        <w:tab w:val="right" w:pos="8306"/>
      </w:tabs>
      <w:snapToGrid w:val="0"/>
      <w:spacing w:line="240" w:lineRule="atLeast"/>
      <w:ind w:firstLine="200"/>
      <w:jc w:val="left"/>
    </w:pPr>
    <w:rPr>
      <w:rFonts w:asciiTheme="minorHAnsi" w:hAnsiTheme="minorHAnsi" w:eastAsiaTheme="minorEastAsia" w:cstheme="minorBidi"/>
      <w:sz w:val="18"/>
      <w:szCs w:val="18"/>
      <w14:ligatures w14:val="standardContextual"/>
    </w:rPr>
  </w:style>
  <w:style w:type="paragraph" w:styleId="14">
    <w:name w:val="header"/>
    <w:basedOn w:val="1"/>
    <w:link w:val="43"/>
    <w:unhideWhenUsed/>
    <w:qFormat/>
    <w:uiPriority w:val="99"/>
    <w:pPr>
      <w:widowControl/>
      <w:tabs>
        <w:tab w:val="center" w:pos="4153"/>
        <w:tab w:val="right" w:pos="8306"/>
      </w:tabs>
      <w:snapToGrid w:val="0"/>
      <w:spacing w:line="240" w:lineRule="atLeast"/>
      <w:ind w:firstLine="200"/>
      <w:jc w:val="center"/>
    </w:pPr>
    <w:rPr>
      <w:rFonts w:asciiTheme="minorHAnsi" w:hAnsiTheme="minorHAnsi" w:eastAsiaTheme="minorEastAsia" w:cstheme="minorBidi"/>
      <w:sz w:val="18"/>
      <w:szCs w:val="18"/>
      <w14:ligatures w14:val="standardContextual"/>
    </w:rPr>
  </w:style>
  <w:style w:type="paragraph" w:styleId="15">
    <w:name w:val="Subtitle"/>
    <w:basedOn w:val="1"/>
    <w:next w:val="1"/>
    <w:link w:val="35"/>
    <w:qFormat/>
    <w:uiPriority w:val="11"/>
    <w:pPr>
      <w:widowControl/>
      <w:spacing w:line="560" w:lineRule="exact"/>
      <w:ind w:firstLine="20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6">
    <w:name w:val="Normal (Web)"/>
    <w:basedOn w:val="1"/>
    <w:qFormat/>
    <w:uiPriority w:val="0"/>
    <w:pPr>
      <w:spacing w:before="100" w:beforeAutospacing="1" w:after="100" w:afterAutospacing="1"/>
    </w:pPr>
    <w:rPr>
      <w:rFonts w:eastAsia="宋体" w:cs="宋体"/>
      <w:sz w:val="24"/>
    </w:rPr>
  </w:style>
  <w:style w:type="paragraph" w:styleId="17">
    <w:name w:val="Title"/>
    <w:basedOn w:val="1"/>
    <w:next w:val="1"/>
    <w:link w:val="34"/>
    <w:qFormat/>
    <w:uiPriority w:val="10"/>
    <w:pPr>
      <w:widowControl/>
      <w:spacing w:after="80"/>
      <w:ind w:firstLine="200"/>
      <w:contextualSpacing/>
      <w:jc w:val="center"/>
    </w:pPr>
    <w:rPr>
      <w:rFonts w:asciiTheme="majorHAnsi" w:hAnsiTheme="majorHAnsi" w:eastAsiaTheme="majorEastAsia" w:cstheme="majorBidi"/>
      <w:spacing w:val="-10"/>
      <w:kern w:val="28"/>
      <w:sz w:val="56"/>
      <w:szCs w:val="56"/>
      <w14:ligatures w14:val="standardContextual"/>
    </w:rPr>
  </w:style>
  <w:style w:type="paragraph" w:styleId="18">
    <w:name w:val="annotation subject"/>
    <w:basedOn w:val="11"/>
    <w:next w:val="11"/>
    <w:link w:val="47"/>
    <w:semiHidden/>
    <w:unhideWhenUsed/>
    <w:qFormat/>
    <w:uiPriority w:val="99"/>
    <w:rPr>
      <w:b/>
      <w:bCs/>
    </w:rPr>
  </w:style>
  <w:style w:type="character" w:styleId="21">
    <w:name w:val="Strong"/>
    <w:basedOn w:val="20"/>
    <w:qFormat/>
    <w:uiPriority w:val="0"/>
    <w:rPr>
      <w:b/>
    </w:rPr>
  </w:style>
  <w:style w:type="character" w:styleId="22">
    <w:name w:val="FollowedHyperlink"/>
    <w:unhideWhenUsed/>
    <w:qFormat/>
    <w:uiPriority w:val="99"/>
    <w:rPr>
      <w:color w:val="954F72"/>
      <w:u w:val="single"/>
    </w:rPr>
  </w:style>
  <w:style w:type="character" w:styleId="23">
    <w:name w:val="Hyperlink"/>
    <w:qFormat/>
    <w:uiPriority w:val="99"/>
    <w:rPr>
      <w:rFonts w:hint="default" w:ascii="ˎ̥" w:hAnsi="ˎ̥"/>
      <w:color w:val="0404B3"/>
      <w:sz w:val="18"/>
      <w:szCs w:val="18"/>
      <w:u w:val="none"/>
    </w:rPr>
  </w:style>
  <w:style w:type="character" w:styleId="24">
    <w:name w:val="annotation reference"/>
    <w:basedOn w:val="20"/>
    <w:semiHidden/>
    <w:unhideWhenUsed/>
    <w:qFormat/>
    <w:uiPriority w:val="99"/>
    <w:rPr>
      <w:sz w:val="21"/>
      <w:szCs w:val="21"/>
    </w:rPr>
  </w:style>
  <w:style w:type="character" w:customStyle="1" w:styleId="25">
    <w:name w:val="标题 1 字符"/>
    <w:basedOn w:val="20"/>
    <w:link w:val="2"/>
    <w:qFormat/>
    <w:uiPriority w:val="9"/>
    <w:rPr>
      <w:rFonts w:asciiTheme="majorHAnsi" w:hAnsiTheme="majorHAnsi" w:eastAsiaTheme="majorEastAsia" w:cstheme="majorBidi"/>
      <w:color w:val="2F5597" w:themeColor="accent1" w:themeShade="BF"/>
      <w:sz w:val="48"/>
      <w:szCs w:val="48"/>
    </w:rPr>
  </w:style>
  <w:style w:type="character" w:customStyle="1" w:styleId="26">
    <w:name w:val="标题 2 字符"/>
    <w:basedOn w:val="20"/>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7">
    <w:name w:val="标题 3 字符"/>
    <w:basedOn w:val="20"/>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8">
    <w:name w:val="标题 4 字符"/>
    <w:basedOn w:val="20"/>
    <w:link w:val="5"/>
    <w:semiHidden/>
    <w:qFormat/>
    <w:uiPriority w:val="9"/>
    <w:rPr>
      <w:rFonts w:cstheme="majorBidi"/>
      <w:color w:val="2F5597" w:themeColor="accent1" w:themeShade="BF"/>
      <w:sz w:val="28"/>
      <w:szCs w:val="28"/>
    </w:rPr>
  </w:style>
  <w:style w:type="character" w:customStyle="1" w:styleId="29">
    <w:name w:val="标题 5 字符"/>
    <w:basedOn w:val="20"/>
    <w:link w:val="6"/>
    <w:semiHidden/>
    <w:qFormat/>
    <w:uiPriority w:val="9"/>
    <w:rPr>
      <w:rFonts w:cstheme="majorBidi"/>
      <w:color w:val="2F5597" w:themeColor="accent1" w:themeShade="BF"/>
      <w:sz w:val="24"/>
    </w:rPr>
  </w:style>
  <w:style w:type="character" w:customStyle="1" w:styleId="30">
    <w:name w:val="标题 6 字符"/>
    <w:basedOn w:val="20"/>
    <w:link w:val="7"/>
    <w:semiHidden/>
    <w:qFormat/>
    <w:uiPriority w:val="9"/>
    <w:rPr>
      <w:rFonts w:cstheme="majorBidi"/>
      <w:b/>
      <w:bCs/>
      <w:color w:val="2F5597" w:themeColor="accent1" w:themeShade="BF"/>
    </w:rPr>
  </w:style>
  <w:style w:type="character" w:customStyle="1" w:styleId="31">
    <w:name w:val="标题 7 字符"/>
    <w:basedOn w:val="20"/>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2">
    <w:name w:val="标题 8 字符"/>
    <w:basedOn w:val="20"/>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3">
    <w:name w:val="标题 9 字符"/>
    <w:basedOn w:val="20"/>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4">
    <w:name w:val="标题 字符"/>
    <w:basedOn w:val="20"/>
    <w:link w:val="17"/>
    <w:qFormat/>
    <w:uiPriority w:val="10"/>
    <w:rPr>
      <w:rFonts w:asciiTheme="majorHAnsi" w:hAnsiTheme="majorHAnsi" w:eastAsiaTheme="majorEastAsia" w:cstheme="majorBidi"/>
      <w:spacing w:val="-10"/>
      <w:kern w:val="28"/>
      <w:sz w:val="56"/>
      <w:szCs w:val="56"/>
    </w:rPr>
  </w:style>
  <w:style w:type="character" w:customStyle="1" w:styleId="35">
    <w:name w:val="副标题 字符"/>
    <w:basedOn w:val="20"/>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6">
    <w:name w:val="Quote"/>
    <w:basedOn w:val="1"/>
    <w:next w:val="1"/>
    <w:link w:val="37"/>
    <w:qFormat/>
    <w:uiPriority w:val="29"/>
    <w:pPr>
      <w:widowControl/>
      <w:spacing w:before="160" w:line="560" w:lineRule="exact"/>
      <w:ind w:firstLine="200"/>
      <w:jc w:val="center"/>
    </w:pPr>
    <w:rPr>
      <w:rFonts w:asciiTheme="minorHAnsi" w:hAnsiTheme="minorHAnsi" w:eastAsiaTheme="minorEastAsia" w:cstheme="minorBidi"/>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37">
    <w:name w:val="引用 字符"/>
    <w:basedOn w:val="20"/>
    <w:link w:val="36"/>
    <w:qFormat/>
    <w:uiPriority w:val="29"/>
    <w:rPr>
      <w:i/>
      <w:iCs/>
      <w:color w:val="404040" w:themeColor="text1" w:themeTint="BF"/>
      <w14:textFill>
        <w14:solidFill>
          <w14:schemeClr w14:val="tx1">
            <w14:lumMod w14:val="75000"/>
            <w14:lumOff w14:val="25000"/>
          </w14:schemeClr>
        </w14:solidFill>
      </w14:textFill>
    </w:rPr>
  </w:style>
  <w:style w:type="paragraph" w:styleId="38">
    <w:name w:val="List Paragraph"/>
    <w:basedOn w:val="1"/>
    <w:qFormat/>
    <w:uiPriority w:val="99"/>
    <w:pPr>
      <w:widowControl/>
      <w:spacing w:line="560" w:lineRule="exact"/>
      <w:ind w:left="720" w:firstLine="200"/>
      <w:contextualSpacing/>
    </w:pPr>
    <w:rPr>
      <w:rFonts w:asciiTheme="minorHAnsi" w:hAnsiTheme="minorHAnsi" w:eastAsiaTheme="minorEastAsia" w:cstheme="minorBidi"/>
      <w:sz w:val="22"/>
      <w14:ligatures w14:val="standardContextual"/>
    </w:rPr>
  </w:style>
  <w:style w:type="character" w:customStyle="1" w:styleId="39">
    <w:name w:val="明显强调1"/>
    <w:basedOn w:val="20"/>
    <w:qFormat/>
    <w:uiPriority w:val="21"/>
    <w:rPr>
      <w:i/>
      <w:iCs/>
      <w:color w:val="2F5597" w:themeColor="accent1" w:themeShade="BF"/>
    </w:rPr>
  </w:style>
  <w:style w:type="paragraph" w:styleId="40">
    <w:name w:val="Intense Quote"/>
    <w:basedOn w:val="1"/>
    <w:next w:val="1"/>
    <w:link w:val="41"/>
    <w:qFormat/>
    <w:uiPriority w:val="30"/>
    <w:pPr>
      <w:widowControl/>
      <w:pBdr>
        <w:top w:val="single" w:color="2F5496" w:themeColor="accent1" w:themeShade="BF" w:sz="4" w:space="10"/>
        <w:bottom w:val="single" w:color="2F5496" w:themeColor="accent1" w:themeShade="BF" w:sz="4" w:space="10"/>
      </w:pBdr>
      <w:spacing w:before="360" w:after="360" w:line="560" w:lineRule="exact"/>
      <w:ind w:left="864" w:right="864" w:firstLine="200"/>
      <w:jc w:val="center"/>
    </w:pPr>
    <w:rPr>
      <w:rFonts w:asciiTheme="minorHAnsi" w:hAnsiTheme="minorHAnsi" w:eastAsiaTheme="minorEastAsia" w:cstheme="minorBidi"/>
      <w:i/>
      <w:iCs/>
      <w:color w:val="2F5597" w:themeColor="accent1" w:themeShade="BF"/>
      <w:sz w:val="22"/>
      <w14:ligatures w14:val="standardContextual"/>
    </w:rPr>
  </w:style>
  <w:style w:type="character" w:customStyle="1" w:styleId="41">
    <w:name w:val="明显引用 字符"/>
    <w:basedOn w:val="20"/>
    <w:link w:val="40"/>
    <w:qFormat/>
    <w:uiPriority w:val="30"/>
    <w:rPr>
      <w:i/>
      <w:iCs/>
      <w:color w:val="2F5597" w:themeColor="accent1" w:themeShade="BF"/>
    </w:rPr>
  </w:style>
  <w:style w:type="character" w:customStyle="1" w:styleId="42">
    <w:name w:val="明显参考1"/>
    <w:basedOn w:val="20"/>
    <w:qFormat/>
    <w:uiPriority w:val="32"/>
    <w:rPr>
      <w:b/>
      <w:bCs/>
      <w:smallCaps/>
      <w:color w:val="2F5597" w:themeColor="accent1" w:themeShade="BF"/>
      <w:spacing w:val="5"/>
    </w:rPr>
  </w:style>
  <w:style w:type="character" w:customStyle="1" w:styleId="43">
    <w:name w:val="页眉 字符"/>
    <w:basedOn w:val="20"/>
    <w:link w:val="14"/>
    <w:qFormat/>
    <w:uiPriority w:val="99"/>
    <w:rPr>
      <w:sz w:val="18"/>
      <w:szCs w:val="18"/>
    </w:rPr>
  </w:style>
  <w:style w:type="character" w:customStyle="1" w:styleId="44">
    <w:name w:val="页脚 字符"/>
    <w:basedOn w:val="20"/>
    <w:link w:val="13"/>
    <w:qFormat/>
    <w:uiPriority w:val="99"/>
    <w:rPr>
      <w:sz w:val="18"/>
      <w:szCs w:val="18"/>
    </w:rPr>
  </w:style>
  <w:style w:type="character" w:customStyle="1" w:styleId="45">
    <w:name w:val="批注文字 字符"/>
    <w:basedOn w:val="20"/>
    <w:link w:val="11"/>
    <w:qFormat/>
    <w:uiPriority w:val="99"/>
    <w:rPr>
      <w:rFonts w:ascii="宋体" w:hAnsi="宋体" w:eastAsia="仿宋_GB2312" w:cs="Times New Roman"/>
      <w:sz w:val="32"/>
      <w14:ligatures w14:val="none"/>
    </w:rPr>
  </w:style>
  <w:style w:type="character" w:customStyle="1" w:styleId="46">
    <w:name w:val="纯文本 字符"/>
    <w:basedOn w:val="20"/>
    <w:link w:val="12"/>
    <w:qFormat/>
    <w:uiPriority w:val="99"/>
    <w:rPr>
      <w:rFonts w:ascii="宋体" w:hAnsi="Courier New" w:eastAsia="宋体" w:cs="Courier New"/>
      <w:sz w:val="32"/>
      <w:szCs w:val="21"/>
      <w14:ligatures w14:val="none"/>
    </w:rPr>
  </w:style>
  <w:style w:type="character" w:customStyle="1" w:styleId="47">
    <w:name w:val="批注主题 字符"/>
    <w:basedOn w:val="45"/>
    <w:link w:val="18"/>
    <w:semiHidden/>
    <w:qFormat/>
    <w:uiPriority w:val="99"/>
    <w:rPr>
      <w:rFonts w:ascii="宋体" w:hAnsi="宋体" w:eastAsia="仿宋_GB2312" w:cs="Times New Roman"/>
      <w:b/>
      <w:bCs/>
      <w:sz w:val="32"/>
      <w14:ligatures w14:val="none"/>
    </w:rPr>
  </w:style>
  <w:style w:type="paragraph" w:customStyle="1" w:styleId="48">
    <w:name w:val="样式Ｌ1"/>
    <w:basedOn w:val="1"/>
    <w:qFormat/>
    <w:uiPriority w:val="0"/>
    <w:pPr>
      <w:widowControl/>
      <w:spacing w:line="540" w:lineRule="exact"/>
    </w:pPr>
    <w:rPr>
      <w:rFonts w:eastAsia="宋体" w:cs="宋体"/>
      <w:color w:val="000000"/>
      <w:kern w:val="0"/>
      <w:szCs w:val="32"/>
    </w:rPr>
  </w:style>
  <w:style w:type="paragraph" w:customStyle="1" w:styleId="49">
    <w:name w:val="修订1"/>
    <w:hidden/>
    <w:unhideWhenUsed/>
    <w:qFormat/>
    <w:uiPriority w:val="99"/>
    <w:pPr>
      <w:spacing w:after="160" w:line="278" w:lineRule="auto"/>
    </w:pPr>
    <w:rPr>
      <w:rFonts w:ascii="宋体" w:hAnsi="宋体" w:eastAsia="仿宋_GB2312" w:cs="Times New Roman"/>
      <w:kern w:val="2"/>
      <w:sz w:val="32"/>
      <w:szCs w:val="24"/>
      <w:lang w:val="en-US" w:eastAsia="zh-CN" w:bidi="ar-SA"/>
    </w:rPr>
  </w:style>
  <w:style w:type="paragraph" w:customStyle="1" w:styleId="50">
    <w:name w:val="修订2"/>
    <w:hidden/>
    <w:unhideWhenUsed/>
    <w:qFormat/>
    <w:uiPriority w:val="99"/>
    <w:pPr>
      <w:spacing w:after="160" w:line="278" w:lineRule="auto"/>
    </w:pPr>
    <w:rPr>
      <w:rFonts w:ascii="宋体" w:hAnsi="宋体"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1277</Words>
  <Characters>7279</Characters>
  <Lines>60</Lines>
  <Paragraphs>17</Paragraphs>
  <TotalTime>13</TotalTime>
  <ScaleCrop>false</ScaleCrop>
  <LinksUpToDate>false</LinksUpToDate>
  <CharactersWithSpaces>8539</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2026-03-26T23:01:00Z</dcterms:created>
  <dc:creator>gao 高</dc:creator>
  <cp:lastModifiedBy>user</cp:lastModifiedBy>
  <cp:lastPrinted>2026-03-26T19:54:00Z</cp:lastPrinted>
  <dcterms:modified xsi:type="dcterms:W3CDTF">2026-03-27T09:07:45Z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42AF227CC96A4962A05A1614A148855A_13</vt:lpwstr>
  </property>
</Properties>
</file>