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eastAsia="宋体" w:cs="Times New Roman"/>
          <w:b/>
          <w:bCs/>
          <w:color w:val="auto"/>
          <w:kern w:val="2"/>
          <w:sz w:val="32"/>
          <w:szCs w:val="32"/>
          <w:lang w:val="en-US" w:eastAsia="zh-CN" w:bidi="ar-SA"/>
        </w:rPr>
        <w:id w:val="147474352"/>
        <w15:color w:val="DBDBDB"/>
        <w:docPartObj>
          <w:docPartGallery w:val="Table of Contents"/>
          <w:docPartUnique/>
        </w:docPartObj>
      </w:sdtPr>
      <w:sdtEndPr>
        <w:rPr>
          <w:rFonts w:hint="default" w:ascii="Times New Roman" w:hAnsi="Times New Roman" w:eastAsia="宋体" w:cs="Times New Roman"/>
          <w:b/>
          <w:bCs/>
          <w:color w:val="auto"/>
          <w:kern w:val="2"/>
          <w:sz w:val="21"/>
          <w:szCs w:val="24"/>
          <w:lang w:val="en-US" w:eastAsia="zh-CN" w:bidi="ar-SA"/>
        </w:rPr>
      </w:sdtEndPr>
      <w:sdtContent>
        <w:p w14:paraId="75716F96">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32"/>
              <w:szCs w:val="32"/>
            </w:rPr>
          </w:pPr>
          <w:r>
            <w:rPr>
              <w:rFonts w:hint="default" w:ascii="Times New Roman" w:hAnsi="Times New Roman" w:eastAsia="宋体" w:cs="Times New Roman"/>
              <w:b/>
              <w:bCs/>
              <w:color w:val="auto"/>
              <w:sz w:val="32"/>
              <w:szCs w:val="32"/>
            </w:rPr>
            <w:t>目录</w:t>
          </w:r>
        </w:p>
        <w:p w14:paraId="7BEF77C1">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TOC \o "1-1" \h \u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_Toc26338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rPr>
            <w:t>前 言</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_Toc26338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0C5D416">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_Toc22375 </w:instrText>
          </w:r>
          <w:r>
            <w:rPr>
              <w:rFonts w:hint="default" w:ascii="Times New Roman" w:hAnsi="Times New Roman" w:cs="Times New Roman"/>
              <w:color w:val="auto"/>
              <w:sz w:val="24"/>
              <w:szCs w:val="24"/>
            </w:rPr>
            <w:fldChar w:fldCharType="separate"/>
          </w:r>
          <w:r>
            <w:rPr>
              <w:rFonts w:hint="default" w:ascii="Times New Roman" w:hAnsi="Times New Roman" w:cs="Times New Roman"/>
              <w:snapToGrid w:val="0"/>
              <w:color w:val="auto"/>
              <w:sz w:val="24"/>
              <w:szCs w:val="24"/>
            </w:rPr>
            <w:t>一、 建设项目基本情况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_Toc22375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2301BAC">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_Toc1191 </w:instrText>
          </w:r>
          <w:r>
            <w:rPr>
              <w:rFonts w:hint="default" w:ascii="Times New Roman" w:hAnsi="Times New Roman" w:cs="Times New Roman"/>
              <w:color w:val="auto"/>
              <w:sz w:val="24"/>
              <w:szCs w:val="24"/>
            </w:rPr>
            <w:fldChar w:fldCharType="separate"/>
          </w:r>
          <w:r>
            <w:rPr>
              <w:rFonts w:hint="default" w:ascii="Times New Roman" w:hAnsi="Times New Roman" w:cs="Times New Roman"/>
              <w:snapToGrid w:val="0"/>
              <w:color w:val="auto"/>
              <w:sz w:val="24"/>
              <w:szCs w:val="24"/>
            </w:rPr>
            <w:t>二、建设项目工程分析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_Toc1191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504BE8F0">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_Toc19565 </w:instrText>
          </w:r>
          <w:r>
            <w:rPr>
              <w:rFonts w:hint="default" w:ascii="Times New Roman" w:hAnsi="Times New Roman" w:cs="Times New Roman"/>
              <w:color w:val="auto"/>
              <w:sz w:val="24"/>
              <w:szCs w:val="24"/>
            </w:rPr>
            <w:fldChar w:fldCharType="separate"/>
          </w:r>
          <w:r>
            <w:rPr>
              <w:rFonts w:hint="default" w:ascii="Times New Roman" w:hAnsi="Times New Roman" w:cs="Times New Roman"/>
              <w:snapToGrid w:val="0"/>
              <w:color w:val="auto"/>
              <w:sz w:val="24"/>
              <w:szCs w:val="24"/>
            </w:rPr>
            <w:t>三、区域环境质量现状、环境保护目标及评价标准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_Toc19565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1338B95">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_Toc1426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四、主要环境影响和保护措施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_Toc1426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30782B9">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_Toc28051 </w:instrText>
          </w:r>
          <w:r>
            <w:rPr>
              <w:rFonts w:hint="default" w:ascii="Times New Roman" w:hAnsi="Times New Roman" w:cs="Times New Roman"/>
              <w:color w:val="auto"/>
              <w:sz w:val="24"/>
              <w:szCs w:val="24"/>
            </w:rPr>
            <w:fldChar w:fldCharType="separate"/>
          </w:r>
          <w:r>
            <w:rPr>
              <w:rFonts w:hint="default" w:ascii="Times New Roman" w:hAnsi="Times New Roman" w:cs="Times New Roman"/>
              <w:snapToGrid w:val="0"/>
              <w:color w:val="auto"/>
              <w:sz w:val="24"/>
              <w:szCs w:val="24"/>
            </w:rPr>
            <w:t>五、环境保护措施监督检查清单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_Toc28051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4D4C0F3">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_Toc15683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六、结论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_Toc15683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E499AD4">
          <w:pPr>
            <w:pStyle w:val="11"/>
            <w:keepNext w:val="0"/>
            <w:keepLines w:val="0"/>
            <w:pageBreakBefore w:val="0"/>
            <w:widowControl w:val="0"/>
            <w:tabs>
              <w:tab w:val="right" w:leader="dot" w:pos="8844"/>
              <w:tab w:val="clear" w:pos="8550"/>
            </w:tabs>
            <w:kinsoku/>
            <w:wordWrap/>
            <w:overflowPunct/>
            <w:topLinePunct w:val="0"/>
            <w:autoSpaceDE/>
            <w:autoSpaceDN/>
            <w:bidi w:val="0"/>
            <w:adjustRightInd/>
            <w:snapToGrid w:val="0"/>
            <w:spacing w:before="0" w:after="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_Toc14325 </w:instrText>
          </w:r>
          <w:r>
            <w:rPr>
              <w:rFonts w:hint="default" w:ascii="Times New Roman" w:hAnsi="Times New Roman" w:cs="Times New Roman"/>
              <w:color w:val="auto"/>
              <w:sz w:val="24"/>
              <w:szCs w:val="24"/>
            </w:rPr>
            <w:fldChar w:fldCharType="separate"/>
          </w:r>
          <w:r>
            <w:rPr>
              <w:rFonts w:hint="default" w:ascii="Times New Roman" w:hAnsi="Times New Roman" w:cs="Times New Roman"/>
              <w:snapToGrid w:val="0"/>
              <w:color w:val="auto"/>
              <w:sz w:val="24"/>
              <w:szCs w:val="24"/>
            </w:rPr>
            <w:t>附表 建设项目污染物排放量汇总表</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_Toc14325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7676704">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end"/>
          </w:r>
        </w:p>
        <w:p w14:paraId="74AFACF2">
          <w:pPr>
            <w:pStyle w:val="38"/>
            <w:ind w:firstLine="482"/>
            <w:rPr>
              <w:rFonts w:hint="default" w:ascii="Times New Roman" w:hAnsi="Times New Roman" w:eastAsia="宋体" w:cs="Times New Roman"/>
              <w:b/>
              <w:bCs/>
              <w:color w:val="auto"/>
              <w:kern w:val="2"/>
              <w:sz w:val="21"/>
              <w:szCs w:val="24"/>
              <w:lang w:val="en-US" w:eastAsia="zh-CN" w:bidi="ar-SA"/>
            </w:rPr>
          </w:pPr>
        </w:p>
      </w:sdtContent>
    </w:sdt>
    <w:p w14:paraId="005B335C">
      <w:pPr>
        <w:pStyle w:val="38"/>
        <w:ind w:firstLine="482"/>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附图：</w:t>
      </w:r>
    </w:p>
    <w:p w14:paraId="2E730F6F">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附图1项目地理位置图</w:t>
      </w:r>
    </w:p>
    <w:p w14:paraId="41861485">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附图2总平面布置图</w:t>
      </w:r>
    </w:p>
    <w:p w14:paraId="6BC54784">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附图3项目区水系图</w:t>
      </w:r>
    </w:p>
    <w:p w14:paraId="4F2F096D">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附图4外环境关系图</w:t>
      </w:r>
    </w:p>
    <w:p w14:paraId="4FD889A6">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附图5分区防渗图</w:t>
      </w:r>
    </w:p>
    <w:p w14:paraId="4AE803EF">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附图6</w:t>
      </w:r>
      <w:r>
        <w:rPr>
          <w:rFonts w:hint="default" w:ascii="Times New Roman" w:hAnsi="Times New Roman" w:eastAsia="宋体" w:cs="Times New Roman"/>
          <w:b w:val="0"/>
          <w:bCs/>
          <w:color w:val="auto"/>
          <w:kern w:val="21"/>
          <w:sz w:val="24"/>
          <w:szCs w:val="24"/>
          <w:lang w:val="en-US" w:eastAsia="zh-CN" w:bidi="ar-SA"/>
        </w:rPr>
        <w:t>项目监测布点图</w:t>
      </w:r>
    </w:p>
    <w:p w14:paraId="2306F1C3">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rPr>
      </w:pPr>
    </w:p>
    <w:p w14:paraId="21A8DD3C">
      <w:pPr>
        <w:pStyle w:val="38"/>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附件：</w:t>
      </w:r>
    </w:p>
    <w:p w14:paraId="4F9E3E90">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附件1投资备案证</w:t>
      </w:r>
    </w:p>
    <w:p w14:paraId="468E934E">
      <w:pPr>
        <w:pStyle w:val="38"/>
        <w:tabs>
          <w:tab w:val="center" w:pos="4422"/>
        </w:tabs>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附件2委托书</w:t>
      </w:r>
      <w:r>
        <w:rPr>
          <w:rFonts w:hint="eastAsia" w:cs="Times New Roman"/>
          <w:b w:val="0"/>
          <w:bCs/>
          <w:color w:val="auto"/>
          <w:lang w:val="en-US" w:eastAsia="zh-CN"/>
        </w:rPr>
        <w:tab/>
      </w:r>
    </w:p>
    <w:p w14:paraId="5953800A">
      <w:pPr>
        <w:pStyle w:val="38"/>
        <w:ind w:left="480" w:leftChars="200"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附件3宁州街道关于同意玉昆珠峰采石场尾料处理加工厂建设项目的选址意见</w:t>
      </w:r>
    </w:p>
    <w:p w14:paraId="20CFB4AD">
      <w:pPr>
        <w:pStyle w:val="38"/>
        <w:ind w:left="480" w:leftChars="200"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附件4生态管控单元查询结果</w:t>
      </w:r>
    </w:p>
    <w:p w14:paraId="6D1AC7A4">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附件5环境质量现状监测报告</w:t>
      </w:r>
    </w:p>
    <w:p w14:paraId="5D8F6044">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附件6项目土地租赁合同</w:t>
      </w:r>
    </w:p>
    <w:p w14:paraId="62C66994">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附件7原料购售合同</w:t>
      </w:r>
    </w:p>
    <w:p w14:paraId="15C52739">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附件8建设单位营业执照</w:t>
      </w:r>
    </w:p>
    <w:p w14:paraId="40A7F518">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附件9华宁县云南绿色钢城玉昆项目配套冶炼用石灰岩矿矿产资源开发利用项目环境影响报告表的批复</w:t>
      </w:r>
    </w:p>
    <w:p w14:paraId="3C417B04">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w:t>
      </w:r>
      <w:r>
        <w:rPr>
          <w:rFonts w:hint="eastAsia" w:cs="Times New Roman"/>
          <w:b w:val="0"/>
          <w:bCs/>
          <w:color w:val="auto"/>
          <w:lang w:val="en-US" w:eastAsia="zh-CN"/>
        </w:rPr>
        <w:t>0</w:t>
      </w:r>
      <w:r>
        <w:rPr>
          <w:rFonts w:hint="default" w:ascii="Times New Roman" w:hAnsi="Times New Roman" w:cs="Times New Roman"/>
          <w:b w:val="0"/>
          <w:bCs/>
          <w:color w:val="auto"/>
          <w:lang w:val="en-US" w:eastAsia="zh-CN"/>
        </w:rPr>
        <w:t>三区三线查询</w:t>
      </w:r>
    </w:p>
    <w:p w14:paraId="7ABC1BA6">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附件11华宁松树地发东建材有限公司-泥饼用于制砖协议</w:t>
      </w:r>
    </w:p>
    <w:p w14:paraId="06765EB6">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附件12玉溪致鑫建材有限公司-泥饼接收协议</w:t>
      </w:r>
    </w:p>
    <w:p w14:paraId="5D05CBA0">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附件13云南鑫宏环保有限公司-危险废物收集服务协议</w:t>
      </w:r>
    </w:p>
    <w:p w14:paraId="7F21D9FE">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w:t>
      </w:r>
      <w:r>
        <w:rPr>
          <w:rFonts w:hint="eastAsia" w:cs="Times New Roman"/>
          <w:b w:val="0"/>
          <w:bCs/>
          <w:color w:val="auto"/>
          <w:lang w:val="en-US" w:eastAsia="zh-CN"/>
        </w:rPr>
        <w:t>4</w:t>
      </w:r>
      <w:r>
        <w:rPr>
          <w:rFonts w:hint="default" w:ascii="Times New Roman" w:hAnsi="Times New Roman" w:cs="Times New Roman"/>
          <w:b w:val="0"/>
          <w:bCs/>
          <w:color w:val="auto"/>
          <w:lang w:val="en-US" w:eastAsia="zh-CN"/>
        </w:rPr>
        <w:t>取消雷蒙磨设备情况说明</w:t>
      </w:r>
    </w:p>
    <w:p w14:paraId="5678FF1A">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附件15关于华宁县2007年度第二批集镇建设用地农用地转用使用及土地征收的请示批复</w:t>
      </w:r>
    </w:p>
    <w:p w14:paraId="6C5222A7">
      <w:pPr>
        <w:pStyle w:val="38"/>
        <w:ind w:firstLine="482"/>
        <w:rPr>
          <w:rFonts w:hint="eastAsia" w:cs="Times New Roman"/>
          <w:b w:val="0"/>
          <w:bCs/>
          <w:color w:val="auto"/>
          <w:lang w:val="en-US" w:eastAsia="zh-CN"/>
        </w:rPr>
      </w:pPr>
      <w:r>
        <w:rPr>
          <w:rFonts w:hint="eastAsia" w:cs="Times New Roman"/>
          <w:b w:val="0"/>
          <w:bCs/>
          <w:color w:val="auto"/>
          <w:lang w:val="en-US" w:eastAsia="zh-CN"/>
        </w:rPr>
        <w:t>附件16污水接纳证明</w:t>
      </w:r>
    </w:p>
    <w:p w14:paraId="4955C8AA">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w:t>
      </w:r>
      <w:r>
        <w:rPr>
          <w:rFonts w:hint="eastAsia" w:cs="Times New Roman"/>
          <w:b w:val="0"/>
          <w:bCs/>
          <w:color w:val="auto"/>
          <w:lang w:val="en-US" w:eastAsia="zh-CN"/>
        </w:rPr>
        <w:t>7</w:t>
      </w:r>
      <w:r>
        <w:rPr>
          <w:rFonts w:hint="default" w:ascii="Times New Roman" w:hAnsi="Times New Roman" w:cs="Times New Roman"/>
          <w:b w:val="0"/>
          <w:bCs/>
          <w:color w:val="auto"/>
          <w:lang w:val="en-US" w:eastAsia="zh-CN"/>
        </w:rPr>
        <w:t>进度管理及审核</w:t>
      </w:r>
    </w:p>
    <w:p w14:paraId="15AFB480">
      <w:pPr>
        <w:pStyle w:val="38"/>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附件1</w:t>
      </w:r>
      <w:r>
        <w:rPr>
          <w:rFonts w:hint="eastAsia" w:cs="Times New Roman"/>
          <w:b w:val="0"/>
          <w:bCs/>
          <w:color w:val="auto"/>
          <w:lang w:val="en-US" w:eastAsia="zh-CN"/>
        </w:rPr>
        <w:t>8</w:t>
      </w:r>
      <w:r>
        <w:rPr>
          <w:rFonts w:hint="default" w:ascii="Times New Roman" w:hAnsi="Times New Roman" w:cs="Times New Roman"/>
          <w:b w:val="0"/>
          <w:bCs/>
          <w:color w:val="auto"/>
          <w:lang w:val="en-US" w:eastAsia="zh-CN"/>
        </w:rPr>
        <w:t>环评编制合同</w:t>
      </w:r>
    </w:p>
    <w:p w14:paraId="7C7F9620">
      <w:pPr>
        <w:pStyle w:val="38"/>
        <w:ind w:firstLine="482"/>
        <w:rPr>
          <w:rFonts w:hint="eastAsia" w:cs="Times New Roman"/>
          <w:b w:val="0"/>
          <w:bCs/>
          <w:color w:val="auto"/>
          <w:lang w:val="en-US" w:eastAsia="zh-CN"/>
        </w:rPr>
      </w:pPr>
      <w:r>
        <w:rPr>
          <w:rFonts w:hint="eastAsia" w:cs="Times New Roman"/>
          <w:b w:val="0"/>
          <w:bCs/>
          <w:color w:val="auto"/>
          <w:lang w:val="en-US" w:eastAsia="zh-CN"/>
        </w:rPr>
        <w:t>附件19专家评审意见</w:t>
      </w:r>
    </w:p>
    <w:p w14:paraId="27926CDD">
      <w:pPr>
        <w:pStyle w:val="38"/>
        <w:ind w:firstLine="482"/>
        <w:rPr>
          <w:rFonts w:hint="default" w:cs="Times New Roman"/>
          <w:b w:val="0"/>
          <w:bCs/>
          <w:color w:val="auto"/>
          <w:lang w:val="en-US" w:eastAsia="zh-CN"/>
        </w:rPr>
      </w:pPr>
      <w:r>
        <w:rPr>
          <w:rFonts w:hint="eastAsia" w:cs="Times New Roman"/>
          <w:b w:val="0"/>
          <w:bCs/>
          <w:color w:val="auto"/>
          <w:lang w:val="en-US" w:eastAsia="zh-CN"/>
        </w:rPr>
        <w:t>附件20专家签到表</w:t>
      </w:r>
    </w:p>
    <w:p w14:paraId="2EA18B97">
      <w:pPr>
        <w:pStyle w:val="38"/>
        <w:ind w:firstLine="482"/>
        <w:rPr>
          <w:rFonts w:hint="default" w:cs="Times New Roman"/>
          <w:b w:val="0"/>
          <w:bCs/>
          <w:color w:val="auto"/>
          <w:lang w:val="en-US" w:eastAsia="zh-CN"/>
        </w:rPr>
      </w:pPr>
      <w:r>
        <w:rPr>
          <w:rFonts w:hint="eastAsia" w:cs="Times New Roman"/>
          <w:b w:val="0"/>
          <w:bCs/>
          <w:color w:val="auto"/>
          <w:lang w:val="en-US" w:eastAsia="zh-CN"/>
        </w:rPr>
        <w:t>附件21专家意见修改对照表</w:t>
      </w:r>
    </w:p>
    <w:p w14:paraId="24C40457">
      <w:pPr>
        <w:pStyle w:val="38"/>
        <w:ind w:firstLine="482"/>
        <w:rPr>
          <w:rFonts w:hint="default" w:ascii="Times New Roman" w:hAnsi="Times New Roman" w:cs="Times New Roman"/>
          <w:b w:val="0"/>
          <w:bCs/>
          <w:color w:val="auto"/>
          <w:lang w:val="en-US" w:eastAsia="zh-CN"/>
        </w:rPr>
      </w:pPr>
    </w:p>
    <w:p w14:paraId="4CC9EFD0">
      <w:pPr>
        <w:ind w:firstLine="480"/>
        <w:rPr>
          <w:rFonts w:hint="default" w:ascii="Times New Roman" w:hAnsi="Times New Roman" w:cs="Times New Roman"/>
          <w:color w:val="auto"/>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26" w:charSpace="0"/>
        </w:sectPr>
      </w:pPr>
      <w:r>
        <w:rPr>
          <w:rFonts w:hint="default" w:ascii="Times New Roman" w:hAnsi="Times New Roman" w:cs="Times New Roman"/>
          <w:color w:val="auto"/>
        </w:rPr>
        <w:t xml:space="preserve"> </w:t>
      </w:r>
    </w:p>
    <w:p w14:paraId="314A8938">
      <w:pPr>
        <w:pStyle w:val="38"/>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Times New Roman" w:hAnsi="Times New Roman" w:cs="Times New Roman"/>
          <w:b/>
          <w:bCs/>
          <w:color w:val="auto"/>
          <w:sz w:val="32"/>
          <w:szCs w:val="32"/>
        </w:rPr>
      </w:pPr>
      <w:bookmarkStart w:id="0" w:name="_Toc26338"/>
      <w:r>
        <w:rPr>
          <w:rFonts w:hint="default" w:ascii="Times New Roman" w:hAnsi="Times New Roman" w:cs="Times New Roman"/>
          <w:b/>
          <w:bCs/>
          <w:color w:val="auto"/>
          <w:sz w:val="32"/>
          <w:szCs w:val="32"/>
        </w:rPr>
        <w:t>前 言</w:t>
      </w:r>
      <w:bookmarkEnd w:id="0"/>
    </w:p>
    <w:p w14:paraId="28856692">
      <w:pPr>
        <w:pStyle w:val="38"/>
        <w:ind w:left="0" w:leftChars="0" w:firstLine="480" w:firstLineChars="200"/>
        <w:jc w:val="both"/>
        <w:rPr>
          <w:rFonts w:hint="default" w:ascii="Times New Roman" w:hAnsi="Times New Roman" w:cs="Times New Roman"/>
          <w:b w:val="0"/>
          <w:bCs/>
          <w:color w:val="auto"/>
          <w:lang w:val="en-US" w:eastAsia="zh-CN"/>
        </w:rPr>
      </w:pPr>
      <w:r>
        <w:rPr>
          <w:rFonts w:hint="default" w:ascii="Times New Roman" w:hAnsi="Times New Roman" w:eastAsia="宋体" w:cs="Times New Roman"/>
          <w:b w:val="0"/>
          <w:bCs/>
          <w:color w:val="auto"/>
          <w:lang w:val="en-US" w:eastAsia="zh-CN"/>
        </w:rPr>
        <w:t>随着基础设施建设和城市化进程的持续推进，建筑用石作为重要的基础材料，市场需求日益增长。玉昆珠峰采石</w:t>
      </w:r>
      <w:r>
        <w:rPr>
          <w:rFonts w:hint="default" w:ascii="Times New Roman" w:hAnsi="Times New Roman" w:cs="Times New Roman"/>
          <w:b w:val="0"/>
          <w:bCs/>
          <w:color w:val="auto"/>
          <w:lang w:val="en-US" w:eastAsia="zh-CN"/>
        </w:rPr>
        <w:t>场</w:t>
      </w:r>
      <w:r>
        <w:rPr>
          <w:rFonts w:hint="default" w:ascii="Times New Roman" w:hAnsi="Times New Roman" w:eastAsia="宋体" w:cs="Times New Roman"/>
          <w:b w:val="0"/>
          <w:bCs/>
          <w:color w:val="auto"/>
          <w:lang w:val="en-US" w:eastAsia="zh-CN"/>
        </w:rPr>
        <w:t>尾料处理加工厂项目的建设，</w:t>
      </w:r>
      <w:r>
        <w:rPr>
          <w:rFonts w:hint="default" w:ascii="Times New Roman" w:hAnsi="Times New Roman" w:cs="Times New Roman"/>
          <w:b w:val="0"/>
          <w:bCs/>
          <w:color w:val="auto"/>
          <w:lang w:val="en-US" w:eastAsia="zh-CN"/>
        </w:rPr>
        <w:t>能够</w:t>
      </w:r>
      <w:r>
        <w:rPr>
          <w:rFonts w:hint="default" w:ascii="Times New Roman" w:hAnsi="Times New Roman" w:eastAsia="宋体" w:cs="Times New Roman"/>
          <w:b w:val="0"/>
          <w:bCs/>
          <w:color w:val="auto"/>
          <w:lang w:val="en-US" w:eastAsia="zh-CN"/>
        </w:rPr>
        <w:t>满足当地及周边地区建筑行业对高品质石材的需求</w:t>
      </w:r>
      <w:r>
        <w:rPr>
          <w:rFonts w:hint="default" w:ascii="Times New Roman" w:hAnsi="Times New Roman" w:cs="Times New Roman"/>
          <w:b w:val="0"/>
          <w:bCs/>
          <w:color w:val="auto"/>
          <w:lang w:val="en-US" w:eastAsia="zh-CN"/>
        </w:rPr>
        <w:t>。</w:t>
      </w:r>
    </w:p>
    <w:p w14:paraId="7DF7A510">
      <w:pPr>
        <w:pStyle w:val="38"/>
        <w:ind w:left="0" w:leftChars="0" w:firstLine="480" w:firstLineChars="200"/>
        <w:jc w:val="both"/>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本项目位于云南省玉溪市华宁县宁州街道法果村委会</w:t>
      </w:r>
      <w:r>
        <w:rPr>
          <w:rFonts w:hint="eastAsia" w:ascii="Times New Roman" w:hAnsi="Times New Roman" w:cs="Times New Roman"/>
          <w:b w:val="0"/>
          <w:bCs/>
          <w:color w:val="auto"/>
          <w:lang w:val="en-US" w:eastAsia="zh-CN"/>
        </w:rPr>
        <w:t>原法果红砖厂</w:t>
      </w:r>
      <w:r>
        <w:rPr>
          <w:rFonts w:hint="default" w:ascii="Times New Roman" w:hAnsi="Times New Roman" w:cs="Times New Roman"/>
          <w:b w:val="0"/>
          <w:bCs/>
          <w:color w:val="auto"/>
          <w:lang w:val="en-US" w:eastAsia="zh-CN"/>
        </w:rPr>
        <w:t>，厂区中心地理位置：东经102°55′</w:t>
      </w:r>
      <w:r>
        <w:rPr>
          <w:rFonts w:hint="eastAsia" w:ascii="Times New Roman" w:hAnsi="Times New Roman" w:cs="Times New Roman"/>
          <w:b w:val="0"/>
          <w:bCs/>
          <w:color w:val="auto"/>
          <w:lang w:val="en-US" w:eastAsia="zh-CN"/>
        </w:rPr>
        <w:t>8.358</w:t>
      </w:r>
      <w:r>
        <w:rPr>
          <w:rFonts w:hint="default" w:ascii="Times New Roman" w:hAnsi="Times New Roman" w:cs="Times New Roman"/>
          <w:b w:val="0"/>
          <w:bCs/>
          <w:color w:val="auto"/>
          <w:lang w:val="en-US" w:eastAsia="zh-CN"/>
        </w:rPr>
        <w:t>″，北纬24°7′</w:t>
      </w:r>
      <w:r>
        <w:rPr>
          <w:rFonts w:hint="eastAsia" w:ascii="Times New Roman" w:hAnsi="Times New Roman" w:cs="Times New Roman"/>
          <w:b w:val="0"/>
          <w:bCs/>
          <w:color w:val="auto"/>
          <w:lang w:val="en-US" w:eastAsia="zh-CN"/>
        </w:rPr>
        <w:t>35.601</w:t>
      </w:r>
      <w:r>
        <w:rPr>
          <w:rFonts w:hint="default" w:ascii="Times New Roman" w:hAnsi="Times New Roman" w:cs="Times New Roman"/>
          <w:b w:val="0"/>
          <w:bCs/>
          <w:color w:val="auto"/>
          <w:lang w:val="en-US" w:eastAsia="zh-CN"/>
        </w:rPr>
        <w:t>″。华宁宏泰工程机械服务有限责任公司租赁该场地作为本项目建设用地；</w:t>
      </w:r>
      <w:r>
        <w:rPr>
          <w:rFonts w:hint="default" w:ascii="Times New Roman" w:hAnsi="Times New Roman" w:eastAsia="宋体" w:cs="Times New Roman"/>
          <w:b w:val="0"/>
          <w:bCs w:val="0"/>
          <w:color w:val="auto"/>
          <w:sz w:val="24"/>
          <w:szCs w:val="24"/>
        </w:rPr>
        <w:t>生活区沿用原有房屋，新建</w:t>
      </w:r>
      <w:r>
        <w:rPr>
          <w:rFonts w:hint="default" w:ascii="Times New Roman" w:hAnsi="Times New Roman" w:cs="Times New Roman"/>
          <w:b w:val="0"/>
          <w:bCs w:val="0"/>
          <w:color w:val="auto"/>
          <w:sz w:val="24"/>
          <w:szCs w:val="24"/>
          <w:lang w:val="en-US" w:eastAsia="zh-CN"/>
        </w:rPr>
        <w:t>尾料处理</w:t>
      </w:r>
      <w:r>
        <w:rPr>
          <w:rFonts w:hint="default" w:ascii="Times New Roman" w:hAnsi="Times New Roman" w:eastAsia="宋体" w:cs="Times New Roman"/>
          <w:b w:val="0"/>
          <w:bCs w:val="0"/>
          <w:color w:val="auto"/>
          <w:sz w:val="24"/>
          <w:szCs w:val="24"/>
        </w:rPr>
        <w:t>加工生产线一条。</w:t>
      </w:r>
      <w:r>
        <w:rPr>
          <w:rFonts w:hint="default" w:ascii="Times New Roman" w:hAnsi="Times New Roman" w:eastAsia="宋体" w:cs="Times New Roman"/>
          <w:b w:val="0"/>
          <w:bCs/>
          <w:color w:val="auto"/>
          <w:lang w:val="en-US" w:eastAsia="zh-CN"/>
        </w:rPr>
        <w:t>建成后，将形成年产</w:t>
      </w:r>
      <w:r>
        <w:rPr>
          <w:rFonts w:hint="default" w:ascii="Times New Roman" w:hAnsi="Times New Roman" w:cs="Times New Roman"/>
          <w:b w:val="0"/>
          <w:bCs/>
          <w:color w:val="auto"/>
          <w:lang w:val="en-US" w:eastAsia="zh-CN"/>
        </w:rPr>
        <w:t>9</w:t>
      </w:r>
      <w:r>
        <w:rPr>
          <w:rFonts w:hint="default" w:ascii="Times New Roman" w:hAnsi="Times New Roman" w:eastAsia="宋体" w:cs="Times New Roman"/>
          <w:b w:val="0"/>
          <w:bCs/>
          <w:color w:val="auto"/>
          <w:lang w:val="en-US" w:eastAsia="zh-CN"/>
        </w:rPr>
        <w:t>万</w:t>
      </w:r>
      <w:r>
        <w:rPr>
          <w:rFonts w:hint="default" w:ascii="Times New Roman" w:hAnsi="Times New Roman" w:cs="Times New Roman"/>
          <w:b w:val="0"/>
          <w:bCs/>
          <w:color w:val="auto"/>
          <w:lang w:val="en-US" w:eastAsia="zh-CN"/>
        </w:rPr>
        <w:t>t</w:t>
      </w:r>
      <w:r>
        <w:rPr>
          <w:rFonts w:hint="default" w:ascii="Times New Roman" w:hAnsi="Times New Roman" w:eastAsia="宋体" w:cs="Times New Roman"/>
          <w:b w:val="0"/>
          <w:bCs/>
          <w:color w:val="auto"/>
          <w:lang w:val="en-US" w:eastAsia="zh-CN"/>
        </w:rPr>
        <w:t>建筑用石的生产规模，涵盖碎石、</w:t>
      </w:r>
      <w:r>
        <w:rPr>
          <w:rFonts w:hint="default" w:ascii="Times New Roman" w:hAnsi="Times New Roman" w:cs="Times New Roman"/>
          <w:b w:val="0"/>
          <w:bCs/>
          <w:color w:val="auto"/>
          <w:lang w:val="en-US" w:eastAsia="zh-CN"/>
        </w:rPr>
        <w:t>公分石</w:t>
      </w:r>
      <w:r>
        <w:rPr>
          <w:rFonts w:hint="default" w:ascii="Times New Roman" w:hAnsi="Times New Roman" w:eastAsia="宋体" w:cs="Times New Roman"/>
          <w:b w:val="0"/>
          <w:bCs/>
          <w:color w:val="auto"/>
          <w:lang w:val="en-US" w:eastAsia="zh-CN"/>
        </w:rPr>
        <w:t>等多种产品，以多元化的产品结构满足不同建筑工程的需求。</w:t>
      </w:r>
      <w:r>
        <w:rPr>
          <w:rFonts w:hint="default" w:ascii="Times New Roman" w:hAnsi="Times New Roman" w:cs="Times New Roman"/>
          <w:b w:val="0"/>
          <w:bCs/>
          <w:color w:val="auto"/>
          <w:lang w:val="en-US" w:eastAsia="zh-CN"/>
        </w:rPr>
        <w:t>项目主要生产原辅料来源于玉昆珠峰采石场</w:t>
      </w:r>
      <w:r>
        <w:rPr>
          <w:rFonts w:hint="eastAsia" w:ascii="Times New Roman" w:hAnsi="Times New Roman" w:cs="Times New Roman"/>
          <w:b w:val="0"/>
          <w:bCs/>
          <w:color w:val="auto"/>
          <w:lang w:val="en-US" w:eastAsia="zh-CN"/>
        </w:rPr>
        <w:t>（玉溪致鑫建材有限公司位于玉溪市华宁县宁州镇平地村委会境内的云南绿色钢城玉昆项目配套冶炼用石灰岩矿矿产资源开发利用项目）</w:t>
      </w:r>
      <w:r>
        <w:rPr>
          <w:rFonts w:hint="default" w:ascii="Times New Roman" w:hAnsi="Times New Roman" w:cs="Times New Roman"/>
          <w:b w:val="0"/>
          <w:bCs/>
          <w:color w:val="auto"/>
          <w:lang w:val="en-US" w:eastAsia="zh-CN"/>
        </w:rPr>
        <w:t>产生的尾料，通过运输车辆运至项目加工场地，通过水洗、脱水、筛分，产出不同大小的骨料进行外售，不涉及破碎工艺。玉昆珠峰采石场尾料处理加工厂于2025年3月3日取得了华宁县发展和改革局出具的投资备案证，备案号为：2503-530424-04-01-965426。</w:t>
      </w:r>
    </w:p>
    <w:p w14:paraId="332FDA1C">
      <w:pPr>
        <w:pStyle w:val="38"/>
        <w:ind w:left="0" w:leftChars="0" w:firstLine="480" w:firstLineChars="200"/>
        <w:jc w:val="both"/>
        <w:rPr>
          <w:rFonts w:hint="default" w:ascii="Times New Roman" w:hAnsi="Times New Roman" w:cs="Times New Roman"/>
          <w:b w:val="0"/>
          <w:bCs/>
          <w:color w:val="auto"/>
        </w:rPr>
      </w:pPr>
      <w:r>
        <w:rPr>
          <w:rFonts w:hint="default" w:ascii="Times New Roman" w:hAnsi="Times New Roman" w:cs="Times New Roman"/>
          <w:b w:val="0"/>
          <w:bCs/>
          <w:color w:val="auto"/>
        </w:rPr>
        <w:t>根据《中华人民共和国环境影响评价法》《建设项目环境保护管理条例》（国务院令第682号令），建设项目应</w:t>
      </w:r>
      <w:r>
        <w:rPr>
          <w:rFonts w:hint="default" w:ascii="Times New Roman" w:hAnsi="Times New Roman" w:cs="Times New Roman"/>
          <w:b w:val="0"/>
          <w:bCs/>
          <w:color w:val="auto"/>
          <w:lang w:eastAsia="zh-CN"/>
        </w:rPr>
        <w:t>执</w:t>
      </w:r>
      <w:r>
        <w:rPr>
          <w:rFonts w:hint="default" w:ascii="Times New Roman" w:hAnsi="Times New Roman" w:cs="Times New Roman"/>
          <w:b w:val="0"/>
          <w:bCs/>
          <w:color w:val="auto"/>
        </w:rPr>
        <w:t>行环境影响评价制度。</w:t>
      </w:r>
      <w:r>
        <w:rPr>
          <w:rFonts w:hint="default" w:ascii="Times New Roman" w:hAnsi="Times New Roman" w:eastAsia="宋体" w:cs="Times New Roman"/>
          <w:b w:val="0"/>
          <w:bCs/>
          <w:color w:val="auto"/>
          <w:lang w:val="en-US" w:eastAsia="zh-CN"/>
        </w:rPr>
        <w:t>对照《国民经济行业分类》（GB/T4754-2017</w:t>
      </w:r>
      <w:r>
        <w:rPr>
          <w:rFonts w:hint="eastAsia" w:cs="Times New Roman"/>
          <w:b w:val="0"/>
          <w:bCs/>
          <w:color w:val="auto"/>
          <w:lang w:val="en-US" w:eastAsia="zh-CN"/>
        </w:rPr>
        <w:t>）</w:t>
      </w:r>
      <w:r>
        <w:rPr>
          <w:rFonts w:hint="default" w:ascii="Times New Roman" w:hAnsi="Times New Roman" w:eastAsia="宋体" w:cs="Times New Roman"/>
          <w:b w:val="0"/>
          <w:bCs/>
          <w:color w:val="auto"/>
          <w:lang w:val="en-US" w:eastAsia="zh-CN"/>
        </w:rPr>
        <w:t>（2019年修改），项目属于“C3039其他建筑材料制造”类项目。按照《建设项目环境影响评价分类管理名录（2021年版）》，本项目属于</w:t>
      </w:r>
      <w:r>
        <w:rPr>
          <w:rFonts w:hint="default" w:ascii="Times New Roman" w:hAnsi="Times New Roman" w:cs="Times New Roman"/>
          <w:b w:val="0"/>
          <w:bCs/>
          <w:color w:val="auto"/>
          <w:lang w:val="en-US" w:eastAsia="zh-CN"/>
        </w:rPr>
        <w:t>“</w:t>
      </w:r>
      <w:r>
        <w:rPr>
          <w:rFonts w:hint="default" w:ascii="Times New Roman" w:hAnsi="Times New Roman" w:eastAsia="宋体" w:cs="Times New Roman"/>
          <w:b w:val="0"/>
          <w:bCs/>
          <w:color w:val="auto"/>
          <w:lang w:val="en-US" w:eastAsia="zh-CN"/>
        </w:rPr>
        <w:t>二十七、非金属矿</w:t>
      </w:r>
      <w:r>
        <w:rPr>
          <w:rFonts w:hint="default" w:ascii="Times New Roman" w:hAnsi="Times New Roman" w:cs="Times New Roman"/>
          <w:b w:val="0"/>
          <w:bCs/>
          <w:color w:val="auto"/>
          <w:lang w:val="en-US" w:eastAsia="zh-CN"/>
        </w:rPr>
        <w:t>物</w:t>
      </w:r>
      <w:r>
        <w:rPr>
          <w:rFonts w:hint="default" w:ascii="Times New Roman" w:hAnsi="Times New Roman" w:eastAsia="宋体" w:cs="Times New Roman"/>
          <w:b w:val="0"/>
          <w:bCs/>
          <w:color w:val="auto"/>
          <w:lang w:val="en-US" w:eastAsia="zh-CN"/>
        </w:rPr>
        <w:t>制品业</w:t>
      </w:r>
      <w:r>
        <w:rPr>
          <w:rFonts w:hint="default" w:ascii="Times New Roman" w:hAnsi="Times New Roman" w:cs="Times New Roman"/>
          <w:b w:val="0"/>
          <w:bCs/>
          <w:color w:val="auto"/>
          <w:lang w:val="en-US" w:eastAsia="zh-CN"/>
        </w:rPr>
        <w:t>，56砖瓦、石材等建筑材料制造303”</w:t>
      </w:r>
      <w:r>
        <w:rPr>
          <w:rFonts w:hint="default" w:ascii="Times New Roman" w:hAnsi="Times New Roman" w:eastAsia="宋体" w:cs="Times New Roman"/>
          <w:b w:val="0"/>
          <w:bCs/>
          <w:color w:val="auto"/>
          <w:lang w:val="en-US" w:eastAsia="zh-CN"/>
        </w:rPr>
        <w:t>。在项目建设与运营过程中，不可避免会对周边环境产生一定影响。为全面、客观、科学地评估项目建设可能带来的环境效应，</w:t>
      </w:r>
      <w:r>
        <w:rPr>
          <w:rFonts w:hint="default" w:ascii="Times New Roman" w:hAnsi="Times New Roman" w:cs="Times New Roman"/>
          <w:b w:val="0"/>
          <w:bCs/>
          <w:color w:val="auto"/>
          <w:lang w:val="en-US" w:eastAsia="zh-CN"/>
        </w:rPr>
        <w:t>受华宁宏泰工程机械服务</w:t>
      </w:r>
      <w:r>
        <w:rPr>
          <w:rFonts w:hint="default" w:ascii="Times New Roman" w:hAnsi="Times New Roman" w:eastAsia="宋体" w:cs="Times New Roman"/>
          <w:b w:val="0"/>
          <w:bCs/>
          <w:color w:val="auto"/>
          <w:lang w:val="en-US" w:eastAsia="zh-CN"/>
        </w:rPr>
        <w:t>有限</w:t>
      </w:r>
      <w:r>
        <w:rPr>
          <w:rFonts w:hint="default" w:ascii="Times New Roman" w:hAnsi="Times New Roman" w:cs="Times New Roman"/>
          <w:b w:val="0"/>
          <w:bCs/>
          <w:color w:val="auto"/>
          <w:lang w:val="en-US" w:eastAsia="zh-CN"/>
        </w:rPr>
        <w:t>责任</w:t>
      </w:r>
      <w:r>
        <w:rPr>
          <w:rFonts w:hint="default" w:ascii="Times New Roman" w:hAnsi="Times New Roman" w:eastAsia="宋体" w:cs="Times New Roman"/>
          <w:b w:val="0"/>
          <w:bCs/>
          <w:color w:val="auto"/>
          <w:lang w:val="en-US" w:eastAsia="zh-CN"/>
        </w:rPr>
        <w:t>公司委托</w:t>
      </w:r>
      <w:r>
        <w:rPr>
          <w:rFonts w:hint="default" w:ascii="Times New Roman" w:hAnsi="Times New Roman" w:cs="Times New Roman"/>
          <w:b w:val="0"/>
          <w:bCs/>
          <w:color w:val="auto"/>
          <w:lang w:val="en-US" w:eastAsia="zh-CN"/>
        </w:rPr>
        <w:t>，由我公司承担本项目环境影响报告表的编制工作。</w:t>
      </w:r>
      <w:r>
        <w:rPr>
          <w:rFonts w:hint="default" w:ascii="Times New Roman" w:hAnsi="Times New Roman" w:cs="Times New Roman"/>
          <w:b w:val="0"/>
          <w:bCs/>
          <w:color w:val="auto"/>
        </w:rPr>
        <w:t>我方接受委托后，进行了现场踏勘、环境状况调查、资料收集，在认真分析工程内容的基础上，编制完成了本项目环境影响报告表，供建设单位上报生态环境行政管理部门审批后作为项目环境管理的依据。</w:t>
      </w:r>
    </w:p>
    <w:p w14:paraId="1FF65433">
      <w:pPr>
        <w:pStyle w:val="38"/>
        <w:ind w:left="0" w:leftChars="0" w:firstLine="480" w:firstLineChars="200"/>
        <w:jc w:val="both"/>
        <w:rPr>
          <w:rFonts w:hint="default" w:ascii="Times New Roman" w:hAnsi="Times New Roman" w:cs="Times New Roman"/>
          <w:b w:val="0"/>
          <w:bCs/>
          <w:color w:val="auto"/>
          <w:lang w:val="en-US" w:eastAsia="zh-CN"/>
        </w:rPr>
      </w:pPr>
    </w:p>
    <w:p w14:paraId="298C3740">
      <w:pPr>
        <w:pStyle w:val="38"/>
        <w:jc w:val="center"/>
        <w:rPr>
          <w:rFonts w:hint="default" w:ascii="Times New Roman" w:hAnsi="Times New Roman" w:cs="Times New Roman"/>
          <w:b w:val="0"/>
          <w:color w:val="auto"/>
        </w:rPr>
      </w:pPr>
    </w:p>
    <w:p w14:paraId="2A100922">
      <w:pPr>
        <w:ind w:firstLine="480"/>
        <w:rPr>
          <w:rFonts w:hint="default" w:ascii="Times New Roman" w:hAnsi="Times New Roman" w:cs="Times New Roman"/>
          <w:color w:val="auto"/>
        </w:rPr>
      </w:pPr>
    </w:p>
    <w:p w14:paraId="37519E59">
      <w:pPr>
        <w:pStyle w:val="38"/>
        <w:ind w:firstLine="482"/>
        <w:jc w:val="center"/>
        <w:rPr>
          <w:rFonts w:hint="default" w:ascii="Times New Roman" w:hAnsi="Times New Roman" w:cs="Times New Roman"/>
          <w:snapToGrid w:val="0"/>
          <w:color w:val="auto"/>
        </w:rPr>
      </w:pPr>
      <w:bookmarkStart w:id="1" w:name="_Toc23154"/>
    </w:p>
    <w:p w14:paraId="56AEFDFE">
      <w:pPr>
        <w:pStyle w:val="38"/>
        <w:ind w:firstLine="482"/>
        <w:jc w:val="center"/>
        <w:rPr>
          <w:rFonts w:hint="default" w:ascii="Times New Roman" w:hAnsi="Times New Roman" w:cs="Times New Roman"/>
          <w:snapToGrid w:val="0"/>
          <w:color w:val="auto"/>
        </w:rPr>
      </w:pPr>
    </w:p>
    <w:p w14:paraId="0672DEF0">
      <w:pPr>
        <w:pStyle w:val="38"/>
        <w:keepNext w:val="0"/>
        <w:keepLines w:val="0"/>
        <w:pageBreakBefore w:val="0"/>
        <w:widowControl w:val="0"/>
        <w:numPr>
          <w:ilvl w:val="0"/>
          <w:numId w:val="1"/>
        </w:numPr>
        <w:kinsoku/>
        <w:wordWrap/>
        <w:overflowPunct/>
        <w:topLinePunct w:val="0"/>
        <w:autoSpaceDE/>
        <w:autoSpaceDN/>
        <w:bidi w:val="0"/>
        <w:adjustRightInd/>
        <w:snapToGrid/>
        <w:ind w:firstLine="0" w:firstLineChars="0"/>
        <w:jc w:val="left"/>
        <w:textAlignment w:val="auto"/>
        <w:outlineLvl w:val="0"/>
        <w:rPr>
          <w:rFonts w:hint="default" w:ascii="Times New Roman" w:hAnsi="Times New Roman" w:cs="Times New Roman"/>
          <w:snapToGrid w:val="0"/>
          <w:color w:val="auto"/>
          <w:sz w:val="32"/>
          <w:szCs w:val="32"/>
        </w:rPr>
      </w:pPr>
      <w:bookmarkStart w:id="2" w:name="_Toc22375"/>
      <w:r>
        <w:rPr>
          <w:rFonts w:hint="default" w:ascii="Times New Roman" w:hAnsi="Times New Roman" w:cs="Times New Roman"/>
          <w:snapToGrid w:val="0"/>
          <w:color w:val="auto"/>
          <w:sz w:val="32"/>
          <w:szCs w:val="32"/>
        </w:rPr>
        <w:t>建设项目基本情况</w:t>
      </w:r>
      <w:bookmarkEnd w:id="1"/>
      <w:bookmarkEnd w:id="2"/>
    </w:p>
    <w:tbl>
      <w:tblPr>
        <w:tblStyle w:val="1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7"/>
        <w:gridCol w:w="1203"/>
        <w:gridCol w:w="2542"/>
        <w:gridCol w:w="135"/>
        <w:gridCol w:w="1542"/>
        <w:gridCol w:w="87"/>
        <w:gridCol w:w="2902"/>
      </w:tblGrid>
      <w:tr w14:paraId="60F0E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41" w:type="pct"/>
            <w:gridSpan w:val="2"/>
            <w:tcMar>
              <w:top w:w="16" w:type="dxa"/>
              <w:left w:w="16" w:type="dxa"/>
              <w:right w:w="16" w:type="dxa"/>
            </w:tcMar>
            <w:vAlign w:val="center"/>
          </w:tcPr>
          <w:p w14:paraId="64FDC916">
            <w:pPr>
              <w:pStyle w:val="14"/>
              <w:jc w:val="center"/>
              <w:rPr>
                <w:rFonts w:hint="default" w:ascii="Times New Roman" w:hAnsi="Times New Roman" w:cs="Times New Roman"/>
                <w:color w:val="auto"/>
              </w:rPr>
            </w:pPr>
            <w:bookmarkStart w:id="3" w:name="_Toc31400"/>
            <w:r>
              <w:rPr>
                <w:rFonts w:hint="default" w:ascii="Times New Roman" w:hAnsi="Times New Roman" w:cs="Times New Roman"/>
                <w:b w:val="0"/>
                <w:bCs w:val="0"/>
                <w:color w:val="auto"/>
                <w:sz w:val="24"/>
                <w:szCs w:val="24"/>
              </w:rPr>
              <w:t>建设项目名称</w:t>
            </w:r>
            <w:bookmarkEnd w:id="3"/>
          </w:p>
        </w:tc>
        <w:tc>
          <w:tcPr>
            <w:tcW w:w="4058" w:type="pct"/>
            <w:gridSpan w:val="5"/>
            <w:vAlign w:val="center"/>
          </w:tcPr>
          <w:p w14:paraId="1C315AB2">
            <w:pPr>
              <w:pStyle w:val="4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玉昆珠峰采石场尾料处理加工厂</w:t>
            </w:r>
          </w:p>
        </w:tc>
      </w:tr>
      <w:tr w14:paraId="1433B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941" w:type="pct"/>
            <w:gridSpan w:val="2"/>
            <w:tcMar>
              <w:top w:w="16" w:type="dxa"/>
              <w:left w:w="16" w:type="dxa"/>
              <w:right w:w="16" w:type="dxa"/>
            </w:tcMar>
            <w:vAlign w:val="center"/>
          </w:tcPr>
          <w:p w14:paraId="35603CAC">
            <w:pPr>
              <w:pStyle w:val="40"/>
              <w:rPr>
                <w:rFonts w:hint="default" w:ascii="Times New Roman" w:hAnsi="Times New Roman" w:cs="Times New Roman"/>
                <w:color w:val="auto"/>
              </w:rPr>
            </w:pPr>
            <w:r>
              <w:rPr>
                <w:rFonts w:hint="default" w:ascii="Times New Roman" w:hAnsi="Times New Roman" w:cs="Times New Roman"/>
                <w:color w:val="auto"/>
              </w:rPr>
              <w:t>项目代码</w:t>
            </w:r>
          </w:p>
        </w:tc>
        <w:tc>
          <w:tcPr>
            <w:tcW w:w="4058" w:type="pct"/>
            <w:gridSpan w:val="5"/>
            <w:vAlign w:val="center"/>
          </w:tcPr>
          <w:p w14:paraId="3F722DAD">
            <w:pPr>
              <w:pStyle w:val="4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2503-530424-04-01-965426</w:t>
            </w:r>
          </w:p>
        </w:tc>
      </w:tr>
      <w:tr w14:paraId="0CC60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41" w:type="pct"/>
            <w:gridSpan w:val="2"/>
            <w:tcMar>
              <w:top w:w="16" w:type="dxa"/>
              <w:left w:w="16" w:type="dxa"/>
              <w:right w:w="16" w:type="dxa"/>
            </w:tcMar>
            <w:vAlign w:val="center"/>
          </w:tcPr>
          <w:p w14:paraId="74AD08FE">
            <w:pPr>
              <w:pStyle w:val="40"/>
              <w:rPr>
                <w:rFonts w:hint="default" w:ascii="Times New Roman" w:hAnsi="Times New Roman" w:cs="Times New Roman"/>
                <w:color w:val="auto"/>
              </w:rPr>
            </w:pPr>
            <w:r>
              <w:rPr>
                <w:rFonts w:hint="default" w:ascii="Times New Roman" w:hAnsi="Times New Roman" w:cs="Times New Roman"/>
                <w:color w:val="auto"/>
              </w:rPr>
              <w:t>建设单位</w:t>
            </w:r>
          </w:p>
          <w:p w14:paraId="70AB6886">
            <w:pPr>
              <w:pStyle w:val="40"/>
              <w:rPr>
                <w:rFonts w:hint="default" w:ascii="Times New Roman" w:hAnsi="Times New Roman" w:cs="Times New Roman"/>
                <w:color w:val="auto"/>
              </w:rPr>
            </w:pPr>
            <w:r>
              <w:rPr>
                <w:rFonts w:hint="default" w:ascii="Times New Roman" w:hAnsi="Times New Roman" w:cs="Times New Roman"/>
                <w:color w:val="auto"/>
              </w:rPr>
              <w:t>联系人</w:t>
            </w:r>
          </w:p>
        </w:tc>
        <w:tc>
          <w:tcPr>
            <w:tcW w:w="1507" w:type="pct"/>
            <w:gridSpan w:val="2"/>
            <w:vAlign w:val="center"/>
          </w:tcPr>
          <w:p w14:paraId="2BD6A5A2">
            <w:pPr>
              <w:pStyle w:val="4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金栗鹏</w:t>
            </w:r>
          </w:p>
        </w:tc>
        <w:tc>
          <w:tcPr>
            <w:tcW w:w="917" w:type="pct"/>
            <w:gridSpan w:val="2"/>
            <w:vAlign w:val="center"/>
          </w:tcPr>
          <w:p w14:paraId="1D86926E">
            <w:pPr>
              <w:pStyle w:val="40"/>
              <w:rPr>
                <w:rFonts w:hint="default" w:ascii="Times New Roman" w:hAnsi="Times New Roman" w:cs="Times New Roman"/>
                <w:color w:val="auto"/>
              </w:rPr>
            </w:pPr>
            <w:r>
              <w:rPr>
                <w:rFonts w:hint="default" w:ascii="Times New Roman" w:hAnsi="Times New Roman" w:cs="Times New Roman"/>
                <w:color w:val="auto"/>
              </w:rPr>
              <w:t>联系方式</w:t>
            </w:r>
          </w:p>
        </w:tc>
        <w:tc>
          <w:tcPr>
            <w:tcW w:w="1633" w:type="pct"/>
            <w:vAlign w:val="center"/>
          </w:tcPr>
          <w:p w14:paraId="5B6C77E8">
            <w:pPr>
              <w:pStyle w:val="4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18724838502</w:t>
            </w:r>
          </w:p>
        </w:tc>
      </w:tr>
      <w:tr w14:paraId="77FE4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41" w:type="pct"/>
            <w:gridSpan w:val="2"/>
            <w:tcMar>
              <w:top w:w="16" w:type="dxa"/>
              <w:left w:w="16" w:type="dxa"/>
              <w:right w:w="16" w:type="dxa"/>
            </w:tcMar>
            <w:vAlign w:val="center"/>
          </w:tcPr>
          <w:p w14:paraId="5786E439">
            <w:pPr>
              <w:pStyle w:val="40"/>
              <w:rPr>
                <w:rFonts w:hint="default" w:ascii="Times New Roman" w:hAnsi="Times New Roman" w:cs="Times New Roman"/>
                <w:color w:val="auto"/>
              </w:rPr>
            </w:pPr>
            <w:r>
              <w:rPr>
                <w:rFonts w:hint="default" w:ascii="Times New Roman" w:hAnsi="Times New Roman" w:cs="Times New Roman"/>
                <w:color w:val="auto"/>
              </w:rPr>
              <w:t>建设地点</w:t>
            </w:r>
          </w:p>
        </w:tc>
        <w:tc>
          <w:tcPr>
            <w:tcW w:w="4058" w:type="pct"/>
            <w:gridSpan w:val="5"/>
            <w:vAlign w:val="center"/>
          </w:tcPr>
          <w:p w14:paraId="2B1148FF">
            <w:pPr>
              <w:pStyle w:val="40"/>
              <w:rPr>
                <w:rFonts w:hint="default" w:ascii="Times New Roman" w:hAnsi="Times New Roman" w:eastAsia="宋体" w:cs="Times New Roman"/>
                <w:color w:val="auto"/>
                <w:lang w:val="en-US" w:eastAsia="zh-CN"/>
              </w:rPr>
            </w:pPr>
            <w:r>
              <w:rPr>
                <w:rFonts w:hint="eastAsia" w:cs="Times New Roman"/>
                <w:color w:val="auto"/>
                <w:lang w:val="en-US" w:eastAsia="zh-CN"/>
              </w:rPr>
              <w:t>云南省玉溪市华宁县</w:t>
            </w:r>
            <w:r>
              <w:rPr>
                <w:rFonts w:hint="default" w:ascii="Times New Roman" w:hAnsi="Times New Roman" w:cs="Times New Roman"/>
                <w:color w:val="auto"/>
                <w:lang w:val="en-US" w:eastAsia="zh-CN"/>
              </w:rPr>
              <w:t>宁州街道法果村委会</w:t>
            </w:r>
            <w:r>
              <w:rPr>
                <w:rFonts w:hint="eastAsia" w:cs="Times New Roman"/>
                <w:color w:val="auto"/>
                <w:lang w:val="en-US" w:eastAsia="zh-CN"/>
              </w:rPr>
              <w:t>（</w:t>
            </w:r>
            <w:r>
              <w:rPr>
                <w:rFonts w:hint="default" w:ascii="Times New Roman" w:hAnsi="Times New Roman" w:cs="Times New Roman"/>
                <w:color w:val="auto"/>
                <w:lang w:val="en-US" w:eastAsia="zh-CN"/>
              </w:rPr>
              <w:t>原华宁宁州街道法果村委会法果红砖厂</w:t>
            </w:r>
            <w:r>
              <w:rPr>
                <w:rFonts w:hint="eastAsia" w:cs="Times New Roman"/>
                <w:color w:val="auto"/>
                <w:lang w:val="en-US" w:eastAsia="zh-CN"/>
              </w:rPr>
              <w:t>）</w:t>
            </w:r>
          </w:p>
        </w:tc>
      </w:tr>
      <w:tr w14:paraId="55AB0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41" w:type="pct"/>
            <w:gridSpan w:val="2"/>
            <w:tcMar>
              <w:top w:w="16" w:type="dxa"/>
              <w:left w:w="16" w:type="dxa"/>
              <w:right w:w="16" w:type="dxa"/>
            </w:tcMar>
            <w:vAlign w:val="center"/>
          </w:tcPr>
          <w:p w14:paraId="09AA4A5C">
            <w:pPr>
              <w:pStyle w:val="40"/>
              <w:rPr>
                <w:rFonts w:hint="default" w:ascii="Times New Roman" w:hAnsi="Times New Roman" w:cs="Times New Roman"/>
                <w:color w:val="auto"/>
              </w:rPr>
            </w:pPr>
            <w:r>
              <w:rPr>
                <w:rFonts w:hint="default" w:ascii="Times New Roman" w:hAnsi="Times New Roman" w:cs="Times New Roman"/>
                <w:color w:val="auto"/>
              </w:rPr>
              <w:t>地理坐标</w:t>
            </w:r>
          </w:p>
        </w:tc>
        <w:tc>
          <w:tcPr>
            <w:tcW w:w="4058" w:type="pct"/>
            <w:gridSpan w:val="5"/>
            <w:vAlign w:val="center"/>
          </w:tcPr>
          <w:p w14:paraId="57BD3B95">
            <w:pPr>
              <w:pStyle w:val="40"/>
              <w:jc w:val="center"/>
              <w:rPr>
                <w:rFonts w:hint="default" w:ascii="Times New Roman" w:hAnsi="Times New Roman" w:cs="Times New Roman"/>
                <w:color w:val="auto"/>
              </w:rPr>
            </w:pPr>
            <w:r>
              <w:rPr>
                <w:rFonts w:hint="default" w:ascii="Times New Roman" w:hAnsi="Times New Roman" w:cs="Times New Roman"/>
                <w:color w:val="auto"/>
                <w:lang w:val="en-US" w:eastAsia="zh-CN"/>
              </w:rPr>
              <w:t>厂区中心地理位置：</w:t>
            </w:r>
            <w:r>
              <w:rPr>
                <w:rFonts w:hint="default" w:ascii="Times New Roman" w:hAnsi="Times New Roman" w:cs="Times New Roman"/>
                <w:color w:val="auto"/>
                <w:sz w:val="24"/>
                <w:szCs w:val="24"/>
                <w:vertAlign w:val="baseline"/>
                <w:lang w:val="en-US" w:eastAsia="zh-CN"/>
              </w:rPr>
              <w:t>东经102°55′</w:t>
            </w:r>
            <w:r>
              <w:rPr>
                <w:rFonts w:hint="eastAsia" w:ascii="Times New Roman" w:hAnsi="Times New Roman" w:cs="Times New Roman"/>
                <w:color w:val="auto"/>
                <w:sz w:val="24"/>
                <w:szCs w:val="24"/>
                <w:vertAlign w:val="baseline"/>
                <w:lang w:val="en-US" w:eastAsia="zh-CN"/>
              </w:rPr>
              <w:t>8.358</w:t>
            </w:r>
            <w:r>
              <w:rPr>
                <w:rFonts w:hint="default" w:ascii="Times New Roman" w:hAnsi="Times New Roman" w:cs="Times New Roman"/>
                <w:color w:val="auto"/>
                <w:sz w:val="24"/>
                <w:szCs w:val="24"/>
                <w:vertAlign w:val="baseline"/>
                <w:lang w:val="en-US" w:eastAsia="zh-CN"/>
              </w:rPr>
              <w:t>″，北纬24°7′</w:t>
            </w:r>
            <w:r>
              <w:rPr>
                <w:rFonts w:hint="eastAsia" w:ascii="Times New Roman" w:hAnsi="Times New Roman" w:cs="Times New Roman"/>
                <w:color w:val="auto"/>
                <w:sz w:val="24"/>
                <w:szCs w:val="24"/>
                <w:vertAlign w:val="baseline"/>
                <w:lang w:val="en-US" w:eastAsia="zh-CN"/>
              </w:rPr>
              <w:t>35.601</w:t>
            </w:r>
            <w:r>
              <w:rPr>
                <w:rFonts w:hint="default" w:ascii="Times New Roman" w:hAnsi="Times New Roman" w:cs="Times New Roman"/>
                <w:color w:val="auto"/>
                <w:sz w:val="24"/>
                <w:szCs w:val="24"/>
                <w:vertAlign w:val="baseline"/>
                <w:lang w:val="en-US" w:eastAsia="zh-CN"/>
              </w:rPr>
              <w:t>″</w:t>
            </w:r>
          </w:p>
        </w:tc>
      </w:tr>
      <w:tr w14:paraId="786D3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41" w:type="pct"/>
            <w:gridSpan w:val="2"/>
            <w:tcMar>
              <w:top w:w="16" w:type="dxa"/>
              <w:left w:w="16" w:type="dxa"/>
              <w:right w:w="16" w:type="dxa"/>
            </w:tcMar>
            <w:vAlign w:val="center"/>
          </w:tcPr>
          <w:p w14:paraId="156BEC4E">
            <w:pPr>
              <w:pStyle w:val="40"/>
              <w:rPr>
                <w:rFonts w:hint="default" w:ascii="Times New Roman" w:hAnsi="Times New Roman" w:cs="Times New Roman"/>
                <w:color w:val="auto"/>
              </w:rPr>
            </w:pPr>
            <w:r>
              <w:rPr>
                <w:rFonts w:hint="default" w:ascii="Times New Roman" w:hAnsi="Times New Roman" w:cs="Times New Roman"/>
                <w:color w:val="auto"/>
              </w:rPr>
              <w:t>国民经济</w:t>
            </w:r>
          </w:p>
          <w:p w14:paraId="492A8729">
            <w:pPr>
              <w:pStyle w:val="40"/>
              <w:rPr>
                <w:rFonts w:hint="default" w:ascii="Times New Roman" w:hAnsi="Times New Roman" w:cs="Times New Roman"/>
                <w:color w:val="auto"/>
              </w:rPr>
            </w:pPr>
            <w:r>
              <w:rPr>
                <w:rFonts w:hint="default" w:ascii="Times New Roman" w:hAnsi="Times New Roman" w:cs="Times New Roman"/>
                <w:color w:val="auto"/>
              </w:rPr>
              <w:t>行业类别</w:t>
            </w:r>
          </w:p>
        </w:tc>
        <w:tc>
          <w:tcPr>
            <w:tcW w:w="1431" w:type="pct"/>
            <w:vAlign w:val="center"/>
          </w:tcPr>
          <w:p w14:paraId="03F03B62">
            <w:pPr>
              <w:pStyle w:val="40"/>
              <w:rPr>
                <w:rFonts w:hint="default" w:ascii="Times New Roman" w:hAnsi="Times New Roman" w:cs="Times New Roman"/>
                <w:color w:val="auto"/>
              </w:rPr>
            </w:pPr>
            <w:r>
              <w:rPr>
                <w:rFonts w:hint="default" w:ascii="Times New Roman" w:hAnsi="Times New Roman" w:cs="Times New Roman"/>
                <w:color w:val="auto"/>
              </w:rPr>
              <w:t>其他建筑材料制造（C</w:t>
            </w:r>
            <w:r>
              <w:rPr>
                <w:rFonts w:hint="default" w:ascii="Times New Roman" w:hAnsi="Times New Roman" w:cs="Times New Roman"/>
                <w:color w:val="auto"/>
                <w:kern w:val="0"/>
              </w:rPr>
              <w:t>3039</w:t>
            </w:r>
            <w:r>
              <w:rPr>
                <w:rFonts w:hint="default" w:ascii="Times New Roman" w:hAnsi="Times New Roman" w:cs="Times New Roman"/>
                <w:color w:val="auto"/>
              </w:rPr>
              <w:t>）</w:t>
            </w:r>
          </w:p>
        </w:tc>
        <w:tc>
          <w:tcPr>
            <w:tcW w:w="944" w:type="pct"/>
            <w:gridSpan w:val="2"/>
            <w:vAlign w:val="center"/>
          </w:tcPr>
          <w:p w14:paraId="6B42CAD4">
            <w:pPr>
              <w:pStyle w:val="40"/>
              <w:rPr>
                <w:rFonts w:hint="default" w:ascii="Times New Roman" w:hAnsi="Times New Roman" w:cs="Times New Roman"/>
                <w:color w:val="auto"/>
              </w:rPr>
            </w:pPr>
            <w:bookmarkStart w:id="4" w:name="_Hlk49843745"/>
            <w:r>
              <w:rPr>
                <w:rFonts w:hint="default" w:ascii="Times New Roman" w:hAnsi="Times New Roman" w:cs="Times New Roman"/>
                <w:color w:val="auto"/>
              </w:rPr>
              <w:t>建设项目行业类别</w:t>
            </w:r>
            <w:bookmarkEnd w:id="4"/>
          </w:p>
        </w:tc>
        <w:tc>
          <w:tcPr>
            <w:tcW w:w="1681" w:type="pct"/>
            <w:gridSpan w:val="2"/>
            <w:vAlign w:val="center"/>
          </w:tcPr>
          <w:p w14:paraId="7EE1584E">
            <w:pPr>
              <w:pStyle w:val="40"/>
              <w:rPr>
                <w:rFonts w:hint="default" w:ascii="Times New Roman" w:hAnsi="Times New Roman" w:cs="Times New Roman"/>
                <w:color w:val="auto"/>
              </w:rPr>
            </w:pPr>
            <w:r>
              <w:rPr>
                <w:rFonts w:hint="default" w:ascii="Times New Roman" w:hAnsi="Times New Roman" w:cs="Times New Roman"/>
                <w:color w:val="auto"/>
                <w:lang w:val="zh-CN" w:bidi="zh-CN"/>
              </w:rPr>
              <w:t>二十七、非金属矿</w:t>
            </w:r>
            <w:r>
              <w:rPr>
                <w:rFonts w:hint="default" w:ascii="Times New Roman" w:hAnsi="Times New Roman" w:cs="Times New Roman"/>
                <w:color w:val="auto"/>
                <w:lang w:val="en-US" w:bidi="zh-CN"/>
              </w:rPr>
              <w:t>物</w:t>
            </w:r>
            <w:r>
              <w:rPr>
                <w:rFonts w:hint="default" w:ascii="Times New Roman" w:hAnsi="Times New Roman" w:cs="Times New Roman"/>
                <w:color w:val="auto"/>
                <w:lang w:val="zh-CN" w:bidi="zh-CN"/>
              </w:rPr>
              <w:t>制品业，</w:t>
            </w:r>
            <w:r>
              <w:rPr>
                <w:rFonts w:hint="default" w:ascii="Times New Roman" w:hAnsi="Times New Roman" w:cs="Times New Roman"/>
                <w:color w:val="auto"/>
                <w:lang w:val="en-US" w:bidi="zh-CN"/>
              </w:rPr>
              <w:t>56砖瓦、石材、等建筑材料制造</w:t>
            </w:r>
          </w:p>
        </w:tc>
      </w:tr>
      <w:tr w14:paraId="6847E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941" w:type="pct"/>
            <w:gridSpan w:val="2"/>
            <w:tcMar>
              <w:top w:w="16" w:type="dxa"/>
              <w:left w:w="16" w:type="dxa"/>
              <w:right w:w="16" w:type="dxa"/>
            </w:tcMar>
            <w:vAlign w:val="center"/>
          </w:tcPr>
          <w:p w14:paraId="306DF29E">
            <w:pPr>
              <w:pStyle w:val="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1431" w:type="pct"/>
            <w:vAlign w:val="center"/>
          </w:tcPr>
          <w:p w14:paraId="306D34B1">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☑新建（迁建）</w:t>
            </w:r>
          </w:p>
          <w:p w14:paraId="5CA5CE93">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14:paraId="3CABE63B">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14:paraId="2F781D60">
            <w:pPr>
              <w:pStyle w:val="4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944" w:type="pct"/>
            <w:gridSpan w:val="2"/>
            <w:vAlign w:val="center"/>
          </w:tcPr>
          <w:p w14:paraId="1C0027C7">
            <w:pPr>
              <w:pStyle w:val="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建设项目申报情形</w:t>
            </w:r>
          </w:p>
        </w:tc>
        <w:tc>
          <w:tcPr>
            <w:tcW w:w="1681" w:type="pct"/>
            <w:gridSpan w:val="2"/>
            <w:vAlign w:val="center"/>
          </w:tcPr>
          <w:p w14:paraId="2859DEE3">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14:paraId="25A49724">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14:paraId="0600F3CD">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超五年重新审核项目     </w:t>
            </w:r>
          </w:p>
          <w:p w14:paraId="00E99426">
            <w:pPr>
              <w:pStyle w:val="4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重大变动重新报批项目</w:t>
            </w:r>
          </w:p>
        </w:tc>
      </w:tr>
      <w:tr w14:paraId="6CE1B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941" w:type="pct"/>
            <w:gridSpan w:val="2"/>
            <w:tcMar>
              <w:top w:w="16" w:type="dxa"/>
              <w:left w:w="16" w:type="dxa"/>
              <w:right w:w="16" w:type="dxa"/>
            </w:tcMar>
            <w:vAlign w:val="center"/>
          </w:tcPr>
          <w:p w14:paraId="2AAE8C18">
            <w:pPr>
              <w:pStyle w:val="40"/>
              <w:rPr>
                <w:rFonts w:hint="default" w:ascii="Times New Roman" w:hAnsi="Times New Roman" w:cs="Times New Roman"/>
                <w:color w:val="auto"/>
              </w:rPr>
            </w:pPr>
            <w:r>
              <w:rPr>
                <w:rFonts w:hint="default" w:ascii="Times New Roman" w:hAnsi="Times New Roman" w:cs="Times New Roman"/>
                <w:color w:val="auto"/>
              </w:rPr>
              <w:t>项目审批（核准/备案）部门</w:t>
            </w:r>
          </w:p>
          <w:p w14:paraId="63320B88">
            <w:pPr>
              <w:pStyle w:val="40"/>
              <w:rPr>
                <w:rFonts w:hint="default" w:ascii="Times New Roman" w:hAnsi="Times New Roman" w:cs="Times New Roman"/>
                <w:color w:val="auto"/>
              </w:rPr>
            </w:pPr>
            <w:r>
              <w:rPr>
                <w:rFonts w:hint="default" w:ascii="Times New Roman" w:hAnsi="Times New Roman" w:cs="Times New Roman"/>
                <w:color w:val="auto"/>
              </w:rPr>
              <w:t>（选填）</w:t>
            </w:r>
          </w:p>
        </w:tc>
        <w:tc>
          <w:tcPr>
            <w:tcW w:w="1431" w:type="pct"/>
            <w:vAlign w:val="center"/>
          </w:tcPr>
          <w:p w14:paraId="23A66A9C">
            <w:pPr>
              <w:pStyle w:val="4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华宁县发展和改革局</w:t>
            </w:r>
          </w:p>
        </w:tc>
        <w:tc>
          <w:tcPr>
            <w:tcW w:w="944" w:type="pct"/>
            <w:gridSpan w:val="2"/>
            <w:vAlign w:val="center"/>
          </w:tcPr>
          <w:p w14:paraId="09264FEF">
            <w:pPr>
              <w:pStyle w:val="40"/>
              <w:rPr>
                <w:rFonts w:hint="default" w:ascii="Times New Roman" w:hAnsi="Times New Roman" w:cs="Times New Roman"/>
                <w:color w:val="auto"/>
              </w:rPr>
            </w:pPr>
            <w:r>
              <w:rPr>
                <w:rFonts w:hint="default" w:ascii="Times New Roman" w:hAnsi="Times New Roman" w:cs="Times New Roman"/>
                <w:color w:val="auto"/>
              </w:rPr>
              <w:t>项目审批（核准/备案）文号（选填）</w:t>
            </w:r>
          </w:p>
        </w:tc>
        <w:tc>
          <w:tcPr>
            <w:tcW w:w="1681" w:type="pct"/>
            <w:gridSpan w:val="2"/>
            <w:vAlign w:val="center"/>
          </w:tcPr>
          <w:p w14:paraId="1D411033">
            <w:pPr>
              <w:pStyle w:val="4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华发改投资</w:t>
            </w:r>
            <w:r>
              <w:rPr>
                <w:rFonts w:hint="default" w:ascii="Times New Roman" w:hAnsi="Times New Roman" w:cs="Times New Roman"/>
                <w:color w:val="auto"/>
                <w:szCs w:val="20"/>
              </w:rPr>
              <w:t>〔202</w:t>
            </w:r>
            <w:r>
              <w:rPr>
                <w:rFonts w:hint="default" w:ascii="Times New Roman" w:hAnsi="Times New Roman" w:cs="Times New Roman"/>
                <w:color w:val="auto"/>
                <w:szCs w:val="20"/>
                <w:lang w:val="en-US" w:eastAsia="zh-CN"/>
              </w:rPr>
              <w:t>5</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80</w:t>
            </w:r>
            <w:r>
              <w:rPr>
                <w:rFonts w:hint="default" w:ascii="Times New Roman" w:hAnsi="Times New Roman" w:cs="Times New Roman"/>
                <w:color w:val="auto"/>
                <w:szCs w:val="20"/>
              </w:rPr>
              <w:t>号</w:t>
            </w:r>
          </w:p>
        </w:tc>
      </w:tr>
      <w:tr w14:paraId="67F8C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41" w:type="pct"/>
            <w:gridSpan w:val="2"/>
            <w:tcMar>
              <w:top w:w="16" w:type="dxa"/>
              <w:left w:w="16" w:type="dxa"/>
              <w:right w:w="16" w:type="dxa"/>
            </w:tcMar>
            <w:vAlign w:val="center"/>
          </w:tcPr>
          <w:p w14:paraId="7730367C">
            <w:pPr>
              <w:pStyle w:val="40"/>
              <w:rPr>
                <w:rFonts w:hint="default" w:ascii="Times New Roman" w:hAnsi="Times New Roman" w:cs="Times New Roman"/>
                <w:color w:val="auto"/>
              </w:rPr>
            </w:pPr>
            <w:r>
              <w:rPr>
                <w:rFonts w:hint="default" w:ascii="Times New Roman" w:hAnsi="Times New Roman" w:cs="Times New Roman"/>
                <w:color w:val="auto"/>
              </w:rPr>
              <w:t>总投资（万元）</w:t>
            </w:r>
          </w:p>
        </w:tc>
        <w:tc>
          <w:tcPr>
            <w:tcW w:w="1431" w:type="pct"/>
            <w:vAlign w:val="center"/>
          </w:tcPr>
          <w:p w14:paraId="339CEDBC">
            <w:pPr>
              <w:pStyle w:val="4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505</w:t>
            </w:r>
          </w:p>
        </w:tc>
        <w:tc>
          <w:tcPr>
            <w:tcW w:w="944" w:type="pct"/>
            <w:gridSpan w:val="2"/>
            <w:tcMar>
              <w:top w:w="16" w:type="dxa"/>
              <w:left w:w="16" w:type="dxa"/>
              <w:right w:w="16" w:type="dxa"/>
            </w:tcMar>
            <w:vAlign w:val="center"/>
          </w:tcPr>
          <w:p w14:paraId="1BEF4CE8">
            <w:pPr>
              <w:pStyle w:val="40"/>
              <w:rPr>
                <w:rFonts w:hint="default" w:ascii="Times New Roman" w:hAnsi="Times New Roman" w:cs="Times New Roman"/>
                <w:color w:val="auto"/>
              </w:rPr>
            </w:pPr>
            <w:r>
              <w:rPr>
                <w:rFonts w:hint="default" w:ascii="Times New Roman" w:hAnsi="Times New Roman" w:cs="Times New Roman"/>
                <w:color w:val="auto"/>
              </w:rPr>
              <w:t>环保投资</w:t>
            </w:r>
          </w:p>
          <w:p w14:paraId="351FEA47">
            <w:pPr>
              <w:pStyle w:val="40"/>
              <w:rPr>
                <w:rFonts w:hint="default" w:ascii="Times New Roman" w:hAnsi="Times New Roman" w:cs="Times New Roman"/>
                <w:color w:val="auto"/>
              </w:rPr>
            </w:pPr>
            <w:r>
              <w:rPr>
                <w:rFonts w:hint="default" w:ascii="Times New Roman" w:hAnsi="Times New Roman" w:cs="Times New Roman"/>
                <w:color w:val="auto"/>
              </w:rPr>
              <w:t>（万元）</w:t>
            </w:r>
          </w:p>
        </w:tc>
        <w:tc>
          <w:tcPr>
            <w:tcW w:w="1681" w:type="pct"/>
            <w:gridSpan w:val="2"/>
            <w:vAlign w:val="center"/>
          </w:tcPr>
          <w:p w14:paraId="04A79CCA">
            <w:pPr>
              <w:pStyle w:val="40"/>
              <w:rPr>
                <w:rFonts w:hint="default" w:ascii="Times New Roman" w:hAnsi="Times New Roman" w:eastAsia="宋体" w:cs="Times New Roman"/>
                <w:color w:val="auto"/>
                <w:lang w:val="en-US" w:eastAsia="zh-CN"/>
              </w:rPr>
            </w:pPr>
            <w:r>
              <w:rPr>
                <w:rFonts w:hint="eastAsia" w:cs="Times New Roman"/>
                <w:color w:val="auto"/>
                <w:lang w:val="en-US" w:eastAsia="zh-CN"/>
              </w:rPr>
              <w:t>16</w:t>
            </w:r>
          </w:p>
        </w:tc>
      </w:tr>
      <w:tr w14:paraId="337C5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41" w:type="pct"/>
            <w:gridSpan w:val="2"/>
            <w:tcMar>
              <w:top w:w="16" w:type="dxa"/>
              <w:left w:w="16" w:type="dxa"/>
              <w:right w:w="16" w:type="dxa"/>
            </w:tcMar>
            <w:vAlign w:val="center"/>
          </w:tcPr>
          <w:p w14:paraId="094E2CC5">
            <w:pPr>
              <w:pStyle w:val="40"/>
              <w:rPr>
                <w:rFonts w:hint="default" w:ascii="Times New Roman" w:hAnsi="Times New Roman" w:cs="Times New Roman"/>
                <w:color w:val="auto"/>
              </w:rPr>
            </w:pPr>
            <w:r>
              <w:rPr>
                <w:rFonts w:hint="default" w:ascii="Times New Roman" w:hAnsi="Times New Roman" w:cs="Times New Roman"/>
                <w:color w:val="auto"/>
              </w:rPr>
              <w:t>环保投资占比（%）</w:t>
            </w:r>
          </w:p>
        </w:tc>
        <w:tc>
          <w:tcPr>
            <w:tcW w:w="1431" w:type="pct"/>
            <w:vAlign w:val="center"/>
          </w:tcPr>
          <w:p w14:paraId="62422A89">
            <w:pPr>
              <w:pStyle w:val="40"/>
              <w:rPr>
                <w:rFonts w:hint="default" w:ascii="Times New Roman" w:hAnsi="Times New Roman" w:eastAsia="宋体" w:cs="Times New Roman"/>
                <w:color w:val="auto"/>
                <w:lang w:val="en-US" w:eastAsia="zh-CN"/>
              </w:rPr>
            </w:pPr>
            <w:r>
              <w:rPr>
                <w:rFonts w:hint="eastAsia" w:cs="Times New Roman"/>
                <w:color w:val="auto"/>
                <w:lang w:val="en-US" w:eastAsia="zh-CN"/>
              </w:rPr>
              <w:t>3.17</w:t>
            </w:r>
          </w:p>
        </w:tc>
        <w:tc>
          <w:tcPr>
            <w:tcW w:w="944" w:type="pct"/>
            <w:gridSpan w:val="2"/>
            <w:tcMar>
              <w:top w:w="16" w:type="dxa"/>
              <w:left w:w="16" w:type="dxa"/>
              <w:right w:w="16" w:type="dxa"/>
            </w:tcMar>
            <w:vAlign w:val="center"/>
          </w:tcPr>
          <w:p w14:paraId="694F60A3">
            <w:pPr>
              <w:pStyle w:val="40"/>
              <w:rPr>
                <w:rFonts w:hint="default" w:ascii="Times New Roman" w:hAnsi="Times New Roman" w:cs="Times New Roman"/>
                <w:color w:val="auto"/>
              </w:rPr>
            </w:pPr>
            <w:r>
              <w:rPr>
                <w:rFonts w:hint="default" w:ascii="Times New Roman" w:hAnsi="Times New Roman" w:cs="Times New Roman"/>
                <w:color w:val="auto"/>
              </w:rPr>
              <w:t>施工工期</w:t>
            </w:r>
          </w:p>
        </w:tc>
        <w:tc>
          <w:tcPr>
            <w:tcW w:w="1681" w:type="pct"/>
            <w:gridSpan w:val="2"/>
            <w:vAlign w:val="center"/>
          </w:tcPr>
          <w:p w14:paraId="5AC023C4">
            <w:pPr>
              <w:pStyle w:val="40"/>
              <w:rPr>
                <w:rFonts w:hint="default" w:ascii="Times New Roman" w:hAnsi="Times New Roman" w:eastAsia="宋体" w:cs="Times New Roman"/>
                <w:color w:val="auto"/>
                <w:lang w:val="en-US" w:eastAsia="zh-CN"/>
              </w:rPr>
            </w:pPr>
            <w:r>
              <w:rPr>
                <w:rFonts w:hint="eastAsia" w:cs="Times New Roman"/>
                <w:color w:val="auto"/>
                <w:lang w:val="en-US" w:eastAsia="zh-CN"/>
              </w:rPr>
              <w:t>3</w:t>
            </w:r>
            <w:r>
              <w:rPr>
                <w:rFonts w:hint="default" w:ascii="Times New Roman" w:hAnsi="Times New Roman" w:cs="Times New Roman"/>
                <w:color w:val="auto"/>
                <w:lang w:val="en-US" w:eastAsia="zh-CN"/>
              </w:rPr>
              <w:t>个月</w:t>
            </w:r>
          </w:p>
        </w:tc>
      </w:tr>
      <w:tr w14:paraId="7F5A9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41" w:type="pct"/>
            <w:gridSpan w:val="2"/>
            <w:tcMar>
              <w:top w:w="16" w:type="dxa"/>
              <w:left w:w="16" w:type="dxa"/>
              <w:right w:w="16" w:type="dxa"/>
            </w:tcMar>
            <w:vAlign w:val="center"/>
          </w:tcPr>
          <w:p w14:paraId="139E0C7E">
            <w:pPr>
              <w:pStyle w:val="40"/>
              <w:rPr>
                <w:rFonts w:hint="default" w:ascii="Times New Roman" w:hAnsi="Times New Roman" w:cs="Times New Roman"/>
                <w:color w:val="auto"/>
              </w:rPr>
            </w:pPr>
            <w:r>
              <w:rPr>
                <w:rFonts w:hint="default" w:ascii="Times New Roman" w:hAnsi="Times New Roman" w:cs="Times New Roman"/>
                <w:color w:val="auto"/>
              </w:rPr>
              <w:t>是否开工建设</w:t>
            </w:r>
          </w:p>
        </w:tc>
        <w:tc>
          <w:tcPr>
            <w:tcW w:w="1431" w:type="pct"/>
            <w:vAlign w:val="center"/>
          </w:tcPr>
          <w:p w14:paraId="499207D7">
            <w:pPr>
              <w:pStyle w:val="40"/>
              <w:rPr>
                <w:rFonts w:hint="default" w:ascii="Times New Roman" w:hAnsi="Times New Roman" w:cs="Times New Roman"/>
                <w:color w:val="auto"/>
              </w:rPr>
            </w:pPr>
            <w:r>
              <w:rPr>
                <w:rFonts w:hint="default" w:ascii="Times New Roman" w:hAnsi="Times New Roman" w:cs="Times New Roman"/>
                <w:color w:val="auto"/>
              </w:rPr>
              <w:t>否</w:t>
            </w:r>
          </w:p>
        </w:tc>
        <w:tc>
          <w:tcPr>
            <w:tcW w:w="944" w:type="pct"/>
            <w:gridSpan w:val="2"/>
            <w:tcMar>
              <w:top w:w="16" w:type="dxa"/>
              <w:left w:w="16" w:type="dxa"/>
              <w:right w:w="16" w:type="dxa"/>
            </w:tcMar>
            <w:vAlign w:val="center"/>
          </w:tcPr>
          <w:p w14:paraId="5E546BBA">
            <w:pPr>
              <w:pStyle w:val="40"/>
              <w:rPr>
                <w:rFonts w:hint="default" w:ascii="Times New Roman" w:hAnsi="Times New Roman" w:cs="Times New Roman"/>
                <w:color w:val="auto"/>
              </w:rPr>
            </w:pPr>
            <w:r>
              <w:rPr>
                <w:rFonts w:hint="default" w:ascii="Times New Roman" w:hAnsi="Times New Roman" w:cs="Times New Roman"/>
                <w:color w:val="auto"/>
              </w:rPr>
              <w:t>用地（用海）</w:t>
            </w:r>
          </w:p>
          <w:p w14:paraId="709DB70A">
            <w:pPr>
              <w:pStyle w:val="40"/>
              <w:rPr>
                <w:rFonts w:hint="default" w:ascii="Times New Roman" w:hAnsi="Times New Roman" w:cs="Times New Roman"/>
                <w:color w:val="auto"/>
              </w:rPr>
            </w:pPr>
            <w:r>
              <w:rPr>
                <w:rFonts w:hint="default" w:ascii="Times New Roman" w:hAnsi="Times New Roman" w:cs="Times New Roman"/>
                <w:color w:val="auto"/>
              </w:rPr>
              <w:t>面积（m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1681" w:type="pct"/>
            <w:gridSpan w:val="2"/>
            <w:vAlign w:val="center"/>
          </w:tcPr>
          <w:p w14:paraId="2926B1E3">
            <w:pPr>
              <w:pStyle w:val="40"/>
              <w:rPr>
                <w:rFonts w:hint="default" w:ascii="Times New Roman" w:hAnsi="Times New Roman" w:eastAsia="宋体" w:cs="Times New Roman"/>
                <w:color w:val="auto"/>
                <w:lang w:val="en-US" w:eastAsia="zh-CN"/>
              </w:rPr>
            </w:pPr>
            <w:r>
              <w:rPr>
                <w:rFonts w:hint="eastAsia" w:cs="Times New Roman"/>
                <w:color w:val="auto"/>
                <w:lang w:val="en-US" w:eastAsia="zh-CN"/>
              </w:rPr>
              <w:t>33333.5</w:t>
            </w:r>
          </w:p>
        </w:tc>
      </w:tr>
      <w:tr w14:paraId="18DFB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1" w:type="pct"/>
            <w:gridSpan w:val="2"/>
            <w:vAlign w:val="center"/>
          </w:tcPr>
          <w:p w14:paraId="4742C164">
            <w:pPr>
              <w:pStyle w:val="40"/>
              <w:rPr>
                <w:rFonts w:hint="default" w:ascii="Times New Roman" w:hAnsi="Times New Roman" w:cs="Times New Roman"/>
                <w:color w:val="auto"/>
              </w:rPr>
            </w:pPr>
            <w:r>
              <w:rPr>
                <w:rFonts w:hint="default" w:ascii="Times New Roman" w:hAnsi="Times New Roman" w:cs="Times New Roman"/>
                <w:color w:val="auto"/>
              </w:rPr>
              <w:t>专项评价设置情况</w:t>
            </w:r>
          </w:p>
        </w:tc>
        <w:tc>
          <w:tcPr>
            <w:tcW w:w="4058" w:type="pct"/>
            <w:gridSpan w:val="5"/>
            <w:vAlign w:val="center"/>
          </w:tcPr>
          <w:p w14:paraId="358AC8A2">
            <w:pPr>
              <w:ind w:firstLine="480"/>
              <w:rPr>
                <w:rFonts w:hint="default" w:ascii="Times New Roman" w:hAnsi="Times New Roman" w:cs="Times New Roman"/>
                <w:color w:val="auto"/>
              </w:rPr>
            </w:pPr>
            <w:r>
              <w:rPr>
                <w:rFonts w:hint="default" w:ascii="Times New Roman" w:hAnsi="Times New Roman" w:cs="Times New Roman"/>
                <w:color w:val="auto"/>
              </w:rPr>
              <w:t>对照《建设项目环境影响报告表编制技术指南（污染影响类）（试行）》中“表1专项评价设置原则表”分析，本项目不开展专项评价。分析如下：</w:t>
            </w:r>
          </w:p>
          <w:p w14:paraId="666B1E79">
            <w:pPr>
              <w:pStyle w:val="35"/>
              <w:rPr>
                <w:rFonts w:hint="default" w:ascii="Times New Roman" w:hAnsi="Times New Roman" w:cs="Times New Roman"/>
                <w:color w:val="auto"/>
              </w:rPr>
            </w:pPr>
            <w:r>
              <w:rPr>
                <w:rFonts w:hint="default" w:ascii="Times New Roman" w:hAnsi="Times New Roman" w:cs="Times New Roman"/>
                <w:color w:val="auto"/>
              </w:rPr>
              <w:t>表1</w:t>
            </w:r>
            <w:r>
              <w:rPr>
                <w:rFonts w:hint="default" w:ascii="Times New Roman" w:hAnsi="Times New Roman" w:cs="Times New Roman"/>
                <w:color w:val="auto"/>
                <w:lang w:val="en-US" w:eastAsia="zh-CN"/>
              </w:rPr>
              <w:t>-1</w:t>
            </w:r>
            <w:r>
              <w:rPr>
                <w:rFonts w:hint="default" w:ascii="Times New Roman" w:hAnsi="Times New Roman" w:cs="Times New Roman"/>
                <w:color w:val="auto"/>
              </w:rPr>
              <w:t>项目专题设置情况表</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2690"/>
              <w:gridCol w:w="2338"/>
              <w:gridCol w:w="1015"/>
            </w:tblGrid>
            <w:tr w14:paraId="098E9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66" w:type="pct"/>
                  <w:vAlign w:val="center"/>
                </w:tcPr>
                <w:p w14:paraId="69027DCB">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专项评价的类别</w:t>
                  </w:r>
                </w:p>
              </w:tc>
              <w:tc>
                <w:tcPr>
                  <w:tcW w:w="1929" w:type="pct"/>
                  <w:vAlign w:val="center"/>
                </w:tcPr>
                <w:p w14:paraId="53F539E4">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设置原则</w:t>
                  </w:r>
                </w:p>
              </w:tc>
              <w:tc>
                <w:tcPr>
                  <w:tcW w:w="1677" w:type="pct"/>
                  <w:vAlign w:val="center"/>
                </w:tcPr>
                <w:p w14:paraId="332A73B9">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726" w:type="pct"/>
                  <w:vAlign w:val="center"/>
                </w:tcPr>
                <w:p w14:paraId="78C2D25F">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项目专题设置情况</w:t>
                  </w:r>
                </w:p>
              </w:tc>
            </w:tr>
            <w:tr w14:paraId="76E51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6" w:type="pct"/>
                  <w:vAlign w:val="center"/>
                </w:tcPr>
                <w:p w14:paraId="5845694B">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929" w:type="pct"/>
                  <w:vAlign w:val="center"/>
                </w:tcPr>
                <w:p w14:paraId="5F29F81E">
                  <w:pPr>
                    <w:pStyle w:val="42"/>
                    <w:keepNext w:val="0"/>
                    <w:keepLines w:val="0"/>
                    <w:pageBreakBefore w:val="0"/>
                    <w:widowControl w:val="0"/>
                    <w:kinsoku/>
                    <w:wordWrap/>
                    <w:overflowPunct/>
                    <w:topLinePunct w:val="0"/>
                    <w:bidi w:val="0"/>
                    <w:adjustRightInd/>
                    <w:snapToGrid/>
                    <w:spacing w:line="240" w:lineRule="auto"/>
                    <w:ind w:firstLine="420" w:firstLineChars="200"/>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排放废气含有毒有害污染物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、二噁英、苯并</w:t>
                  </w:r>
                  <w:r>
                    <w:rPr>
                      <w:rFonts w:hint="default" w:ascii="Times New Roman" w:hAnsi="Times New Roman" w:eastAsia="宋体" w:cs="Times New Roman"/>
                      <w:color w:val="auto"/>
                      <w:kern w:val="21"/>
                      <w:sz w:val="21"/>
                      <w:szCs w:val="21"/>
                      <w:highlight w:val="none"/>
                    </w:rPr>
                    <w:t>[a]</w:t>
                  </w:r>
                  <w:r>
                    <w:rPr>
                      <w:rFonts w:hint="default" w:ascii="Times New Roman" w:hAnsi="Times New Roman" w:eastAsia="宋体" w:cs="Times New Roman"/>
                      <w:color w:val="auto"/>
                      <w:sz w:val="21"/>
                      <w:szCs w:val="21"/>
                    </w:rPr>
                    <w:t>芘、氰化物、氯气且厂界外500米范围内有环境空气保护目标</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的建设项目</w:t>
                  </w:r>
                  <w:r>
                    <w:rPr>
                      <w:rFonts w:hint="eastAsia" w:cs="Times New Roman"/>
                      <w:color w:val="auto"/>
                      <w:sz w:val="21"/>
                      <w:szCs w:val="21"/>
                      <w:lang w:eastAsia="zh-CN"/>
                    </w:rPr>
                    <w:t>。</w:t>
                  </w:r>
                </w:p>
              </w:tc>
              <w:tc>
                <w:tcPr>
                  <w:tcW w:w="1677" w:type="pct"/>
                  <w:vAlign w:val="center"/>
                </w:tcPr>
                <w:p w14:paraId="0F78A3EC">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rPr>
                    <w:t>本项目排放</w:t>
                  </w:r>
                  <w:r>
                    <w:rPr>
                      <w:rFonts w:hint="default" w:ascii="Times New Roman" w:hAnsi="Times New Roman" w:eastAsia="宋体" w:cs="Times New Roman"/>
                      <w:color w:val="auto"/>
                      <w:kern w:val="0"/>
                      <w:sz w:val="21"/>
                      <w:szCs w:val="21"/>
                      <w:highlight w:val="none"/>
                      <w:lang w:eastAsia="zh-CN"/>
                    </w:rPr>
                    <w:t>的</w:t>
                  </w:r>
                  <w:r>
                    <w:rPr>
                      <w:rFonts w:hint="default" w:ascii="Times New Roman" w:hAnsi="Times New Roman" w:eastAsia="宋体" w:cs="Times New Roman"/>
                      <w:color w:val="auto"/>
                      <w:kern w:val="0"/>
                      <w:sz w:val="21"/>
                      <w:szCs w:val="21"/>
                      <w:highlight w:val="none"/>
                    </w:rPr>
                    <w:t>废气主要为</w:t>
                  </w:r>
                  <w:r>
                    <w:rPr>
                      <w:rFonts w:hint="default" w:ascii="Times New Roman" w:hAnsi="Times New Roman" w:eastAsia="宋体" w:cs="Times New Roman"/>
                      <w:color w:val="auto"/>
                      <w:kern w:val="0"/>
                      <w:sz w:val="21"/>
                      <w:szCs w:val="21"/>
                      <w:highlight w:val="none"/>
                      <w:lang w:eastAsia="zh-CN"/>
                    </w:rPr>
                    <w:t>颗粒物</w:t>
                  </w:r>
                  <w:r>
                    <w:rPr>
                      <w:rFonts w:hint="default" w:ascii="Times New Roman" w:hAnsi="Times New Roman" w:eastAsia="宋体" w:cs="Times New Roman"/>
                      <w:color w:val="auto"/>
                      <w:kern w:val="21"/>
                      <w:sz w:val="21"/>
                      <w:szCs w:val="21"/>
                      <w:highlight w:val="none"/>
                    </w:rPr>
                    <w:t>，不涉及排放《有毒有害大气污染物名录》中确定的有毒有害污染物及二噁英、苯并[a]芘、氰化物、氯气等污染物</w:t>
                  </w:r>
                  <w:r>
                    <w:rPr>
                      <w:rFonts w:hint="default" w:ascii="Times New Roman" w:hAnsi="Times New Roman" w:eastAsia="宋体" w:cs="Times New Roman"/>
                      <w:color w:val="auto"/>
                      <w:kern w:val="21"/>
                      <w:sz w:val="21"/>
                      <w:szCs w:val="21"/>
                      <w:highlight w:val="none"/>
                      <w:lang w:eastAsia="zh-CN"/>
                    </w:rPr>
                    <w:t>。</w:t>
                  </w:r>
                </w:p>
              </w:tc>
              <w:tc>
                <w:tcPr>
                  <w:tcW w:w="726" w:type="pct"/>
                  <w:vAlign w:val="center"/>
                </w:tcPr>
                <w:p w14:paraId="488EB1AC">
                  <w:pPr>
                    <w:pStyle w:val="4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4AF98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6" w:type="pct"/>
                  <w:vAlign w:val="center"/>
                </w:tcPr>
                <w:p w14:paraId="2770C0C0">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929" w:type="pct"/>
                  <w:vAlign w:val="center"/>
                </w:tcPr>
                <w:p w14:paraId="406F51E4">
                  <w:pPr>
                    <w:pStyle w:val="42"/>
                    <w:keepNext w:val="0"/>
                    <w:keepLines w:val="0"/>
                    <w:pageBreakBefore w:val="0"/>
                    <w:widowControl w:val="0"/>
                    <w:kinsoku/>
                    <w:wordWrap/>
                    <w:overflowPunct/>
                    <w:topLinePunct w:val="0"/>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新增工业废水直排建设项目（槽罐车外送污水处理厂的除外）；新增废水直排的污水集中处理厂</w:t>
                  </w:r>
                </w:p>
              </w:tc>
              <w:tc>
                <w:tcPr>
                  <w:tcW w:w="1677" w:type="pct"/>
                  <w:vAlign w:val="center"/>
                </w:tcPr>
                <w:p w14:paraId="634986AA">
                  <w:pPr>
                    <w:pStyle w:val="42"/>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无废水排放；</w:t>
                  </w:r>
                  <w:r>
                    <w:rPr>
                      <w:rFonts w:hint="eastAsia" w:cs="Times New Roman"/>
                      <w:color w:val="auto"/>
                      <w:sz w:val="21"/>
                      <w:szCs w:val="21"/>
                      <w:lang w:val="en-US" w:eastAsia="zh-CN"/>
                    </w:rPr>
                    <w:t>生活</w:t>
                  </w:r>
                  <w:r>
                    <w:rPr>
                      <w:rFonts w:hint="default" w:ascii="Times New Roman" w:hAnsi="Times New Roman" w:eastAsia="宋体" w:cs="Times New Roman"/>
                      <w:color w:val="auto"/>
                      <w:sz w:val="21"/>
                      <w:szCs w:val="21"/>
                    </w:rPr>
                    <w:t>污水</w:t>
                  </w:r>
                  <w:r>
                    <w:rPr>
                      <w:rFonts w:hint="eastAsia" w:cs="Times New Roman"/>
                      <w:color w:val="auto"/>
                      <w:sz w:val="21"/>
                      <w:szCs w:val="21"/>
                      <w:lang w:val="en-US" w:eastAsia="zh-CN"/>
                    </w:rPr>
                    <w:t>进入化粪池预处理达标后，使用吸粪车定期清运至华宁县污水处理厂处理，不外排；洗砂用水经沉淀池沉淀后回用于生产不外排</w:t>
                  </w:r>
                  <w:r>
                    <w:rPr>
                      <w:rFonts w:hint="default" w:ascii="Times New Roman" w:hAnsi="Times New Roman" w:eastAsia="宋体" w:cs="Times New Roman"/>
                      <w:color w:val="auto"/>
                      <w:sz w:val="21"/>
                      <w:szCs w:val="21"/>
                    </w:rPr>
                    <w:t>。</w:t>
                  </w:r>
                </w:p>
              </w:tc>
              <w:tc>
                <w:tcPr>
                  <w:tcW w:w="726" w:type="pct"/>
                  <w:vAlign w:val="center"/>
                </w:tcPr>
                <w:p w14:paraId="6738EFCB">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8E2F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66" w:type="pct"/>
                  <w:vAlign w:val="center"/>
                </w:tcPr>
                <w:p w14:paraId="2B17787B">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1929" w:type="pct"/>
                  <w:vAlign w:val="center"/>
                </w:tcPr>
                <w:p w14:paraId="7B0F51AE">
                  <w:pPr>
                    <w:pStyle w:val="42"/>
                    <w:keepNext w:val="0"/>
                    <w:keepLines w:val="0"/>
                    <w:pageBreakBefore w:val="0"/>
                    <w:widowControl w:val="0"/>
                    <w:kinsoku/>
                    <w:wordWrap/>
                    <w:overflowPunct/>
                    <w:topLinePunct w:val="0"/>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的建设项目</w:t>
                  </w:r>
                </w:p>
              </w:tc>
              <w:tc>
                <w:tcPr>
                  <w:tcW w:w="1677" w:type="pct"/>
                  <w:vAlign w:val="center"/>
                </w:tcPr>
                <w:p w14:paraId="09DA9294">
                  <w:pPr>
                    <w:pStyle w:val="42"/>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项目涉及的易燃易爆物质主要为润滑油、废润滑油，根据风险评价判定可知，项目贮存量未超过临界值，Q&lt;1。</w:t>
                  </w:r>
                </w:p>
              </w:tc>
              <w:tc>
                <w:tcPr>
                  <w:tcW w:w="726" w:type="pct"/>
                  <w:vAlign w:val="center"/>
                </w:tcPr>
                <w:p w14:paraId="3B638DBA">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61CDE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66" w:type="pct"/>
                  <w:vAlign w:val="center"/>
                </w:tcPr>
                <w:p w14:paraId="084CA119">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1929" w:type="pct"/>
                  <w:vAlign w:val="center"/>
                </w:tcPr>
                <w:p w14:paraId="72996C94">
                  <w:pPr>
                    <w:pStyle w:val="42"/>
                    <w:keepNext w:val="0"/>
                    <w:keepLines w:val="0"/>
                    <w:pageBreakBefore w:val="0"/>
                    <w:widowControl w:val="0"/>
                    <w:kinsoku/>
                    <w:wordWrap/>
                    <w:overflowPunct/>
                    <w:topLinePunct w:val="0"/>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取水口下游500米范围内有重要水生生物的自然产卵场、索饵场、越</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场和洄游通道的新增河道取水的污染类建设项目</w:t>
                  </w:r>
                </w:p>
              </w:tc>
              <w:tc>
                <w:tcPr>
                  <w:tcW w:w="1677" w:type="pct"/>
                  <w:vAlign w:val="center"/>
                </w:tcPr>
                <w:p w14:paraId="1061C327">
                  <w:pPr>
                    <w:pStyle w:val="42"/>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rPr>
                    <w:t>重要水生生物的自然产卵场、索饵场、越</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场和洄游通道。</w:t>
                  </w:r>
                </w:p>
              </w:tc>
              <w:tc>
                <w:tcPr>
                  <w:tcW w:w="726" w:type="pct"/>
                  <w:vAlign w:val="center"/>
                </w:tcPr>
                <w:p w14:paraId="0844A6D5">
                  <w:pPr>
                    <w:pStyle w:val="4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4A8E8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4"/>
                  <w:vAlign w:val="center"/>
                </w:tcPr>
                <w:p w14:paraId="5EE0B3D4">
                  <w:p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注：①废气中有毒有害污染物指纳入《有毒有害大气污染物名录》的污染物（不包括无排放标准的污染物）。</w:t>
                  </w:r>
                </w:p>
                <w:p w14:paraId="56461171">
                  <w:p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②环境空气保护目标指自然保护区、风景名胜区、居住区、文化区和农村地区中人群较集中的区域。</w:t>
                  </w:r>
                </w:p>
                <w:p w14:paraId="45E7FAF8">
                  <w:pPr>
                    <w:pStyle w:val="42"/>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③临界量及其计算方法参考《建设项目环境风险评价技术导则》（HJ 169）附录B、附录C。</w:t>
                  </w:r>
                </w:p>
              </w:tc>
            </w:tr>
          </w:tbl>
          <w:p w14:paraId="684377EC">
            <w:pPr>
              <w:autoSpaceDE w:val="0"/>
              <w:autoSpaceDN w:val="0"/>
              <w:adjustRightInd w:val="0"/>
              <w:snapToGrid w:val="0"/>
              <w:ind w:firstLine="480"/>
              <w:jc w:val="both"/>
              <w:rPr>
                <w:rFonts w:hint="default" w:ascii="Times New Roman" w:hAnsi="Times New Roman" w:cs="Times New Roman"/>
                <w:color w:val="auto"/>
                <w:kern w:val="0"/>
                <w:szCs w:val="21"/>
              </w:rPr>
            </w:pPr>
          </w:p>
        </w:tc>
      </w:tr>
      <w:tr w14:paraId="41734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41" w:type="pct"/>
            <w:gridSpan w:val="2"/>
            <w:vAlign w:val="center"/>
          </w:tcPr>
          <w:p w14:paraId="2F3816E5">
            <w:pPr>
              <w:pStyle w:val="40"/>
              <w:rPr>
                <w:rFonts w:hint="default" w:ascii="Times New Roman" w:hAnsi="Times New Roman" w:cs="Times New Roman"/>
                <w:color w:val="auto"/>
                <w:kern w:val="0"/>
              </w:rPr>
            </w:pPr>
            <w:r>
              <w:rPr>
                <w:rFonts w:hint="default" w:ascii="Times New Roman" w:hAnsi="Times New Roman" w:cs="Times New Roman"/>
                <w:color w:val="auto"/>
              </w:rPr>
              <w:t>规划情况</w:t>
            </w:r>
          </w:p>
        </w:tc>
        <w:tc>
          <w:tcPr>
            <w:tcW w:w="4058" w:type="pct"/>
            <w:gridSpan w:val="5"/>
            <w:vAlign w:val="center"/>
          </w:tcPr>
          <w:p w14:paraId="766100F1">
            <w:pPr>
              <w:autoSpaceDE w:val="0"/>
              <w:autoSpaceDN w:val="0"/>
              <w:adjustRightInd w:val="0"/>
              <w:snapToGrid w:val="0"/>
              <w:ind w:firstLine="48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10641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1" w:type="pct"/>
            <w:gridSpan w:val="2"/>
            <w:vAlign w:val="center"/>
          </w:tcPr>
          <w:p w14:paraId="17BBD79E">
            <w:pPr>
              <w:pStyle w:val="40"/>
              <w:rPr>
                <w:rFonts w:hint="default" w:ascii="Times New Roman" w:hAnsi="Times New Roman" w:cs="Times New Roman"/>
                <w:color w:val="auto"/>
              </w:rPr>
            </w:pPr>
            <w:r>
              <w:rPr>
                <w:rFonts w:hint="default" w:ascii="Times New Roman" w:hAnsi="Times New Roman" w:cs="Times New Roman"/>
                <w:color w:val="auto"/>
              </w:rPr>
              <w:t>规划环境影响</w:t>
            </w:r>
          </w:p>
          <w:p w14:paraId="7BA25264">
            <w:pPr>
              <w:pStyle w:val="40"/>
              <w:rPr>
                <w:rFonts w:hint="default" w:ascii="Times New Roman" w:hAnsi="Times New Roman" w:cs="Times New Roman"/>
                <w:color w:val="auto"/>
                <w:kern w:val="0"/>
              </w:rPr>
            </w:pPr>
            <w:r>
              <w:rPr>
                <w:rFonts w:hint="default" w:ascii="Times New Roman" w:hAnsi="Times New Roman" w:cs="Times New Roman"/>
                <w:color w:val="auto"/>
              </w:rPr>
              <w:t>评价情况</w:t>
            </w:r>
          </w:p>
        </w:tc>
        <w:tc>
          <w:tcPr>
            <w:tcW w:w="4058" w:type="pct"/>
            <w:gridSpan w:val="5"/>
            <w:vAlign w:val="center"/>
          </w:tcPr>
          <w:p w14:paraId="188C848D">
            <w:pPr>
              <w:autoSpaceDE w:val="0"/>
              <w:autoSpaceDN w:val="0"/>
              <w:adjustRightInd w:val="0"/>
              <w:snapToGrid w:val="0"/>
              <w:ind w:firstLine="48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34727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41" w:type="pct"/>
            <w:gridSpan w:val="2"/>
            <w:vAlign w:val="center"/>
          </w:tcPr>
          <w:p w14:paraId="4FB591EE">
            <w:pPr>
              <w:pStyle w:val="40"/>
              <w:rPr>
                <w:rFonts w:hint="default" w:ascii="Times New Roman" w:hAnsi="Times New Roman" w:cs="Times New Roman"/>
                <w:color w:val="auto"/>
              </w:rPr>
            </w:pPr>
            <w:r>
              <w:rPr>
                <w:rFonts w:hint="default" w:ascii="Times New Roman" w:hAnsi="Times New Roman" w:cs="Times New Roman"/>
                <w:color w:val="auto"/>
              </w:rPr>
              <w:t>规划及规划环境影响评价符合性分析</w:t>
            </w:r>
          </w:p>
        </w:tc>
        <w:tc>
          <w:tcPr>
            <w:tcW w:w="4058" w:type="pct"/>
            <w:gridSpan w:val="5"/>
            <w:vAlign w:val="center"/>
          </w:tcPr>
          <w:p w14:paraId="2681ABBC">
            <w:pPr>
              <w:autoSpaceDE w:val="0"/>
              <w:autoSpaceDN w:val="0"/>
              <w:adjustRightInd w:val="0"/>
              <w:snapToGrid w:val="0"/>
              <w:ind w:firstLine="48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5586A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64" w:type="pct"/>
            <w:vAlign w:val="center"/>
          </w:tcPr>
          <w:p w14:paraId="48D7526E">
            <w:pPr>
              <w:pStyle w:val="40"/>
              <w:rPr>
                <w:rFonts w:hint="default" w:ascii="Times New Roman" w:hAnsi="Times New Roman" w:cs="Times New Roman"/>
                <w:color w:val="auto"/>
              </w:rPr>
            </w:pPr>
            <w:r>
              <w:rPr>
                <w:rFonts w:hint="default" w:ascii="Times New Roman" w:hAnsi="Times New Roman" w:cs="Times New Roman"/>
                <w:color w:val="auto"/>
              </w:rPr>
              <w:t>其他符合性分析</w:t>
            </w:r>
          </w:p>
        </w:tc>
        <w:tc>
          <w:tcPr>
            <w:tcW w:w="4735" w:type="pct"/>
            <w:gridSpan w:val="6"/>
            <w:vAlign w:val="center"/>
          </w:tcPr>
          <w:p w14:paraId="38C48746">
            <w:pPr>
              <w:numPr>
                <w:ilvl w:val="0"/>
                <w:numId w:val="0"/>
              </w:numPr>
              <w:ind w:left="0" w:leftChars="0" w:firstLine="0" w:firstLineChars="0"/>
              <w:jc w:val="both"/>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lang w:val="en-US" w:eastAsia="zh-CN"/>
              </w:rPr>
              <w:t>产业政策符合性分析</w:t>
            </w:r>
          </w:p>
          <w:p w14:paraId="3C003F70">
            <w:pPr>
              <w:pStyle w:val="6"/>
              <w:rPr>
                <w:rFonts w:hint="default" w:ascii="Times New Roman" w:hAnsi="Times New Roman" w:cs="Times New Roman"/>
                <w:color w:val="auto"/>
              </w:rPr>
            </w:pPr>
            <w:r>
              <w:rPr>
                <w:rFonts w:hint="default" w:ascii="Times New Roman" w:hAnsi="Times New Roman" w:cs="Times New Roman"/>
                <w:b w:val="0"/>
                <w:bCs w:val="0"/>
                <w:color w:val="auto"/>
                <w:lang w:val="en-US" w:eastAsia="zh-CN"/>
              </w:rPr>
              <w:t>本项目通过运输车辆</w:t>
            </w:r>
            <w:r>
              <w:rPr>
                <w:rFonts w:hint="eastAsia" w:cs="Times New Roman"/>
                <w:b w:val="0"/>
                <w:bCs w:val="0"/>
                <w:color w:val="auto"/>
                <w:lang w:val="en-US" w:eastAsia="zh-CN"/>
              </w:rPr>
              <w:t>将</w:t>
            </w:r>
            <w:r>
              <w:rPr>
                <w:rFonts w:hint="default" w:ascii="Times New Roman" w:hAnsi="Times New Roman" w:cs="Times New Roman"/>
                <w:b w:val="0"/>
                <w:bCs w:val="0"/>
                <w:color w:val="auto"/>
                <w:lang w:val="en-US" w:eastAsia="zh-CN"/>
              </w:rPr>
              <w:t>玉昆珠峰采石场产生的尾料运至项目加工场地，通过水洗、脱水、筛分，产出不同大小的骨料进行外售，不涉及破碎工艺，</w:t>
            </w:r>
            <w:r>
              <w:rPr>
                <w:rFonts w:hint="default" w:ascii="Times New Roman" w:hAnsi="Times New Roman" w:cs="Times New Roman"/>
                <w:color w:val="auto"/>
              </w:rPr>
              <w:t>不属于国家发展和改革委员会第</w:t>
            </w:r>
            <w:r>
              <w:rPr>
                <w:rFonts w:hint="default" w:ascii="Times New Roman" w:hAnsi="Times New Roman" w:cs="Times New Roman"/>
                <w:color w:val="auto"/>
                <w:lang w:val="en-US" w:eastAsia="zh-CN"/>
              </w:rPr>
              <w:t>7</w:t>
            </w:r>
            <w:r>
              <w:rPr>
                <w:rFonts w:hint="default" w:ascii="Times New Roman" w:hAnsi="Times New Roman" w:cs="Times New Roman"/>
                <w:color w:val="auto"/>
              </w:rPr>
              <w:t>号令《产业结构调整指导目录（2024年本）》中鼓励类、限制类、淘汰类项目，项目建设符合国家有关法律、法规和政策规定，属于允许类项目。根据《市场准入负面清单（2022 年版）》，本项目不属于市场准入负面清单的禁止类；对照《环境保护综合名录（2021 年版）》、中华人民共和国工业和信息化部公告2021年第25号公告《限期淘汰产生严重污染环境的工业固体废物的落后生产工艺设备名录》，本项目不属于“高污染、高环境风险”产品名录，项目使用的生产工艺及设备不属于国家淘汰和限制的类型。</w:t>
            </w:r>
          </w:p>
          <w:p w14:paraId="074DCAE1">
            <w:pPr>
              <w:numPr>
                <w:ilvl w:val="0"/>
                <w:numId w:val="0"/>
              </w:numPr>
              <w:ind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color w:val="auto"/>
                <w:lang w:val="en-US" w:eastAsia="zh-CN"/>
              </w:rPr>
              <w:t>项目</w:t>
            </w:r>
            <w:r>
              <w:rPr>
                <w:rFonts w:hint="eastAsia" w:cs="Times New Roman"/>
                <w:color w:val="auto"/>
                <w:lang w:val="en-US" w:eastAsia="zh-CN"/>
              </w:rPr>
              <w:t>于2025年3月3日</w:t>
            </w:r>
            <w:r>
              <w:rPr>
                <w:rFonts w:hint="default" w:ascii="Times New Roman" w:hAnsi="Times New Roman" w:cs="Times New Roman"/>
                <w:color w:val="auto"/>
                <w:lang w:val="en-US" w:eastAsia="zh-CN"/>
              </w:rPr>
              <w:t>取得华宁县发展和改革局签发的《云南省固定资产投</w:t>
            </w:r>
            <w:r>
              <w:rPr>
                <w:rFonts w:hint="default" w:ascii="Times New Roman" w:hAnsi="Times New Roman" w:cs="Times New Roman"/>
                <w:color w:val="auto"/>
                <w:sz w:val="24"/>
                <w:szCs w:val="24"/>
                <w:lang w:val="en-US" w:eastAsia="zh-CN"/>
              </w:rPr>
              <w:t>资</w:t>
            </w:r>
            <w:r>
              <w:rPr>
                <w:rFonts w:hint="default" w:ascii="Times New Roman" w:hAnsi="Times New Roman" w:cs="Times New Roman"/>
                <w:color w:val="auto"/>
                <w:lang w:val="en-US" w:eastAsia="zh-CN"/>
              </w:rPr>
              <w:t>项目备案证》，备案项目代码：</w:t>
            </w:r>
            <w:r>
              <w:rPr>
                <w:rFonts w:hint="default" w:ascii="Times New Roman" w:hAnsi="Times New Roman" w:cs="Times New Roman"/>
                <w:b w:val="0"/>
                <w:bCs w:val="0"/>
                <w:color w:val="auto"/>
                <w:sz w:val="24"/>
                <w:szCs w:val="24"/>
                <w:lang w:val="en-US" w:eastAsia="zh-CN"/>
              </w:rPr>
              <w:t>2503-530424-04-01-965426</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项目建设符合国家相关产业政策。</w:t>
            </w:r>
          </w:p>
          <w:p w14:paraId="20EF05DC">
            <w:pPr>
              <w:pStyle w:val="37"/>
              <w:keepNext w:val="0"/>
              <w:keepLines w:val="0"/>
              <w:widowControl/>
              <w:suppressLineNumbers w:val="0"/>
              <w:spacing w:before="0" w:beforeAutospacing="0" w:after="0" w:afterAutospacing="0"/>
              <w:ind w:left="0" w:right="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项目与</w:t>
            </w:r>
            <w:r>
              <w:rPr>
                <w:rFonts w:hint="default" w:ascii="Times New Roman" w:hAnsi="Times New Roman" w:cs="Times New Roman"/>
                <w:b/>
                <w:bCs w:val="0"/>
                <w:color w:val="auto"/>
                <w:sz w:val="24"/>
                <w:szCs w:val="24"/>
                <w:lang w:val="en-US" w:eastAsia="zh-CN"/>
              </w:rPr>
              <w:t>《玉溪市生态环境局关于印发玉溪市生态环境分区管控动态更新调整方案（2023年）的通知》（玉市环〔2024〕40号）要求</w:t>
            </w:r>
            <w:r>
              <w:rPr>
                <w:rFonts w:hint="default" w:ascii="Times New Roman" w:hAnsi="Times New Roman" w:cs="Times New Roman"/>
                <w:b/>
                <w:bCs w:val="0"/>
                <w:color w:val="auto"/>
                <w:sz w:val="24"/>
                <w:szCs w:val="24"/>
              </w:rPr>
              <w:t>符合性分析</w:t>
            </w:r>
          </w:p>
          <w:p w14:paraId="205E7F6B">
            <w:pPr>
              <w:pStyle w:val="35"/>
              <w:keepNext w:val="0"/>
              <w:keepLines w:val="0"/>
              <w:widowControl/>
              <w:suppressLineNumbers w:val="0"/>
              <w:bidi w:val="0"/>
              <w:spacing w:before="0" w:beforeAutospacing="0" w:after="0" w:afterAutospacing="0" w:line="360" w:lineRule="auto"/>
              <w:ind w:left="0" w:right="0" w:firstLine="480" w:firstLineChars="20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依据云南省生态环境分区管控公共服务查询平台环境管控单元查询结果，项目位于华宁县一般管控单元。为贯彻落实《玉溪市生态环境局关于印发玉溪市生态环境分区管控动态更新调整方案（2023年）的通知》（玉市环〔2024〕40号）要求，本项目将依据分区管控意见分析项目相符性，项目与其符合性分析详见下表。</w:t>
            </w:r>
          </w:p>
          <w:p w14:paraId="19F3676F">
            <w:pPr>
              <w:pStyle w:val="37"/>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项目与</w:t>
            </w:r>
            <w:r>
              <w:rPr>
                <w:rFonts w:hint="default" w:ascii="Times New Roman" w:hAnsi="Times New Roman" w:cs="Times New Roman"/>
                <w:b/>
                <w:bCs w:val="0"/>
                <w:color w:val="auto"/>
                <w:sz w:val="21"/>
                <w:szCs w:val="21"/>
                <w:lang w:val="en-US" w:eastAsia="zh-CN"/>
              </w:rPr>
              <w:t>《玉溪市生态环境局关于印发玉溪市生态环境分区管控动态更新调整方案（2023年）的通知》（玉市环〔2024〕40号）要求</w:t>
            </w:r>
            <w:r>
              <w:rPr>
                <w:rFonts w:hint="eastAsia" w:cs="Times New Roman"/>
                <w:b/>
                <w:bCs w:val="0"/>
                <w:color w:val="auto"/>
                <w:sz w:val="21"/>
                <w:szCs w:val="21"/>
                <w:lang w:val="en-US" w:eastAsia="zh-CN"/>
              </w:rPr>
              <w:t>的符合性分析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41"/>
              <w:gridCol w:w="3673"/>
              <w:gridCol w:w="2806"/>
              <w:gridCol w:w="639"/>
            </w:tblGrid>
            <w:tr w14:paraId="34DF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dxa"/>
                  <w:vAlign w:val="center"/>
                </w:tcPr>
                <w:p w14:paraId="32DB73E2">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序号</w:t>
                  </w:r>
                </w:p>
              </w:tc>
              <w:tc>
                <w:tcPr>
                  <w:tcW w:w="690" w:type="dxa"/>
                  <w:vAlign w:val="center"/>
                </w:tcPr>
                <w:p w14:paraId="604A1050">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名称</w:t>
                  </w:r>
                </w:p>
              </w:tc>
              <w:tc>
                <w:tcPr>
                  <w:tcW w:w="4230" w:type="dxa"/>
                  <w:vAlign w:val="center"/>
                </w:tcPr>
                <w:p w14:paraId="7474C6AA">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bCs w:val="0"/>
                      <w:color w:val="auto"/>
                      <w:sz w:val="21"/>
                      <w:szCs w:val="21"/>
                      <w:lang w:val="en-US" w:eastAsia="zh-CN"/>
                    </w:rPr>
                    <w:t>（玉市环〔2024〕40号）</w:t>
                  </w:r>
                  <w:r>
                    <w:rPr>
                      <w:rFonts w:hint="default" w:ascii="Times New Roman" w:hAnsi="Times New Roman" w:cs="Times New Roman"/>
                      <w:b w:val="0"/>
                      <w:bCs w:val="0"/>
                      <w:color w:val="auto"/>
                      <w:sz w:val="21"/>
                      <w:szCs w:val="21"/>
                      <w:vertAlign w:val="baseline"/>
                      <w:lang w:val="en-US" w:eastAsia="zh-CN"/>
                    </w:rPr>
                    <w:t>要求</w:t>
                  </w:r>
                </w:p>
              </w:tc>
              <w:tc>
                <w:tcPr>
                  <w:tcW w:w="2235" w:type="dxa"/>
                  <w:vAlign w:val="center"/>
                </w:tcPr>
                <w:p w14:paraId="708EDF48">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本项目情况</w:t>
                  </w:r>
                </w:p>
              </w:tc>
              <w:tc>
                <w:tcPr>
                  <w:tcW w:w="686" w:type="dxa"/>
                  <w:vAlign w:val="center"/>
                </w:tcPr>
                <w:p w14:paraId="3D5BAC55">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符合性</w:t>
                  </w:r>
                </w:p>
              </w:tc>
            </w:tr>
            <w:tr w14:paraId="7983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dxa"/>
                  <w:vAlign w:val="center"/>
                </w:tcPr>
                <w:p w14:paraId="3C9E160F">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690" w:type="dxa"/>
                  <w:vAlign w:val="center"/>
                </w:tcPr>
                <w:p w14:paraId="0F8DB7F2">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空间布局约束</w:t>
                  </w:r>
                </w:p>
              </w:tc>
              <w:tc>
                <w:tcPr>
                  <w:tcW w:w="4230" w:type="dxa"/>
                  <w:vAlign w:val="center"/>
                </w:tcPr>
                <w:p w14:paraId="06C8A4AC">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56C1B2A3">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2DEBD3C8">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0591BF18">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4.禁止在九大高原湖泊（抚仙湖、星云湖、杞麓湖）流域内新建、改建、扩建污染环境、高耗水、高耗能、破坏生态平衡和自然景观的项目。</w:t>
                  </w:r>
                </w:p>
                <w:p w14:paraId="34923CED">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5.落实云南省碳达峰碳中和相关要求，处理好发展和减排、整体和局部、长远目标和短期目标、政府和市场的关系，坚定不移走生态优先、绿色低碳的高质量发展道路。</w:t>
                  </w:r>
                </w:p>
              </w:tc>
              <w:tc>
                <w:tcPr>
                  <w:tcW w:w="2235" w:type="dxa"/>
                  <w:vAlign w:val="center"/>
                </w:tcPr>
                <w:p w14:paraId="59FEDC40">
                  <w:pPr>
                    <w:pStyle w:val="6"/>
                    <w:keepNext w:val="0"/>
                    <w:keepLines w:val="0"/>
                    <w:pageBreakBefore w:val="0"/>
                    <w:widowControl w:val="0"/>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1.本项目加工处理尾料，</w:t>
                  </w:r>
                  <w:r>
                    <w:rPr>
                      <w:rFonts w:hint="default" w:ascii="Times New Roman" w:hAnsi="Times New Roman" w:cs="Times New Roman"/>
                      <w:b w:val="0"/>
                      <w:bCs w:val="0"/>
                      <w:color w:val="auto"/>
                      <w:sz w:val="21"/>
                      <w:szCs w:val="21"/>
                    </w:rPr>
                    <w:t>不属于国家发展和改革委员会第</w:t>
                  </w:r>
                  <w:r>
                    <w:rPr>
                      <w:rFonts w:hint="default" w:ascii="Times New Roman" w:hAnsi="Times New Roman" w:cs="Times New Roman"/>
                      <w:b w:val="0"/>
                      <w:bCs w:val="0"/>
                      <w:color w:val="auto"/>
                      <w:sz w:val="21"/>
                      <w:szCs w:val="21"/>
                      <w:lang w:val="en-US" w:eastAsia="zh-CN"/>
                    </w:rPr>
                    <w:t>7</w:t>
                  </w:r>
                  <w:r>
                    <w:rPr>
                      <w:rFonts w:hint="default" w:ascii="Times New Roman" w:hAnsi="Times New Roman" w:cs="Times New Roman"/>
                      <w:b w:val="0"/>
                      <w:bCs w:val="0"/>
                      <w:color w:val="auto"/>
                      <w:sz w:val="21"/>
                      <w:szCs w:val="21"/>
                    </w:rPr>
                    <w:t>号令《产业结构调整指导目录（2024年本）》中鼓励类、限制类、淘汰类项目，项目建设符合国家有关法律、法规和政策规定，属于允许类项目。根据《市场准入负面清单（2022 年版）》，本项目不属于市场准入负面清单的禁止类；对照《环境保护综合名录（2021 年版）》、中华人民共和国工业和信息化部公告2021年第25号公告《限期淘汰产生严重污染环境的工业固体废物的落后生产工艺设备名录》，本项目不属于“高污染、高环境风险”产品名录，项目使用的生产工艺及设备不属于国家淘汰和限制的类型。</w:t>
                  </w:r>
                </w:p>
                <w:p w14:paraId="67BD529B">
                  <w:pPr>
                    <w:keepNext w:val="0"/>
                    <w:keepLines w:val="0"/>
                    <w:pageBreakBefore w:val="0"/>
                    <w:widowControl w:val="0"/>
                    <w:numPr>
                      <w:ilvl w:val="0"/>
                      <w:numId w:val="0"/>
                    </w:numPr>
                    <w:kinsoku/>
                    <w:wordWrap/>
                    <w:overflowPunct/>
                    <w:topLinePunct w:val="0"/>
                    <w:bidi w:val="0"/>
                    <w:snapToGrid/>
                    <w:spacing w:line="240" w:lineRule="auto"/>
                    <w:ind w:leftChars="0"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项目取得华宁县发展和改革局签发的《云南省固定资产投资项目备案证》，备案项目代码：2503-530424-04-01-965426</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因此项目建设符合国家相关产业政策。</w:t>
                  </w:r>
                </w:p>
                <w:p w14:paraId="7E89BC5E">
                  <w:pPr>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2.</w:t>
                  </w:r>
                  <w:r>
                    <w:rPr>
                      <w:rFonts w:hint="default" w:ascii="Times New Roman" w:hAnsi="Times New Roman" w:eastAsia="宋体" w:cs="Times New Roman"/>
                      <w:b w:val="0"/>
                      <w:bCs w:val="0"/>
                      <w:color w:val="auto"/>
                      <w:sz w:val="21"/>
                      <w:szCs w:val="21"/>
                      <w:lang w:val="en-US" w:eastAsia="zh-CN"/>
                    </w:rPr>
                    <w:t>项目位于华宁县宁州街道原法果红砖厂，不涉及抚仙湖、星云湖、杞麓湖“两线三区”管理。</w:t>
                  </w:r>
                </w:p>
                <w:p w14:paraId="7D5D2DEA">
                  <w:pPr>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3.本项目属于尾料加工处理项目，位于华宁县宁州街道法果村，未在工业园区建设，不属于钢铁、石化、化工、焦化、建材、有色、制浆造纸行业中的高污染项目</w:t>
                  </w:r>
                  <w:r>
                    <w:rPr>
                      <w:rFonts w:hint="default" w:ascii="Times New Roman" w:hAnsi="Times New Roman" w:cs="Times New Roman"/>
                      <w:b w:val="0"/>
                      <w:bCs w:val="0"/>
                      <w:color w:val="auto"/>
                      <w:sz w:val="21"/>
                      <w:szCs w:val="21"/>
                      <w:lang w:val="en-US" w:eastAsia="zh-CN"/>
                    </w:rPr>
                    <w:t>，根据查询，本项目不在《云南省城镇人口密集区危险化学品生产企业搬迁改造名单》。</w:t>
                  </w:r>
                </w:p>
                <w:p w14:paraId="0334C89A">
                  <w:pPr>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1"/>
                      <w:szCs w:val="21"/>
                      <w:lang w:val="en-US" w:eastAsia="zh-CN"/>
                    </w:rPr>
                    <w:t>4.本项目位于华宁县宁州街道原法果红砖厂，不在九大高原湖泊（抚仙湖、星云湖、杞麓湖）流域内。</w:t>
                  </w:r>
                </w:p>
              </w:tc>
              <w:tc>
                <w:tcPr>
                  <w:tcW w:w="686" w:type="dxa"/>
                  <w:vAlign w:val="center"/>
                </w:tcPr>
                <w:p w14:paraId="07AACB4D">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0A27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dxa"/>
                  <w:vAlign w:val="center"/>
                </w:tcPr>
                <w:p w14:paraId="5D2120D3">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p>
              </w:tc>
              <w:tc>
                <w:tcPr>
                  <w:tcW w:w="690" w:type="dxa"/>
                  <w:vAlign w:val="center"/>
                </w:tcPr>
                <w:p w14:paraId="249348E7">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污染物排放管控</w:t>
                  </w:r>
                </w:p>
              </w:tc>
              <w:tc>
                <w:tcPr>
                  <w:tcW w:w="4230" w:type="dxa"/>
                  <w:vAlign w:val="center"/>
                </w:tcPr>
                <w:p w14:paraId="5F57C757">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严格落实强制性清洁生产审核要求，引导重点行业实施清洁生产改造，到2025年底，重点行业企业基本达到国内清洁生产先进水平。</w:t>
                  </w:r>
                </w:p>
                <w:p w14:paraId="5563537A">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2.</w:t>
                  </w:r>
                  <w:r>
                    <w:rPr>
                      <w:rFonts w:hint="default" w:ascii="Times New Roman" w:hAnsi="Times New Roman" w:cs="Times New Roman"/>
                      <w:b w:val="0"/>
                      <w:bCs w:val="0"/>
                      <w:color w:val="auto"/>
                      <w:sz w:val="21"/>
                      <w:szCs w:val="21"/>
                    </w:rPr>
                    <w:t>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00279F32">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1"/>
                      <w:sz w:val="21"/>
                      <w:szCs w:val="21"/>
                      <w:lang w:val="en-US" w:eastAsia="zh-CN" w:bidi="ar-SA"/>
                    </w:rPr>
                    <w:t>3</w:t>
                  </w:r>
                  <w:r>
                    <w:rPr>
                      <w:rFonts w:hint="default" w:ascii="Times New Roman" w:hAnsi="Times New Roman" w:eastAsia="宋体" w:cs="Times New Roman"/>
                      <w:b w:val="0"/>
                      <w:bCs w:val="0"/>
                      <w:color w:val="auto"/>
                      <w:kern w:val="21"/>
                      <w:sz w:val="21"/>
                      <w:szCs w:val="21"/>
                      <w:lang w:val="en-US" w:eastAsia="zh-CN" w:bidi="ar-SA"/>
                    </w:rPr>
                    <w:t>.</w:t>
                  </w:r>
                  <w:r>
                    <w:rPr>
                      <w:rFonts w:hint="default" w:ascii="Times New Roman" w:hAnsi="Times New Roman" w:cs="Times New Roman"/>
                      <w:b w:val="0"/>
                      <w:bCs w:val="0"/>
                      <w:color w:val="auto"/>
                      <w:sz w:val="21"/>
                      <w:szCs w:val="21"/>
                    </w:rPr>
                    <w:t>严格保护城乡饮用水水源地，整治饮用水水源保护区内的污染源，确保饮水安全。</w:t>
                  </w:r>
                </w:p>
                <w:p w14:paraId="3B54F9E6">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1"/>
                      <w:sz w:val="21"/>
                      <w:szCs w:val="21"/>
                      <w:lang w:val="en-US" w:eastAsia="zh-CN" w:bidi="ar-SA"/>
                    </w:rPr>
                    <w:t>4</w:t>
                  </w:r>
                  <w:r>
                    <w:rPr>
                      <w:rFonts w:hint="default" w:ascii="Times New Roman" w:hAnsi="Times New Roman" w:eastAsia="宋体" w:cs="Times New Roman"/>
                      <w:b w:val="0"/>
                      <w:bCs w:val="0"/>
                      <w:color w:val="auto"/>
                      <w:kern w:val="21"/>
                      <w:sz w:val="21"/>
                      <w:szCs w:val="21"/>
                      <w:lang w:val="en-US" w:eastAsia="zh-CN" w:bidi="ar-SA"/>
                    </w:rPr>
                    <w:t>.</w:t>
                  </w:r>
                  <w:r>
                    <w:rPr>
                      <w:rFonts w:hint="default" w:ascii="Times New Roman" w:hAnsi="Times New Roman" w:cs="Times New Roman"/>
                      <w:b w:val="0"/>
                      <w:bCs w:val="0"/>
                      <w:color w:val="auto"/>
                      <w:sz w:val="21"/>
                      <w:szCs w:val="21"/>
                    </w:rPr>
                    <w:t>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3F34FBFC">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1"/>
                      <w:sz w:val="21"/>
                      <w:szCs w:val="21"/>
                      <w:lang w:val="en-US" w:eastAsia="zh-CN" w:bidi="ar-SA"/>
                    </w:rPr>
                    <w:t>5</w:t>
                  </w:r>
                  <w:r>
                    <w:rPr>
                      <w:rFonts w:hint="default" w:ascii="Times New Roman" w:hAnsi="Times New Roman" w:eastAsia="宋体" w:cs="Times New Roman"/>
                      <w:b w:val="0"/>
                      <w:bCs w:val="0"/>
                      <w:color w:val="auto"/>
                      <w:kern w:val="21"/>
                      <w:sz w:val="21"/>
                      <w:szCs w:val="21"/>
                      <w:lang w:val="en-US" w:eastAsia="zh-CN" w:bidi="ar-SA"/>
                    </w:rPr>
                    <w:t>.</w:t>
                  </w:r>
                  <w:r>
                    <w:rPr>
                      <w:rFonts w:hint="default" w:ascii="Times New Roman" w:hAnsi="Times New Roman" w:cs="Times New Roman"/>
                      <w:b w:val="0"/>
                      <w:bCs w:val="0"/>
                      <w:color w:val="auto"/>
                      <w:sz w:val="21"/>
                      <w:szCs w:val="21"/>
                    </w:rPr>
                    <w:t>加大环境污染物减排力度，到2025年，实现氮氧化物减排1224吨，挥发性有机物减排1393吨，化学需氧量减排2461吨，氨氮减排230吨。</w:t>
                  </w:r>
                </w:p>
                <w:p w14:paraId="0E97D219">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1"/>
                      <w:sz w:val="21"/>
                      <w:szCs w:val="21"/>
                      <w:lang w:val="en-US" w:eastAsia="zh-CN" w:bidi="ar-SA"/>
                    </w:rPr>
                    <w:t>6</w:t>
                  </w:r>
                  <w:r>
                    <w:rPr>
                      <w:rFonts w:hint="default" w:ascii="Times New Roman" w:hAnsi="Times New Roman" w:eastAsia="宋体" w:cs="Times New Roman"/>
                      <w:b w:val="0"/>
                      <w:bCs w:val="0"/>
                      <w:color w:val="auto"/>
                      <w:kern w:val="21"/>
                      <w:sz w:val="21"/>
                      <w:szCs w:val="21"/>
                      <w:lang w:val="en-US" w:eastAsia="zh-CN" w:bidi="ar-SA"/>
                    </w:rPr>
                    <w:t>.</w:t>
                  </w:r>
                  <w:r>
                    <w:rPr>
                      <w:rFonts w:hint="default" w:ascii="Times New Roman" w:hAnsi="Times New Roman" w:cs="Times New Roman"/>
                      <w:b w:val="0"/>
                      <w:bCs w:val="0"/>
                      <w:color w:val="auto"/>
                      <w:sz w:val="21"/>
                      <w:szCs w:val="21"/>
                    </w:rPr>
                    <w:t>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53DA380B">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1"/>
                      <w:sz w:val="21"/>
                      <w:szCs w:val="21"/>
                      <w:lang w:val="en-US" w:eastAsia="zh-CN" w:bidi="ar-SA"/>
                    </w:rPr>
                    <w:t>7</w:t>
                  </w:r>
                  <w:r>
                    <w:rPr>
                      <w:rFonts w:hint="default" w:ascii="Times New Roman" w:hAnsi="Times New Roman" w:eastAsia="宋体" w:cs="Times New Roman"/>
                      <w:b w:val="0"/>
                      <w:bCs w:val="0"/>
                      <w:color w:val="auto"/>
                      <w:kern w:val="21"/>
                      <w:sz w:val="21"/>
                      <w:szCs w:val="21"/>
                      <w:lang w:val="en-US" w:eastAsia="zh-CN" w:bidi="ar-SA"/>
                    </w:rPr>
                    <w:t>.</w:t>
                  </w:r>
                  <w:r>
                    <w:rPr>
                      <w:rFonts w:hint="default" w:ascii="Times New Roman" w:hAnsi="Times New Roman" w:cs="Times New Roman"/>
                      <w:b w:val="0"/>
                      <w:bCs w:val="0"/>
                      <w:color w:val="auto"/>
                      <w:sz w:val="21"/>
                      <w:szCs w:val="21"/>
                    </w:rPr>
                    <w:t>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p w14:paraId="54C7C73A">
                  <w:pPr>
                    <w:pStyle w:val="37"/>
                    <w:keepNext w:val="0"/>
                    <w:keepLines w:val="0"/>
                    <w:pageBreakBefore w:val="0"/>
                    <w:widowControl w:val="0"/>
                    <w:numPr>
                      <w:ilvl w:val="0"/>
                      <w:numId w:val="0"/>
                    </w:numPr>
                    <w:kinsoku/>
                    <w:wordWrap/>
                    <w:overflowPunct/>
                    <w:topLinePunct w:val="0"/>
                    <w:bidi w:val="0"/>
                    <w:snapToGrid/>
                    <w:spacing w:line="240" w:lineRule="auto"/>
                    <w:ind w:leftChars="0"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2235" w:type="dxa"/>
                  <w:vAlign w:val="center"/>
                </w:tcPr>
                <w:p w14:paraId="0FCBEB6B">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1.根据清洁生产审核办法，本项目不属于重点行业，且本项目污染物全部妥善处置。</w:t>
                  </w:r>
                </w:p>
                <w:p w14:paraId="769DABC4">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2.本项目位于华宁县宁州街道法果村原法果红砖厂，不在“三湖”，“两江”流域。</w:t>
                  </w:r>
                </w:p>
                <w:p w14:paraId="34203DEE">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3.本项目不涉及饮用水水源地。</w:t>
                  </w:r>
                </w:p>
                <w:p w14:paraId="7711C684">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4.本项目不涉及臭氧、VOC</w:t>
                  </w:r>
                  <w:r>
                    <w:rPr>
                      <w:rFonts w:hint="default" w:ascii="Times New Roman" w:hAnsi="Times New Roman" w:cs="Times New Roman"/>
                      <w:b w:val="0"/>
                      <w:bCs w:val="0"/>
                      <w:color w:val="auto"/>
                      <w:sz w:val="21"/>
                      <w:szCs w:val="21"/>
                      <w:vertAlign w:val="subscript"/>
                      <w:lang w:val="en-US" w:eastAsia="zh-CN"/>
                    </w:rPr>
                    <w:t>S</w:t>
                  </w:r>
                  <w:r>
                    <w:rPr>
                      <w:rFonts w:hint="default" w:ascii="Times New Roman" w:hAnsi="Times New Roman" w:cs="Times New Roman"/>
                      <w:b w:val="0"/>
                      <w:bCs w:val="0"/>
                      <w:color w:val="auto"/>
                      <w:sz w:val="21"/>
                      <w:szCs w:val="21"/>
                      <w:vertAlign w:val="baseline"/>
                      <w:lang w:val="en-US" w:eastAsia="zh-CN"/>
                    </w:rPr>
                    <w:t>排放，</w:t>
                  </w:r>
                  <w:r>
                    <w:rPr>
                      <w:rFonts w:hint="eastAsia" w:cs="Times New Roman"/>
                      <w:b w:val="0"/>
                      <w:bCs w:val="0"/>
                      <w:color w:val="auto"/>
                      <w:sz w:val="21"/>
                      <w:szCs w:val="21"/>
                      <w:vertAlign w:val="baseline"/>
                      <w:lang w:val="en-US" w:eastAsia="zh-CN"/>
                    </w:rPr>
                    <w:t>无破碎工艺，通过水洗，物料含湿量大，</w:t>
                  </w:r>
                  <w:r>
                    <w:rPr>
                      <w:rFonts w:hint="default" w:ascii="Times New Roman" w:hAnsi="Times New Roman" w:cs="Times New Roman"/>
                      <w:b w:val="0"/>
                      <w:bCs w:val="0"/>
                      <w:color w:val="auto"/>
                      <w:sz w:val="21"/>
                      <w:szCs w:val="21"/>
                      <w:vertAlign w:val="baseline"/>
                      <w:lang w:val="en-US" w:eastAsia="zh-CN"/>
                    </w:rPr>
                    <w:t>颗粒物排放量小，通过环评提出的措施能够得到有效处置，且本项目属于尾料处理加工项目，不属于有色金属、钢铁、磷化工、建材等重点行业项目。</w:t>
                  </w:r>
                </w:p>
                <w:p w14:paraId="2B22029D">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5.本项目大气污染物为颗粒物，氮氧化物为运输车辆尾气，排放量很小，对周围环境影响很小，生活污水进入化粪池中，</w:t>
                  </w:r>
                  <w:r>
                    <w:rPr>
                      <w:rFonts w:hint="eastAsia" w:cs="Times New Roman"/>
                      <w:b w:val="0"/>
                      <w:bCs w:val="0"/>
                      <w:color w:val="auto"/>
                      <w:sz w:val="21"/>
                      <w:szCs w:val="21"/>
                      <w:vertAlign w:val="baseline"/>
                      <w:lang w:val="en-US" w:eastAsia="zh-CN"/>
                    </w:rPr>
                    <w:t>定期使用吸粪车清运至华宁县污水处理厂处理</w:t>
                  </w:r>
                  <w:r>
                    <w:rPr>
                      <w:rFonts w:hint="default" w:ascii="Times New Roman" w:hAnsi="Times New Roman" w:cs="Times New Roman"/>
                      <w:b w:val="0"/>
                      <w:bCs w:val="0"/>
                      <w:color w:val="auto"/>
                      <w:sz w:val="21"/>
                      <w:szCs w:val="21"/>
                      <w:vertAlign w:val="baseline"/>
                      <w:lang w:val="en-US" w:eastAsia="zh-CN"/>
                    </w:rPr>
                    <w:t>。</w:t>
                  </w:r>
                </w:p>
                <w:p w14:paraId="45C4600B">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6.本项目租用原法果红砖厂场地建设项目，不涉及农用地，根据（云南省国土资源厅关于华宁县2007年度第二批集镇建设农用地转用及土地征收的批复）云国土资复</w:t>
                  </w:r>
                  <w:r>
                    <w:rPr>
                      <w:rFonts w:hint="default" w:ascii="Times New Roman" w:hAnsi="Times New Roman" w:cs="Times New Roman"/>
                      <w:color w:val="auto"/>
                      <w:lang w:val="en-US" w:eastAsia="zh-CN"/>
                    </w:rPr>
                    <w:t>〔2007〕371号，本项目用地性质属于建设用地，详见附件15</w:t>
                  </w:r>
                  <w:r>
                    <w:rPr>
                      <w:rFonts w:hint="default" w:ascii="Times New Roman" w:hAnsi="Times New Roman" w:cs="Times New Roman"/>
                      <w:b w:val="0"/>
                      <w:bCs w:val="0"/>
                      <w:color w:val="auto"/>
                      <w:sz w:val="21"/>
                      <w:szCs w:val="21"/>
                      <w:vertAlign w:val="baseline"/>
                      <w:lang w:val="en-US" w:eastAsia="zh-CN"/>
                    </w:rPr>
                    <w:t>。</w:t>
                  </w:r>
                </w:p>
                <w:p w14:paraId="58F0ADA6">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7.本项目工业固体废物为生活垃圾和泥饼，不属于重金属污染物。生活垃圾收集起来运送至</w:t>
                  </w:r>
                  <w:r>
                    <w:rPr>
                      <w:rFonts w:hint="eastAsia" w:cs="Times New Roman"/>
                      <w:b w:val="0"/>
                      <w:bCs w:val="0"/>
                      <w:color w:val="auto"/>
                      <w:sz w:val="21"/>
                      <w:szCs w:val="21"/>
                      <w:vertAlign w:val="baseline"/>
                      <w:lang w:val="en-US" w:eastAsia="zh-CN"/>
                    </w:rPr>
                    <w:t>法果村</w:t>
                  </w:r>
                  <w:r>
                    <w:rPr>
                      <w:rFonts w:hint="default" w:ascii="Times New Roman" w:hAnsi="Times New Roman" w:cs="Times New Roman"/>
                      <w:b w:val="0"/>
                      <w:bCs w:val="0"/>
                      <w:color w:val="auto"/>
                      <w:sz w:val="21"/>
                      <w:szCs w:val="21"/>
                      <w:vertAlign w:val="baseline"/>
                      <w:lang w:val="en-US" w:eastAsia="zh-CN"/>
                    </w:rPr>
                    <w:t>生活垃圾处置点处置；</w:t>
                  </w:r>
                  <w:r>
                    <w:rPr>
                      <w:rFonts w:hint="eastAsia" w:cs="Times New Roman"/>
                      <w:b w:val="0"/>
                      <w:bCs w:val="0"/>
                      <w:color w:val="auto"/>
                      <w:sz w:val="21"/>
                      <w:szCs w:val="21"/>
                      <w:vertAlign w:val="baseline"/>
                      <w:lang w:val="en-US" w:eastAsia="zh-CN"/>
                    </w:rPr>
                    <w:t>泥饼</w:t>
                  </w:r>
                  <w:r>
                    <w:rPr>
                      <w:rFonts w:hint="default" w:ascii="Times New Roman" w:hAnsi="Times New Roman" w:cs="Times New Roman"/>
                      <w:b w:val="0"/>
                      <w:bCs w:val="0"/>
                      <w:color w:val="auto"/>
                      <w:sz w:val="21"/>
                      <w:szCs w:val="21"/>
                      <w:highlight w:val="none"/>
                      <w:vertAlign w:val="baseline"/>
                      <w:lang w:val="en-US" w:eastAsia="zh-CN"/>
                    </w:rPr>
                    <w:t>外运至砖厂制砖；对砖厂消纳不完及在砖厂停产期间产生的泥饼，运至珠峰采石场用于露天采空区土地复垦</w:t>
                  </w:r>
                  <w:r>
                    <w:rPr>
                      <w:rFonts w:hint="eastAsia"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vertAlign w:val="baseline"/>
                      <w:lang w:val="en-US" w:eastAsia="zh-CN"/>
                    </w:rPr>
                    <w:t>本项目固废全部妥善处置，不乱丢弃。</w:t>
                  </w:r>
                </w:p>
                <w:p w14:paraId="414F3E41">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8.本项目</w:t>
                  </w:r>
                  <w:r>
                    <w:rPr>
                      <w:rFonts w:hint="eastAsia" w:cs="Times New Roman"/>
                      <w:b w:val="0"/>
                      <w:bCs w:val="0"/>
                      <w:color w:val="auto"/>
                      <w:sz w:val="21"/>
                      <w:szCs w:val="21"/>
                      <w:vertAlign w:val="baseline"/>
                      <w:lang w:val="en-US" w:eastAsia="zh-CN"/>
                    </w:rPr>
                    <w:t>无破碎工艺，通过水洗，物料含湿量大，生产过程</w:t>
                  </w:r>
                  <w:r>
                    <w:rPr>
                      <w:rFonts w:hint="default" w:ascii="Times New Roman" w:hAnsi="Times New Roman" w:cs="Times New Roman"/>
                      <w:b w:val="0"/>
                      <w:bCs w:val="0"/>
                      <w:color w:val="auto"/>
                      <w:sz w:val="21"/>
                      <w:szCs w:val="21"/>
                      <w:vertAlign w:val="baseline"/>
                      <w:lang w:val="en-US" w:eastAsia="zh-CN"/>
                    </w:rPr>
                    <w:t>颗粒物排放量小</w:t>
                  </w:r>
                  <w:r>
                    <w:rPr>
                      <w:rFonts w:hint="eastAsia" w:cs="Times New Roman"/>
                      <w:b w:val="0"/>
                      <w:bCs w:val="0"/>
                      <w:color w:val="auto"/>
                      <w:sz w:val="21"/>
                      <w:szCs w:val="21"/>
                      <w:vertAlign w:val="baseline"/>
                      <w:lang w:val="en-US" w:eastAsia="zh-CN"/>
                    </w:rPr>
                    <w:t>，通过</w:t>
                  </w:r>
                  <w:r>
                    <w:rPr>
                      <w:rFonts w:hint="default" w:ascii="Times New Roman" w:hAnsi="Times New Roman" w:cs="Times New Roman"/>
                      <w:b w:val="0"/>
                      <w:bCs w:val="0"/>
                      <w:color w:val="auto"/>
                      <w:sz w:val="21"/>
                      <w:szCs w:val="21"/>
                      <w:vertAlign w:val="baseline"/>
                      <w:lang w:val="en-US" w:eastAsia="zh-CN"/>
                    </w:rPr>
                    <w:t>道路洒水降尘、运输车辆量加盖篷布</w:t>
                  </w:r>
                  <w:r>
                    <w:rPr>
                      <w:rFonts w:hint="eastAsia" w:cs="Times New Roman"/>
                      <w:b w:val="0"/>
                      <w:bCs w:val="0"/>
                      <w:color w:val="auto"/>
                      <w:sz w:val="21"/>
                      <w:szCs w:val="21"/>
                      <w:vertAlign w:val="baseline"/>
                      <w:lang w:val="en-US" w:eastAsia="zh-CN"/>
                    </w:rPr>
                    <w:t>、禁止带泥上路、卸料过程湿式作业</w:t>
                  </w:r>
                  <w:r>
                    <w:rPr>
                      <w:rFonts w:hint="default" w:ascii="Times New Roman" w:hAnsi="Times New Roman" w:cs="Times New Roman"/>
                      <w:b w:val="0"/>
                      <w:bCs w:val="0"/>
                      <w:color w:val="auto"/>
                      <w:sz w:val="21"/>
                      <w:szCs w:val="21"/>
                      <w:vertAlign w:val="baseline"/>
                      <w:lang w:val="en-US" w:eastAsia="zh-CN"/>
                    </w:rPr>
                    <w:t>等措施处置，本项目颗粒物排放量为为</w:t>
                  </w:r>
                  <w:r>
                    <w:rPr>
                      <w:rFonts w:hint="eastAsia" w:ascii="Times New Roman" w:hAnsi="Times New Roman" w:cs="Times New Roman"/>
                      <w:b w:val="0"/>
                      <w:bCs w:val="0"/>
                      <w:color w:val="auto"/>
                      <w:sz w:val="21"/>
                      <w:szCs w:val="21"/>
                      <w:shd w:val="clear"/>
                      <w:vertAlign w:val="baseline"/>
                      <w:lang w:val="en-US" w:eastAsia="zh-CN"/>
                    </w:rPr>
                    <w:t>0.083t/a</w:t>
                  </w:r>
                  <w:r>
                    <w:rPr>
                      <w:rFonts w:hint="default" w:ascii="Times New Roman" w:hAnsi="Times New Roman" w:cs="Times New Roman"/>
                      <w:b w:val="0"/>
                      <w:bCs w:val="0"/>
                      <w:color w:val="auto"/>
                      <w:sz w:val="21"/>
                      <w:szCs w:val="21"/>
                      <w:vertAlign w:val="baseline"/>
                      <w:lang w:val="en-US" w:eastAsia="zh-CN"/>
                    </w:rPr>
                    <w:t>，排放浓度较小，通过以上处置措施处置后对周围大气环影响较小。</w:t>
                  </w:r>
                </w:p>
              </w:tc>
              <w:tc>
                <w:tcPr>
                  <w:tcW w:w="686" w:type="dxa"/>
                  <w:vAlign w:val="center"/>
                </w:tcPr>
                <w:p w14:paraId="6479D6A2">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4E5A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dxa"/>
                  <w:vAlign w:val="center"/>
                </w:tcPr>
                <w:p w14:paraId="737EE5EB">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w:t>
                  </w:r>
                </w:p>
              </w:tc>
              <w:tc>
                <w:tcPr>
                  <w:tcW w:w="690" w:type="dxa"/>
                  <w:vAlign w:val="center"/>
                </w:tcPr>
                <w:p w14:paraId="2A9BA2BD">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环境风险防控</w:t>
                  </w:r>
                </w:p>
              </w:tc>
              <w:tc>
                <w:tcPr>
                  <w:tcW w:w="4230" w:type="dxa"/>
                  <w:vAlign w:val="center"/>
                </w:tcPr>
                <w:p w14:paraId="214440AB">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强化与其他滇中城市的大气、水污染防治联防联控协作机制，加强区域内重污染天气和跨界水体风险应急联动。</w:t>
                  </w:r>
                </w:p>
                <w:p w14:paraId="6EA16556">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2235" w:type="dxa"/>
                  <w:vAlign w:val="center"/>
                </w:tcPr>
                <w:p w14:paraId="68E15681">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1.本项目不涉及其他滇中城市的大气、水污染防治联防联控协作机制。</w:t>
                  </w:r>
                </w:p>
                <w:p w14:paraId="501D7E33">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2.本项目危险废物为</w:t>
                  </w:r>
                  <w:r>
                    <w:rPr>
                      <w:rFonts w:hint="eastAsia" w:cs="Times New Roman"/>
                      <w:b w:val="0"/>
                      <w:bCs w:val="0"/>
                      <w:color w:val="auto"/>
                      <w:sz w:val="21"/>
                      <w:szCs w:val="21"/>
                      <w:vertAlign w:val="baseline"/>
                      <w:lang w:val="en-US" w:eastAsia="zh-CN"/>
                    </w:rPr>
                    <w:t>废</w:t>
                  </w:r>
                  <w:r>
                    <w:rPr>
                      <w:rFonts w:hint="default" w:ascii="Times New Roman" w:hAnsi="Times New Roman" w:cs="Times New Roman"/>
                      <w:b w:val="0"/>
                      <w:bCs w:val="0"/>
                      <w:color w:val="auto"/>
                      <w:sz w:val="21"/>
                      <w:szCs w:val="21"/>
                      <w:vertAlign w:val="baseline"/>
                      <w:lang w:val="en-US" w:eastAsia="zh-CN"/>
                    </w:rPr>
                    <w:t>润滑油</w:t>
                  </w:r>
                  <w:r>
                    <w:rPr>
                      <w:rFonts w:hint="eastAsia" w:cs="Times New Roman"/>
                      <w:b w:val="0"/>
                      <w:bCs w:val="0"/>
                      <w:color w:val="auto"/>
                      <w:sz w:val="21"/>
                      <w:szCs w:val="21"/>
                      <w:vertAlign w:val="baseline"/>
                      <w:lang w:val="en-US" w:eastAsia="zh-CN"/>
                    </w:rPr>
                    <w:t>和废润滑油桶</w:t>
                  </w:r>
                  <w:r>
                    <w:rPr>
                      <w:rFonts w:hint="default" w:ascii="Times New Roman" w:hAnsi="Times New Roman" w:cs="Times New Roman"/>
                      <w:b w:val="0"/>
                      <w:bCs w:val="0"/>
                      <w:color w:val="auto"/>
                      <w:sz w:val="21"/>
                      <w:szCs w:val="21"/>
                      <w:vertAlign w:val="baseline"/>
                      <w:lang w:val="en-US" w:eastAsia="zh-CN"/>
                    </w:rPr>
                    <w:t>，产生量较少，不属于涉重金属企业，不涉及危险化学品。</w:t>
                  </w:r>
                </w:p>
              </w:tc>
              <w:tc>
                <w:tcPr>
                  <w:tcW w:w="686" w:type="dxa"/>
                  <w:vAlign w:val="center"/>
                </w:tcPr>
                <w:p w14:paraId="36578871">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2176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dxa"/>
                  <w:vAlign w:val="center"/>
                </w:tcPr>
                <w:p w14:paraId="286CAB2A">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w:t>
                  </w:r>
                </w:p>
              </w:tc>
              <w:tc>
                <w:tcPr>
                  <w:tcW w:w="690" w:type="dxa"/>
                  <w:vAlign w:val="center"/>
                </w:tcPr>
                <w:p w14:paraId="29B0A268">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资源开发效率要求</w:t>
                  </w:r>
                </w:p>
              </w:tc>
              <w:tc>
                <w:tcPr>
                  <w:tcW w:w="4230" w:type="dxa"/>
                  <w:vAlign w:val="center"/>
                </w:tcPr>
                <w:p w14:paraId="7057198E">
                  <w:pPr>
                    <w:pStyle w:val="37"/>
                    <w:keepNext w:val="0"/>
                    <w:keepLines w:val="0"/>
                    <w:pageBreakBefore w:val="0"/>
                    <w:widowControl w:val="0"/>
                    <w:numPr>
                      <w:ilvl w:val="0"/>
                      <w:numId w:val="0"/>
                    </w:numPr>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1"/>
                      <w:sz w:val="21"/>
                      <w:szCs w:val="21"/>
                      <w:lang w:val="en-US" w:eastAsia="zh-CN" w:bidi="ar-SA"/>
                    </w:rPr>
                    <w:t>1.</w:t>
                  </w:r>
                  <w:r>
                    <w:rPr>
                      <w:rFonts w:hint="default" w:ascii="Times New Roman" w:hAnsi="Times New Roman" w:cs="Times New Roman"/>
                      <w:b w:val="0"/>
                      <w:bCs w:val="0"/>
                      <w:color w:val="auto"/>
                      <w:sz w:val="21"/>
                      <w:szCs w:val="21"/>
                    </w:rPr>
                    <w:t>降低水、土地、能源、矿产资源消耗强度，强化约束性指标管理。</w:t>
                  </w:r>
                </w:p>
                <w:p w14:paraId="613676C3">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1"/>
                      <w:sz w:val="21"/>
                      <w:szCs w:val="21"/>
                      <w:lang w:val="en-US" w:eastAsia="zh-CN" w:bidi="ar-SA"/>
                    </w:rPr>
                    <w:t>2.</w:t>
                  </w:r>
                  <w:r>
                    <w:rPr>
                      <w:rFonts w:hint="default" w:ascii="Times New Roman" w:hAnsi="Times New Roman" w:cs="Times New Roman"/>
                      <w:b w:val="0"/>
                      <w:bCs w:val="0"/>
                      <w:color w:val="auto"/>
                      <w:sz w:val="21"/>
                      <w:szCs w:val="21"/>
                    </w:rPr>
                    <w:t>实行最严格的水资源管理制度，严格用水总量、强度指标管理，严格取水管控，建立重点监控取水单位名录，强化重点监控取水单位管理。全市年用水总量、万元工业增加值用水量降幅等指标达到省考核要求。</w:t>
                  </w:r>
                </w:p>
                <w:p w14:paraId="14E7B7BC">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1"/>
                      <w:sz w:val="21"/>
                      <w:szCs w:val="21"/>
                      <w:lang w:val="en-US" w:eastAsia="zh-CN" w:bidi="ar-SA"/>
                    </w:rPr>
                    <w:t>3.</w:t>
                  </w:r>
                  <w:r>
                    <w:rPr>
                      <w:rFonts w:hint="default" w:ascii="Times New Roman" w:hAnsi="Times New Roman" w:cs="Times New Roman"/>
                      <w:b w:val="0"/>
                      <w:bCs w:val="0"/>
                      <w:color w:val="auto"/>
                      <w:sz w:val="21"/>
                      <w:szCs w:val="21"/>
                    </w:rPr>
                    <w:t>坚持最严格的耕地保护制度，守住耕地保护红线。坚持节约用地，严格执行耕地占补平衡等制度，提高土地投资强度和单位面积产出水平。</w:t>
                  </w:r>
                </w:p>
                <w:p w14:paraId="062B3752">
                  <w:pPr>
                    <w:pStyle w:val="37"/>
                    <w:keepNext w:val="0"/>
                    <w:keepLines w:val="0"/>
                    <w:pageBreakBefore w:val="0"/>
                    <w:widowControl w:val="0"/>
                    <w:numPr>
                      <w:ilvl w:val="0"/>
                      <w:numId w:val="0"/>
                    </w:numPr>
                    <w:kinsoku/>
                    <w:wordWrap/>
                    <w:overflowPunct/>
                    <w:topLinePunct w:val="0"/>
                    <w:bidi w:val="0"/>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1"/>
                      <w:sz w:val="21"/>
                      <w:szCs w:val="21"/>
                      <w:lang w:val="en-US" w:eastAsia="zh-CN" w:bidi="ar-SA"/>
                    </w:rPr>
                    <w:t>4.</w:t>
                  </w:r>
                  <w:r>
                    <w:rPr>
                      <w:rFonts w:hint="default" w:ascii="Times New Roman" w:hAnsi="Times New Roman" w:cs="Times New Roman"/>
                      <w:b w:val="0"/>
                      <w:bCs w:val="0"/>
                      <w:color w:val="auto"/>
                      <w:sz w:val="21"/>
                      <w:szCs w:val="21"/>
                    </w:rPr>
                    <w:t>全市单位GDP二氧化碳排放累计下降率完成云南省下达的指标；单位GDP能耗持续下降，到2025年，全市单位GDP能耗累计下降率14%。</w:t>
                  </w:r>
                </w:p>
                <w:p w14:paraId="58B327BA">
                  <w:pPr>
                    <w:pStyle w:val="37"/>
                    <w:keepNext w:val="0"/>
                    <w:keepLines w:val="0"/>
                    <w:pageBreakBefore w:val="0"/>
                    <w:widowControl w:val="0"/>
                    <w:numPr>
                      <w:ilvl w:val="0"/>
                      <w:numId w:val="0"/>
                    </w:numPr>
                    <w:kinsoku/>
                    <w:wordWrap/>
                    <w:overflowPunct/>
                    <w:topLinePunct w:val="0"/>
                    <w:bidi w:val="0"/>
                    <w:snapToGrid/>
                    <w:spacing w:line="240" w:lineRule="auto"/>
                    <w:ind w:leftChars="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5.高污染燃料禁燃区按照《高污染燃料目录》及当地有关禁燃区管理规定执行。</w:t>
                  </w:r>
                </w:p>
                <w:p w14:paraId="07ED4CC1">
                  <w:pPr>
                    <w:pStyle w:val="37"/>
                    <w:keepNext w:val="0"/>
                    <w:keepLines w:val="0"/>
                    <w:pageBreakBefore w:val="0"/>
                    <w:widowControl w:val="0"/>
                    <w:numPr>
                      <w:ilvl w:val="0"/>
                      <w:numId w:val="0"/>
                    </w:numPr>
                    <w:kinsoku/>
                    <w:wordWrap/>
                    <w:overflowPunct/>
                    <w:topLinePunct w:val="0"/>
                    <w:bidi w:val="0"/>
                    <w:snapToGrid/>
                    <w:spacing w:line="240" w:lineRule="auto"/>
                    <w:ind w:leftChars="0"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6.实施高效节水灌溉工程，大力推广高效节水灌溉措施，到2025年，农田灌溉水有效利用系数达到0.55。</w:t>
                  </w:r>
                </w:p>
              </w:tc>
              <w:tc>
                <w:tcPr>
                  <w:tcW w:w="2235" w:type="dxa"/>
                  <w:vAlign w:val="center"/>
                </w:tcPr>
                <w:p w14:paraId="5DE4FA33">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1.本项目租用原有土地，项目用土地性质为工业用地，用水循环使用，企业采取节能措施，项目原料为采石场尾料，实现资源综合利用。</w:t>
                  </w:r>
                </w:p>
                <w:p w14:paraId="5B13BEB8">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2.本项目用水循环利用，生产用水来自于项目北侧大田坡坝塘，不属于重点监控取水单位。</w:t>
                  </w:r>
                </w:p>
                <w:p w14:paraId="03F2B694">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3.本项目租用原法果红砖厂场地建设，不涉及占用耕地。</w:t>
                  </w:r>
                </w:p>
                <w:p w14:paraId="75727F2C">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w:t>
                  </w:r>
                  <w:r>
                    <w:rPr>
                      <w:rFonts w:hint="eastAsia" w:ascii="Times New Roman" w:hAnsi="Times New Roman" w:cs="Times New Roman"/>
                      <w:b w:val="0"/>
                      <w:bCs w:val="0"/>
                      <w:color w:val="auto"/>
                      <w:sz w:val="21"/>
                      <w:szCs w:val="21"/>
                      <w:vertAlign w:val="baseline"/>
                      <w:lang w:val="en-US" w:eastAsia="zh-CN"/>
                    </w:rPr>
                    <w:t>项目不涉及。</w:t>
                  </w:r>
                </w:p>
                <w:p w14:paraId="5EC74590">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5.本项目属于尾料加工项目，设备全部使用电能，属于清洁能源，不涉及高污染燃料。</w:t>
                  </w:r>
                </w:p>
                <w:p w14:paraId="50B0CCD6">
                  <w:pPr>
                    <w:pStyle w:val="37"/>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5.本项目不属于灌溉工程。</w:t>
                  </w:r>
                </w:p>
              </w:tc>
              <w:tc>
                <w:tcPr>
                  <w:tcW w:w="686" w:type="dxa"/>
                  <w:vAlign w:val="center"/>
                </w:tcPr>
                <w:p w14:paraId="550DF4EB">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bl>
          <w:p w14:paraId="33AF43CC">
            <w:pPr>
              <w:pStyle w:val="37"/>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项目与华宁县一般管控单元符合性分析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945"/>
              <w:gridCol w:w="3487"/>
              <w:gridCol w:w="2177"/>
              <w:gridCol w:w="922"/>
            </w:tblGrid>
            <w:tr w14:paraId="6CAB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22D25AC">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945" w:type="dxa"/>
                  <w:vAlign w:val="center"/>
                </w:tcPr>
                <w:p w14:paraId="7F300092">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名称</w:t>
                  </w:r>
                </w:p>
              </w:tc>
              <w:tc>
                <w:tcPr>
                  <w:tcW w:w="3487" w:type="dxa"/>
                  <w:vAlign w:val="center"/>
                </w:tcPr>
                <w:p w14:paraId="7A0F2844">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要求</w:t>
                  </w:r>
                </w:p>
              </w:tc>
              <w:tc>
                <w:tcPr>
                  <w:tcW w:w="2177" w:type="dxa"/>
                  <w:vAlign w:val="center"/>
                </w:tcPr>
                <w:p w14:paraId="1A3AEFF2">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本项目情况</w:t>
                  </w:r>
                </w:p>
              </w:tc>
              <w:tc>
                <w:tcPr>
                  <w:tcW w:w="922" w:type="dxa"/>
                  <w:vAlign w:val="center"/>
                </w:tcPr>
                <w:p w14:paraId="3A927643">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符合性</w:t>
                  </w:r>
                </w:p>
              </w:tc>
            </w:tr>
            <w:tr w14:paraId="20C4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722AA183">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945" w:type="dxa"/>
                  <w:vAlign w:val="center"/>
                </w:tcPr>
                <w:p w14:paraId="1E877019">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空间布局约束</w:t>
                  </w:r>
                </w:p>
              </w:tc>
              <w:tc>
                <w:tcPr>
                  <w:tcW w:w="3487" w:type="dxa"/>
                  <w:vAlign w:val="center"/>
                </w:tcPr>
                <w:p w14:paraId="4BDD04D0">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落实生态环境保护基本要求，项目建设和运行应满足产业准入、污染物削减、污染物排放标准等管理规定和国家法律法规要求。</w:t>
                  </w:r>
                </w:p>
              </w:tc>
              <w:tc>
                <w:tcPr>
                  <w:tcW w:w="2177" w:type="dxa"/>
                  <w:vMerge w:val="restart"/>
                  <w:vAlign w:val="center"/>
                </w:tcPr>
                <w:p w14:paraId="260EB520">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本项目不涉及破碎，运营期废气产生环节主要为原料装卸、堆存产生的粉尘，以及物料运输粉尘，通过湿式作用，</w:t>
                  </w:r>
                  <w:r>
                    <w:rPr>
                      <w:rFonts w:hint="eastAsia" w:cs="Times New Roman"/>
                      <w:b w:val="0"/>
                      <w:bCs w:val="0"/>
                      <w:color w:val="auto"/>
                      <w:sz w:val="21"/>
                      <w:szCs w:val="21"/>
                      <w:vertAlign w:val="baseline"/>
                      <w:lang w:val="en-US" w:eastAsia="zh-CN"/>
                    </w:rPr>
                    <w:t>搭建大棚，</w:t>
                  </w:r>
                  <w:r>
                    <w:rPr>
                      <w:rFonts w:hint="eastAsia" w:ascii="Times New Roman" w:hAnsi="Times New Roman" w:cs="Times New Roman"/>
                      <w:b w:val="0"/>
                      <w:bCs w:val="0"/>
                      <w:color w:val="auto"/>
                      <w:sz w:val="21"/>
                      <w:szCs w:val="21"/>
                      <w:vertAlign w:val="baseline"/>
                      <w:lang w:val="en-US" w:eastAsia="zh-CN"/>
                    </w:rPr>
                    <w:t>设置围挡，运输车辆加盖苫布、控制车速、道路洒水抑尘等措施，降低影响</w:t>
                  </w:r>
                  <w:r>
                    <w:rPr>
                      <w:rFonts w:hint="default" w:ascii="Times New Roman" w:hAnsi="Times New Roman" w:cs="Times New Roman"/>
                      <w:b w:val="0"/>
                      <w:bCs w:val="0"/>
                      <w:color w:val="auto"/>
                      <w:sz w:val="21"/>
                      <w:szCs w:val="21"/>
                      <w:vertAlign w:val="baseline"/>
                      <w:lang w:val="en-US" w:eastAsia="zh-CN"/>
                    </w:rPr>
                    <w:t>；生活垃圾运送至</w:t>
                  </w:r>
                  <w:r>
                    <w:rPr>
                      <w:rFonts w:hint="eastAsia" w:cs="Times New Roman"/>
                      <w:b w:val="0"/>
                      <w:bCs w:val="0"/>
                      <w:color w:val="auto"/>
                      <w:sz w:val="21"/>
                      <w:szCs w:val="21"/>
                      <w:vertAlign w:val="baseline"/>
                      <w:lang w:val="en-US" w:eastAsia="zh-CN"/>
                    </w:rPr>
                    <w:t>法果村</w:t>
                  </w:r>
                  <w:r>
                    <w:rPr>
                      <w:rFonts w:hint="default" w:ascii="Times New Roman" w:hAnsi="Times New Roman" w:cs="Times New Roman"/>
                      <w:b w:val="0"/>
                      <w:bCs w:val="0"/>
                      <w:color w:val="auto"/>
                      <w:sz w:val="21"/>
                      <w:szCs w:val="21"/>
                      <w:vertAlign w:val="baseline"/>
                      <w:lang w:val="en-US" w:eastAsia="zh-CN"/>
                    </w:rPr>
                    <w:t>生活垃圾点处置，通过压滤机压滤后形成泥饼（含水率≤40%）外运制砖，</w:t>
                  </w:r>
                  <w:r>
                    <w:rPr>
                      <w:rFonts w:hint="default" w:ascii="Times New Roman" w:hAnsi="Times New Roman" w:cs="Times New Roman"/>
                      <w:b w:val="0"/>
                      <w:bCs w:val="0"/>
                      <w:color w:val="auto"/>
                      <w:sz w:val="21"/>
                      <w:szCs w:val="21"/>
                      <w:highlight w:val="none"/>
                      <w:vertAlign w:val="baseline"/>
                      <w:lang w:val="en-US" w:eastAsia="zh-CN"/>
                    </w:rPr>
                    <w:t>对砖厂消纳不完的泥饼及在砖厂停产期间，泥饼运至珠峰采石场用于露天采空区土地复垦，</w:t>
                  </w:r>
                  <w:r>
                    <w:rPr>
                      <w:rFonts w:hint="default" w:ascii="Times New Roman" w:hAnsi="Times New Roman" w:cs="Times New Roman"/>
                      <w:b w:val="0"/>
                      <w:bCs w:val="0"/>
                      <w:color w:val="auto"/>
                      <w:sz w:val="21"/>
                      <w:szCs w:val="21"/>
                      <w:vertAlign w:val="baseline"/>
                      <w:lang w:val="en-US" w:eastAsia="zh-CN"/>
                    </w:rPr>
                    <w:t>固体废弃物全部妥善处置；生产废水全部循环利用，生活污水</w:t>
                  </w:r>
                  <w:r>
                    <w:rPr>
                      <w:rFonts w:hint="default" w:ascii="Times New Roman" w:hAnsi="Times New Roman" w:cs="Times New Roman"/>
                      <w:color w:val="auto"/>
                      <w:lang w:val="en-US" w:eastAsia="zh-CN"/>
                    </w:rPr>
                    <w:t>排入化粪池中，定期使用吸粪车清</w:t>
                  </w:r>
                  <w:r>
                    <w:rPr>
                      <w:rFonts w:hint="eastAsia" w:cs="Times New Roman"/>
                      <w:color w:val="auto"/>
                      <w:lang w:val="en-US" w:eastAsia="zh-CN"/>
                    </w:rPr>
                    <w:t>运至华宁县污水处理厂处理</w:t>
                  </w:r>
                  <w:r>
                    <w:rPr>
                      <w:rFonts w:hint="default" w:ascii="Times New Roman" w:hAnsi="Times New Roman" w:cs="Times New Roman"/>
                      <w:color w:val="auto"/>
                      <w:lang w:val="en-US" w:eastAsia="zh-CN"/>
                    </w:rPr>
                    <w:t>。项目严格落实生态环境保护基本要求，满足相关管理规定和国家法律法规要求。</w:t>
                  </w:r>
                </w:p>
              </w:tc>
              <w:tc>
                <w:tcPr>
                  <w:tcW w:w="922" w:type="dxa"/>
                  <w:vAlign w:val="center"/>
                </w:tcPr>
                <w:p w14:paraId="21E00C8F">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1366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7358527B">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945" w:type="dxa"/>
                  <w:vAlign w:val="center"/>
                </w:tcPr>
                <w:p w14:paraId="24BE7902">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污染物排放管控</w:t>
                  </w:r>
                </w:p>
              </w:tc>
              <w:tc>
                <w:tcPr>
                  <w:tcW w:w="3487" w:type="dxa"/>
                  <w:vAlign w:val="center"/>
                </w:tcPr>
                <w:p w14:paraId="7C0E18CC">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落实生态环境保护基本要求，项目建设和运行应满足产业准入、污染物削减、污染物排放标准等管理规定和国家法律法规要求</w:t>
                  </w:r>
                  <w:r>
                    <w:rPr>
                      <w:rFonts w:hint="default" w:ascii="Times New Roman" w:hAnsi="Times New Roman" w:eastAsia="宋体" w:cs="Times New Roman"/>
                      <w:b w:val="0"/>
                      <w:bCs w:val="0"/>
                      <w:color w:val="auto"/>
                      <w:sz w:val="21"/>
                      <w:szCs w:val="21"/>
                      <w:lang w:eastAsia="zh-CN"/>
                    </w:rPr>
                    <w:t>。</w:t>
                  </w:r>
                </w:p>
              </w:tc>
              <w:tc>
                <w:tcPr>
                  <w:tcW w:w="2177" w:type="dxa"/>
                  <w:vMerge w:val="continue"/>
                  <w:vAlign w:val="center"/>
                </w:tcPr>
                <w:p w14:paraId="11F4A003">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22" w:type="dxa"/>
                  <w:vAlign w:val="center"/>
                </w:tcPr>
                <w:p w14:paraId="77BB3B3A">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1E9A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14:paraId="3C7C5E03">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945" w:type="dxa"/>
                  <w:vAlign w:val="center"/>
                </w:tcPr>
                <w:p w14:paraId="3062974E">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环境风险管控</w:t>
                  </w:r>
                </w:p>
              </w:tc>
              <w:tc>
                <w:tcPr>
                  <w:tcW w:w="3487" w:type="dxa"/>
                  <w:vAlign w:val="center"/>
                </w:tcPr>
                <w:p w14:paraId="363DCB87">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落实生态环境保护基本要求，项目建设和运行应满足产业准入、污染物削减、污染物排放标准等管理规定和国家法律法规要求。</w:t>
                  </w:r>
                </w:p>
              </w:tc>
              <w:tc>
                <w:tcPr>
                  <w:tcW w:w="2177" w:type="dxa"/>
                  <w:vMerge w:val="continue"/>
                  <w:vAlign w:val="center"/>
                </w:tcPr>
                <w:p w14:paraId="0D56D79A">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22" w:type="dxa"/>
                  <w:vAlign w:val="center"/>
                </w:tcPr>
                <w:p w14:paraId="10C3B66B">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2E77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69EEF09">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945" w:type="dxa"/>
                  <w:vAlign w:val="center"/>
                </w:tcPr>
                <w:p w14:paraId="75E2AAC9">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资源开发效率要求</w:t>
                  </w:r>
                </w:p>
              </w:tc>
              <w:tc>
                <w:tcPr>
                  <w:tcW w:w="3487" w:type="dxa"/>
                  <w:vAlign w:val="center"/>
                </w:tcPr>
                <w:p w14:paraId="52E2783A">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落实生态环境保护基本要求，项目建设和运行应满足产业准入、污染物削减、污染物排放标准等管理规定和国家法律法规要求。</w:t>
                  </w:r>
                </w:p>
              </w:tc>
              <w:tc>
                <w:tcPr>
                  <w:tcW w:w="2177" w:type="dxa"/>
                  <w:vMerge w:val="continue"/>
                  <w:vAlign w:val="center"/>
                </w:tcPr>
                <w:p w14:paraId="389E64A4">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22" w:type="dxa"/>
                  <w:vAlign w:val="center"/>
                </w:tcPr>
                <w:p w14:paraId="3AB92DDF">
                  <w:pPr>
                    <w:pStyle w:val="37"/>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bl>
          <w:p w14:paraId="456DEF74">
            <w:pPr>
              <w:pStyle w:val="6"/>
              <w:rPr>
                <w:color w:val="auto"/>
              </w:rPr>
            </w:pPr>
            <w:r>
              <w:rPr>
                <w:rFonts w:hint="eastAsia"/>
                <w:color w:val="auto"/>
              </w:rPr>
              <w:t>本项目建设符合《玉溪市生态环境局关于印发玉溪市生态环境分区管控动态更新调整方案（2023 年）的通知》（玉市环〔2024〕40号）相关要求。</w:t>
            </w:r>
          </w:p>
          <w:p w14:paraId="2CAC19DC">
            <w:pPr>
              <w:pStyle w:val="37"/>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3与《市场准入负面清单（2025年版）》符合性分析</w:t>
            </w:r>
          </w:p>
          <w:p w14:paraId="2AEDB1AD">
            <w:pPr>
              <w:pStyle w:val="37"/>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表1-</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项目与《市场准入负面清单（2025年版）》的符合性分析对照表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4156"/>
              <w:gridCol w:w="2485"/>
              <w:gridCol w:w="1019"/>
            </w:tblGrid>
            <w:tr w14:paraId="5C26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2F360258">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序号</w:t>
                  </w:r>
                </w:p>
              </w:tc>
              <w:tc>
                <w:tcPr>
                  <w:tcW w:w="2539" w:type="pct"/>
                  <w:vAlign w:val="center"/>
                </w:tcPr>
                <w:p w14:paraId="033B8088">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相关要求</w:t>
                  </w:r>
                </w:p>
              </w:tc>
              <w:tc>
                <w:tcPr>
                  <w:tcW w:w="1518" w:type="pct"/>
                  <w:vAlign w:val="center"/>
                </w:tcPr>
                <w:p w14:paraId="486AC356">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本项目情况</w:t>
                  </w:r>
                </w:p>
              </w:tc>
              <w:tc>
                <w:tcPr>
                  <w:tcW w:w="622" w:type="pct"/>
                  <w:vAlign w:val="center"/>
                </w:tcPr>
                <w:p w14:paraId="22A5F0D6">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符合性判定</w:t>
                  </w:r>
                </w:p>
              </w:tc>
            </w:tr>
            <w:tr w14:paraId="40AC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202C8561">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2539" w:type="pct"/>
                  <w:vAlign w:val="center"/>
                </w:tcPr>
                <w:p w14:paraId="233A49A6">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市场准入负面清单分为禁止和许可两类事项。对禁止准入事项，经营主体不得进入，政府依法不予审批、核准，不予办理有关手续；对许可准入事项，地方各级政府要公开法律法规依据、技术标准、许可要求、办理流程、办理时限，制定市场准入服务规程，由经营主体按照规定的条件和方式合规进入；对市场准入负面清单以外的行业、领域、业务等，各类经营主体皆可依法平等进入。对未实施市场禁入或许可准入但按照备案管理的事项，不得以备案名义变相设立许可。</w:t>
                  </w:r>
                </w:p>
              </w:tc>
              <w:tc>
                <w:tcPr>
                  <w:tcW w:w="1518" w:type="pct"/>
                  <w:vAlign w:val="center"/>
                </w:tcPr>
                <w:p w14:paraId="5042134D">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本项目取得了华宁县发展和改革委员会出具的云南省投资备案证，详见附件1；根据《市场准入负面清单》（2025年版）本项目不属于禁止类项目，属于许可类项目。</w:t>
                  </w:r>
                </w:p>
              </w:tc>
              <w:tc>
                <w:tcPr>
                  <w:tcW w:w="622" w:type="pct"/>
                  <w:vAlign w:val="center"/>
                </w:tcPr>
                <w:p w14:paraId="638477DF">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46CD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3DFEFBA4">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p>
              </w:tc>
              <w:tc>
                <w:tcPr>
                  <w:tcW w:w="2539" w:type="pct"/>
                  <w:vAlign w:val="center"/>
                </w:tcPr>
                <w:p w14:paraId="1FA004D0">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市场准入负面清单依法列出中华人民共和国境内禁止或经政府许可方可投资经营的行业、领域、业务等。针对所有组织和个人普遍采取的管理措施，针对非投资经营活动的管理措施、准入后管理措施、备案类管理措施、职业资格类管理措施，只针对境外经营主体的管理措施，以及针对生态保护红线、自然保护地、饮用水水源保护区等特定地理区域、空间的管理措施等不列入市场准入负面清单，从其相关规定。</w:t>
                  </w:r>
                </w:p>
              </w:tc>
              <w:tc>
                <w:tcPr>
                  <w:tcW w:w="1518" w:type="pct"/>
                  <w:vAlign w:val="center"/>
                </w:tcPr>
                <w:p w14:paraId="6B14A549">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本项目不属于市场准入负面清单依法列出中华人民共和国境内禁止或经政府许可方可投资经营的行业、领域、业务等。</w:t>
                  </w:r>
                </w:p>
              </w:tc>
              <w:tc>
                <w:tcPr>
                  <w:tcW w:w="622" w:type="pct"/>
                  <w:vAlign w:val="center"/>
                </w:tcPr>
                <w:p w14:paraId="5391E64B">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481C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50F24BC3">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w:t>
                  </w:r>
                </w:p>
              </w:tc>
              <w:tc>
                <w:tcPr>
                  <w:tcW w:w="2539" w:type="pct"/>
                  <w:vAlign w:val="center"/>
                </w:tcPr>
                <w:p w14:paraId="00507EC0">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列入清单的市场准入管理措施，由法律、行政法规、国务院决定或地方性法规设定，省级人民政府规章可设定临时性市场准入管理措施。全国人大及其常委会或国务院根据需要，依法授权在特定范围调整或暂停实施市场准入管理措施的，从其规定。清单实施中，因防范经济运行突发重大风险等特殊原因，经党中央、国务院同意，有关部门可采取临时性市场准入管理措施。为保护公共道德，维护公共利益，有关部门依法履行对文化领域和与文化相关新产业的市场准入政策调整和规制的责任。</w:t>
                  </w:r>
                </w:p>
              </w:tc>
              <w:tc>
                <w:tcPr>
                  <w:tcW w:w="1518" w:type="pct"/>
                  <w:vAlign w:val="center"/>
                </w:tcPr>
                <w:p w14:paraId="60C3B5E4">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根据《市场准入负面清单》（2025年版）本项目不属于禁止类项目，属于许可类项目。</w:t>
                  </w:r>
                </w:p>
              </w:tc>
              <w:tc>
                <w:tcPr>
                  <w:tcW w:w="622" w:type="pct"/>
                  <w:vAlign w:val="center"/>
                </w:tcPr>
                <w:p w14:paraId="0C10021D">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6423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7773128A">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w:t>
                  </w:r>
                </w:p>
              </w:tc>
              <w:tc>
                <w:tcPr>
                  <w:tcW w:w="2539" w:type="pct"/>
                  <w:vAlign w:val="center"/>
                </w:tcPr>
                <w:p w14:paraId="242B8D04">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各类按要求编制的全国层面准入类清单目录，全部纳入市场准入负面清单管理。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上述清单目录修订中，涉及增设市场准入管理措施或增设准入条件的，应报国务院同意。各地区、各部门不得另行制定市场准入性质的负面清单。</w:t>
                  </w:r>
                </w:p>
              </w:tc>
              <w:tc>
                <w:tcPr>
                  <w:tcW w:w="1518" w:type="pct"/>
                  <w:vAlign w:val="center"/>
                </w:tcPr>
                <w:p w14:paraId="2EFD5A79">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根据《市场准入负面清单》（2025年版）本项目不属于禁止类项目，属于许可类项目。</w:t>
                  </w:r>
                </w:p>
              </w:tc>
              <w:tc>
                <w:tcPr>
                  <w:tcW w:w="622" w:type="pct"/>
                  <w:vAlign w:val="center"/>
                </w:tcPr>
                <w:p w14:paraId="74CA2983">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267D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7256B347">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w:t>
                  </w:r>
                </w:p>
              </w:tc>
              <w:tc>
                <w:tcPr>
                  <w:tcW w:w="2539" w:type="pct"/>
                  <w:vAlign w:val="center"/>
                </w:tcPr>
                <w:p w14:paraId="2997EBF6">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境内外经营主体统一适用市场准入负面清单的各项规定，境外投资者还需适用《外商投资准入特别管理措施（负面清单）》的有关规定；境外服务提供者以跨境形式提供服务的，还需适用《跨境服务贸易特别管理措施（负面清单）》的有关规定。我国参加的国际公约、与其他国家签署的双多边条约、与港澳台地区达成的相关安排等另有规定的，按照相关规定执行。涉及跨界（境）河流水资源配置调整的重大水利项目和水电站、跨境电网工程、跨境输气管网等跨境事项，以及涉界河工程、涉外海洋科考，征求外事部门意见。</w:t>
                  </w:r>
                </w:p>
              </w:tc>
              <w:tc>
                <w:tcPr>
                  <w:tcW w:w="1518" w:type="pct"/>
                  <w:vAlign w:val="center"/>
                </w:tcPr>
                <w:p w14:paraId="297FC4C4">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本项目位于云南省华宁县宁州街道法果村，不属于境外工程。</w:t>
                  </w:r>
                </w:p>
              </w:tc>
              <w:tc>
                <w:tcPr>
                  <w:tcW w:w="622" w:type="pct"/>
                  <w:vAlign w:val="center"/>
                </w:tcPr>
                <w:p w14:paraId="6AEAA5EC">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3344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6C4B854C">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w:t>
                  </w:r>
                </w:p>
              </w:tc>
              <w:tc>
                <w:tcPr>
                  <w:tcW w:w="2539" w:type="pct"/>
                  <w:vAlign w:val="center"/>
                </w:tcPr>
                <w:p w14:paraId="5E4C831D">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市场准入负面清单实施中，要统筹衔接“证”“照”管理，统一各类经营主体登记，推动经营主体经营范围登记与市场准入负面清单管理措施、涉企经营许可事项管理相衔接，强化涉企信息归集共享，建立服务经营主体生产经营全流程的机制安排，不断提高企业办事便利度和可预期性。</w:t>
                  </w:r>
                </w:p>
              </w:tc>
              <w:tc>
                <w:tcPr>
                  <w:tcW w:w="1518" w:type="pct"/>
                  <w:vAlign w:val="center"/>
                </w:tcPr>
                <w:p w14:paraId="74EEFCE6">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根据《市场准入负面清单》（2025年版）本项目不属于禁止类项目，属于许可类项目。</w:t>
                  </w:r>
                </w:p>
              </w:tc>
              <w:tc>
                <w:tcPr>
                  <w:tcW w:w="622" w:type="pct"/>
                  <w:vAlign w:val="center"/>
                </w:tcPr>
                <w:p w14:paraId="272A754C">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0095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35383D6A">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w:t>
                  </w:r>
                </w:p>
              </w:tc>
              <w:tc>
                <w:tcPr>
                  <w:tcW w:w="2539" w:type="pct"/>
                  <w:vAlign w:val="center"/>
                </w:tcPr>
                <w:p w14:paraId="2F7BB081">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经营主体以告知承诺方式获得许可但未履行信用承诺的，撤销原发放许可，将其履约践诺情况全面纳入信用记录并共享相关信息，依法依规开展失信惩戒。对拒不履行司法裁判或行政处罚决定、屡犯不改、造成重大损失的经营主体及其相关责任人，依法依规在一定期限内实施市场和行业禁入措施。</w:t>
                  </w:r>
                </w:p>
              </w:tc>
              <w:tc>
                <w:tcPr>
                  <w:tcW w:w="1518" w:type="pct"/>
                  <w:vAlign w:val="center"/>
                </w:tcPr>
                <w:p w14:paraId="1CB67273">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lang w:val="en-US" w:eastAsia="zh-CN"/>
                    </w:rPr>
                    <w:t>本项目不属于</w:t>
                  </w:r>
                  <w:r>
                    <w:rPr>
                      <w:rFonts w:hint="default" w:ascii="Times New Roman" w:hAnsi="Times New Roman" w:cs="Times New Roman"/>
                      <w:b w:val="0"/>
                      <w:bCs w:val="0"/>
                      <w:color w:val="auto"/>
                      <w:sz w:val="21"/>
                      <w:szCs w:val="21"/>
                      <w:vertAlign w:val="baseline"/>
                      <w:lang w:val="en-US" w:eastAsia="zh-CN"/>
                    </w:rPr>
                    <w:t>经营主体以告知承诺方式获得许可但未履行信用承诺的情况。</w:t>
                  </w:r>
                </w:p>
              </w:tc>
              <w:tc>
                <w:tcPr>
                  <w:tcW w:w="622" w:type="pct"/>
                  <w:vAlign w:val="center"/>
                </w:tcPr>
                <w:p w14:paraId="537833C5">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bl>
          <w:p w14:paraId="0388E294">
            <w:pPr>
              <w:pStyle w:val="3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与国家发改委等15个部门和单位《关于印发＜关于促进砂石行业健康有序发展的指导意见＞的通知》（发改价格〔2020〕473号）符合性分析</w:t>
            </w:r>
          </w:p>
          <w:p w14:paraId="6818CB1A">
            <w:pPr>
              <w:pStyle w:val="35"/>
              <w:rPr>
                <w:rFonts w:hint="default" w:ascii="Times New Roman" w:hAnsi="Times New Roman" w:cs="Times New Roman"/>
                <w:color w:val="auto"/>
              </w:rPr>
            </w:pPr>
            <w:r>
              <w:rPr>
                <w:rFonts w:hint="default" w:ascii="Times New Roman" w:hAnsi="Times New Roman" w:cs="Times New Roman"/>
                <w:color w:val="auto"/>
              </w:rPr>
              <w:t>表1-</w:t>
            </w:r>
            <w:r>
              <w:rPr>
                <w:rFonts w:hint="eastAsia" w:cs="Times New Roman"/>
                <w:color w:val="auto"/>
                <w:lang w:val="en-US" w:eastAsia="zh-CN"/>
              </w:rPr>
              <w:t>5</w:t>
            </w:r>
            <w:r>
              <w:rPr>
                <w:rFonts w:hint="default" w:ascii="Times New Roman" w:hAnsi="Times New Roman" w:cs="Times New Roman"/>
                <w:color w:val="auto"/>
              </w:rPr>
              <w:t>项目与发改价格〔2020〕473号文（摘录）的符合性分析对照表</w:t>
            </w:r>
          </w:p>
          <w:tbl>
            <w:tblPr>
              <w:tblStyle w:val="1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3868"/>
              <w:gridCol w:w="2181"/>
              <w:gridCol w:w="785"/>
            </w:tblGrid>
            <w:tr w14:paraId="3742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553E48D2">
                  <w:pPr>
                    <w:pStyle w:val="42"/>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内容</w:t>
                  </w:r>
                </w:p>
              </w:tc>
              <w:tc>
                <w:tcPr>
                  <w:tcW w:w="2364" w:type="pct"/>
                  <w:vAlign w:val="center"/>
                </w:tcPr>
                <w:p w14:paraId="6E20BC44">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发改价格〔2020〕473号文件要求</w:t>
                  </w:r>
                </w:p>
              </w:tc>
              <w:tc>
                <w:tcPr>
                  <w:tcW w:w="1333" w:type="pct"/>
                  <w:vAlign w:val="center"/>
                </w:tcPr>
                <w:p w14:paraId="512375CB">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480" w:type="pct"/>
                  <w:vAlign w:val="center"/>
                </w:tcPr>
                <w:p w14:paraId="31ECA63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符合性判定</w:t>
                  </w:r>
                </w:p>
              </w:tc>
            </w:tr>
            <w:tr w14:paraId="2DAA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753C7BA6">
                  <w:pPr>
                    <w:pStyle w:val="42"/>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一</w:t>
                  </w:r>
                  <w:r>
                    <w:rPr>
                      <w:rFonts w:hint="default" w:ascii="Times New Roman" w:hAnsi="Times New Roman" w:eastAsia="宋体" w:cs="Times New Roman"/>
                      <w:color w:val="auto"/>
                      <w:sz w:val="21"/>
                      <w:szCs w:val="21"/>
                    </w:rPr>
                    <w:t>、推动机制砂石产业高质量发展</w:t>
                  </w:r>
                </w:p>
              </w:tc>
              <w:tc>
                <w:tcPr>
                  <w:tcW w:w="2364" w:type="pct"/>
                  <w:vAlign w:val="center"/>
                </w:tcPr>
                <w:p w14:paraId="31DF3531">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包括大力发展和推广应用机制砂石，优化机制砂石开发布局，加快形成机制砂石优质产能，降低运输成本。</w:t>
                  </w:r>
                </w:p>
              </w:tc>
              <w:tc>
                <w:tcPr>
                  <w:tcW w:w="1333" w:type="pct"/>
                  <w:vAlign w:val="center"/>
                </w:tcPr>
                <w:p w14:paraId="211C8033">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本项目砂石骨料原料</w:t>
                  </w:r>
                  <w:r>
                    <w:rPr>
                      <w:rFonts w:hint="default" w:ascii="Times New Roman" w:hAnsi="Times New Roman" w:cs="Times New Roman"/>
                      <w:color w:val="auto"/>
                      <w:sz w:val="21"/>
                      <w:szCs w:val="21"/>
                      <w:lang w:val="en-US" w:eastAsia="zh-CN"/>
                    </w:rPr>
                    <w:t>通过原有乡村道路使用车辆运输至物料堆存大棚，</w:t>
                  </w:r>
                  <w:r>
                    <w:rPr>
                      <w:rFonts w:hint="eastAsia" w:ascii="Times New Roman" w:hAnsi="Times New Roman" w:cs="Times New Roman"/>
                      <w:color w:val="auto"/>
                      <w:sz w:val="21"/>
                      <w:szCs w:val="21"/>
                      <w:lang w:val="en-US" w:eastAsia="zh-CN"/>
                    </w:rPr>
                    <w:t>供</w:t>
                  </w:r>
                  <w:r>
                    <w:rPr>
                      <w:rFonts w:hint="default" w:ascii="Times New Roman" w:hAnsi="Times New Roman" w:cs="Times New Roman"/>
                      <w:color w:val="auto"/>
                      <w:sz w:val="21"/>
                      <w:szCs w:val="21"/>
                      <w:lang w:val="en-US" w:eastAsia="zh-CN"/>
                    </w:rPr>
                    <w:t>生产使用，未修建道路，</w:t>
                  </w:r>
                  <w:r>
                    <w:rPr>
                      <w:rFonts w:hint="default" w:ascii="Times New Roman" w:hAnsi="Times New Roman" w:eastAsia="宋体" w:cs="Times New Roman"/>
                      <w:color w:val="auto"/>
                      <w:sz w:val="21"/>
                      <w:szCs w:val="21"/>
                    </w:rPr>
                    <w:t>降低了运输成本</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同时，项目通过水洗提高产品质量</w:t>
                  </w:r>
                  <w:r>
                    <w:rPr>
                      <w:rFonts w:hint="default" w:ascii="Times New Roman" w:hAnsi="Times New Roman" w:eastAsia="宋体" w:cs="Times New Roman"/>
                      <w:color w:val="auto"/>
                      <w:sz w:val="21"/>
                      <w:szCs w:val="21"/>
                    </w:rPr>
                    <w:t>。</w:t>
                  </w:r>
                </w:p>
              </w:tc>
              <w:tc>
                <w:tcPr>
                  <w:tcW w:w="480" w:type="pct"/>
                  <w:vAlign w:val="center"/>
                </w:tcPr>
                <w:p w14:paraId="19A35C68">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994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3413CC64">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二、加强河道采砂综合整治与利用。</w:t>
                  </w:r>
                </w:p>
              </w:tc>
              <w:tc>
                <w:tcPr>
                  <w:tcW w:w="2364" w:type="pct"/>
                  <w:vAlign w:val="center"/>
                </w:tcPr>
                <w:p w14:paraId="4D217C6B">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包括加强非法采砂综合治理，合理开发利用河道砂石资源，加大河道航道疏浚砂利用，探索推进三峡库区等淤积砂开采利用。</w:t>
                  </w:r>
                </w:p>
              </w:tc>
              <w:tc>
                <w:tcPr>
                  <w:tcW w:w="1333" w:type="pct"/>
                  <w:vAlign w:val="center"/>
                </w:tcPr>
                <w:p w14:paraId="05DD5599">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不项目不属于河道采砂工程</w:t>
                  </w:r>
                  <w:r>
                    <w:rPr>
                      <w:rFonts w:hint="eastAsia" w:cs="Times New Roman"/>
                      <w:color w:val="auto"/>
                      <w:sz w:val="21"/>
                      <w:szCs w:val="21"/>
                      <w:lang w:val="en-US" w:eastAsia="zh-CN"/>
                    </w:rPr>
                    <w:t>。</w:t>
                  </w:r>
                </w:p>
              </w:tc>
              <w:tc>
                <w:tcPr>
                  <w:tcW w:w="480" w:type="pct"/>
                  <w:vAlign w:val="center"/>
                </w:tcPr>
                <w:p w14:paraId="0390BD5F">
                  <w:pPr>
                    <w:pStyle w:val="42"/>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0A14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12697EB2">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三、逐步有序推进海砂开采利用。</w:t>
                  </w:r>
                </w:p>
              </w:tc>
              <w:tc>
                <w:tcPr>
                  <w:tcW w:w="2364" w:type="pct"/>
                  <w:vAlign w:val="center"/>
                </w:tcPr>
                <w:p w14:paraId="34621919">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包括合理开采海砂资源，建立完善海砂开采管理长效机制；严格规范海砂使用，严格执行海砂使用标准。</w:t>
                  </w:r>
                </w:p>
              </w:tc>
              <w:tc>
                <w:tcPr>
                  <w:tcW w:w="1333" w:type="pct"/>
                  <w:vAlign w:val="center"/>
                </w:tcPr>
                <w:p w14:paraId="12128E36">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本项目不属于开采海砂项目</w:t>
                  </w:r>
                  <w:r>
                    <w:rPr>
                      <w:rFonts w:hint="eastAsia" w:cs="Times New Roman"/>
                      <w:color w:val="auto"/>
                      <w:sz w:val="21"/>
                      <w:szCs w:val="21"/>
                      <w:lang w:val="en-US" w:eastAsia="zh-CN"/>
                    </w:rPr>
                    <w:t>。</w:t>
                  </w:r>
                </w:p>
              </w:tc>
              <w:tc>
                <w:tcPr>
                  <w:tcW w:w="480" w:type="pct"/>
                  <w:vAlign w:val="center"/>
                </w:tcPr>
                <w:p w14:paraId="6DF21137">
                  <w:pPr>
                    <w:pStyle w:val="42"/>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440D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4B3520E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四、积极推进砂源替代利用。</w:t>
                  </w:r>
                </w:p>
              </w:tc>
              <w:tc>
                <w:tcPr>
                  <w:tcW w:w="2364" w:type="pct"/>
                  <w:vAlign w:val="center"/>
                </w:tcPr>
                <w:p w14:paraId="7C7AFAE3">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包括支持废石尾矿综合利用，鼓励利用固废资源制造再生砂石，推动工程施工采挖砂石统筹利用，积极推广钢结构装配式建筑。</w:t>
                  </w:r>
                </w:p>
              </w:tc>
              <w:tc>
                <w:tcPr>
                  <w:tcW w:w="1333" w:type="pct"/>
                  <w:vAlign w:val="center"/>
                </w:tcPr>
                <w:p w14:paraId="12D5AC16">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本项目属于尾矿处理利用项目</w:t>
                  </w:r>
                  <w:r>
                    <w:rPr>
                      <w:rFonts w:hint="eastAsia" w:cs="Times New Roman"/>
                      <w:color w:val="auto"/>
                      <w:sz w:val="21"/>
                      <w:szCs w:val="21"/>
                      <w:lang w:val="en-US" w:eastAsia="zh-CN"/>
                    </w:rPr>
                    <w:t>。</w:t>
                  </w:r>
                </w:p>
              </w:tc>
              <w:tc>
                <w:tcPr>
                  <w:tcW w:w="480" w:type="pct"/>
                  <w:vAlign w:val="center"/>
                </w:tcPr>
                <w:p w14:paraId="71D2848A">
                  <w:pPr>
                    <w:pStyle w:val="42"/>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6302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7B0A2B35">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五、压实地方责任</w:t>
                  </w:r>
                </w:p>
              </w:tc>
              <w:tc>
                <w:tcPr>
                  <w:tcW w:w="2364" w:type="pct"/>
                  <w:vAlign w:val="center"/>
                </w:tcPr>
                <w:p w14:paraId="631F9FF6">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rPr>
                    <w:t>要进一步压实地方主体责任，建立健全工作机制，密切关注砂石市场形势，统筹做好促生产、保供应、稳价格、强监管等工作，保障工程建设和民生需要。</w:t>
                  </w:r>
                </w:p>
              </w:tc>
              <w:tc>
                <w:tcPr>
                  <w:tcW w:w="1333" w:type="pct"/>
                  <w:vAlign w:val="center"/>
                </w:tcPr>
                <w:p w14:paraId="144216B1">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生产运营将严格履行地方相关要求。</w:t>
                  </w:r>
                </w:p>
              </w:tc>
              <w:tc>
                <w:tcPr>
                  <w:tcW w:w="480" w:type="pct"/>
                  <w:vAlign w:val="center"/>
                </w:tcPr>
                <w:p w14:paraId="18CE0D35">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73EB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7DCB6149">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六</w:t>
                  </w:r>
                  <w:r>
                    <w:rPr>
                      <w:rFonts w:hint="default" w:ascii="Times New Roman" w:hAnsi="Times New Roman" w:eastAsia="宋体" w:cs="Times New Roman"/>
                      <w:color w:val="auto"/>
                      <w:sz w:val="21"/>
                      <w:szCs w:val="21"/>
                    </w:rPr>
                    <w:t>、进一步加强市场监管</w:t>
                  </w:r>
                </w:p>
              </w:tc>
              <w:tc>
                <w:tcPr>
                  <w:tcW w:w="2364" w:type="pct"/>
                  <w:vAlign w:val="center"/>
                </w:tcPr>
                <w:p w14:paraId="25AAB0F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i w:val="0"/>
                      <w:iCs w:val="0"/>
                      <w:caps w:val="0"/>
                      <w:color w:val="auto"/>
                      <w:spacing w:val="0"/>
                      <w:sz w:val="21"/>
                      <w:szCs w:val="21"/>
                      <w:lang w:eastAsia="zh-CN"/>
                    </w:rPr>
                  </w:pPr>
                  <w:r>
                    <w:rPr>
                      <w:rFonts w:hint="default" w:ascii="Times New Roman" w:hAnsi="Times New Roman" w:eastAsia="宋体" w:cs="Times New Roman"/>
                      <w:color w:val="auto"/>
                      <w:sz w:val="21"/>
                      <w:szCs w:val="21"/>
                    </w:rPr>
                    <w:t>严厉查处违法违规行为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规范市场秩序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加强进出口管理。</w:t>
                  </w:r>
                </w:p>
              </w:tc>
              <w:tc>
                <w:tcPr>
                  <w:tcW w:w="1333" w:type="pct"/>
                  <w:vAlign w:val="center"/>
                </w:tcPr>
                <w:p w14:paraId="05C8AD99">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生产运营将加强管理，禁止出现违法违规行为，遵守相关市场秩序</w:t>
                  </w:r>
                  <w:r>
                    <w:rPr>
                      <w:rFonts w:hint="default" w:ascii="Times New Roman" w:hAnsi="Times New Roman" w:cs="Times New Roman"/>
                      <w:color w:val="auto"/>
                      <w:sz w:val="21"/>
                      <w:szCs w:val="21"/>
                      <w:lang w:val="en-US" w:eastAsia="zh-CN"/>
                    </w:rPr>
                    <w:t>。</w:t>
                  </w:r>
                </w:p>
              </w:tc>
              <w:tc>
                <w:tcPr>
                  <w:tcW w:w="480" w:type="pct"/>
                  <w:vAlign w:val="center"/>
                </w:tcPr>
                <w:p w14:paraId="4B43F579">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16203810">
            <w:pPr>
              <w:ind w:firstLine="480"/>
              <w:rPr>
                <w:rFonts w:hint="default" w:ascii="Times New Roman" w:hAnsi="Times New Roman" w:cs="Times New Roman"/>
                <w:color w:val="auto"/>
              </w:rPr>
            </w:pPr>
            <w:r>
              <w:rPr>
                <w:rFonts w:hint="default" w:ascii="Times New Roman" w:hAnsi="Times New Roman" w:cs="Times New Roman"/>
                <w:color w:val="auto"/>
              </w:rPr>
              <w:t>综上，本项目与《关于促进砂石行业健康有序发展的指导意见》的通知（发改价格〔2020〕473号）的相关规定相符合。</w:t>
            </w:r>
          </w:p>
          <w:p w14:paraId="62AEF552">
            <w:pPr>
              <w:pStyle w:val="37"/>
              <w:rPr>
                <w:rStyle w:val="39"/>
                <w:rFonts w:hint="default" w:ascii="Times New Roman" w:hAnsi="Times New Roman" w:cs="Times New Roman"/>
                <w:b/>
                <w:bCs/>
                <w:color w:val="auto"/>
              </w:rPr>
            </w:pPr>
            <w:r>
              <w:rPr>
                <w:rStyle w:val="39"/>
                <w:rFonts w:hint="default" w:ascii="Times New Roman" w:hAnsi="Times New Roman" w:cs="Times New Roman"/>
                <w:b/>
                <w:bCs/>
                <w:color w:val="auto"/>
                <w:lang w:val="en-US" w:eastAsia="zh-CN"/>
              </w:rPr>
              <w:t>5</w:t>
            </w:r>
            <w:r>
              <w:rPr>
                <w:rStyle w:val="39"/>
                <w:rFonts w:hint="default" w:ascii="Times New Roman" w:hAnsi="Times New Roman" w:cs="Times New Roman"/>
                <w:b/>
                <w:bCs/>
                <w:color w:val="auto"/>
              </w:rPr>
              <w:t>与推动长江经济带发展领导小组办公室《关于印发＜长江经济带发展负面清单指南＞（试行，2022年版）的通知》符合性分析</w:t>
            </w:r>
          </w:p>
          <w:p w14:paraId="7869A5DA">
            <w:pPr>
              <w:pStyle w:val="35"/>
              <w:rPr>
                <w:rFonts w:hint="default" w:ascii="Times New Roman" w:hAnsi="Times New Roman" w:cs="Times New Roman"/>
                <w:color w:val="auto"/>
              </w:rPr>
            </w:pPr>
            <w:r>
              <w:rPr>
                <w:rFonts w:hint="default" w:ascii="Times New Roman" w:hAnsi="Times New Roman" w:cs="Times New Roman"/>
                <w:color w:val="auto"/>
              </w:rPr>
              <w:t>表1-</w:t>
            </w:r>
            <w:r>
              <w:rPr>
                <w:rFonts w:hint="eastAsia" w:cs="Times New Roman"/>
                <w:color w:val="auto"/>
                <w:lang w:val="en-US" w:eastAsia="zh-CN"/>
              </w:rPr>
              <w:t>6</w:t>
            </w:r>
            <w:r>
              <w:rPr>
                <w:rFonts w:hint="default" w:ascii="Times New Roman" w:hAnsi="Times New Roman" w:cs="Times New Roman"/>
                <w:color w:val="auto"/>
              </w:rPr>
              <w:t>项目与《长江经济带发展负面清单指南》通知的符合性分析对照表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4578"/>
              <w:gridCol w:w="2182"/>
              <w:gridCol w:w="786"/>
            </w:tblGrid>
            <w:tr w14:paraId="005D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26A516AC">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797" w:type="pct"/>
                  <w:vAlign w:val="center"/>
                </w:tcPr>
                <w:p w14:paraId="3FAB6FCF">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长江经济带发展负面清单指南要求</w:t>
                  </w:r>
                </w:p>
              </w:tc>
              <w:tc>
                <w:tcPr>
                  <w:tcW w:w="1333" w:type="pct"/>
                  <w:vAlign w:val="center"/>
                </w:tcPr>
                <w:p w14:paraId="6DB8D330">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480" w:type="pct"/>
                  <w:vAlign w:val="center"/>
                </w:tcPr>
                <w:p w14:paraId="02920A7B">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符合性判定</w:t>
                  </w:r>
                </w:p>
              </w:tc>
            </w:tr>
            <w:tr w14:paraId="3828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279E4642">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797" w:type="pct"/>
                  <w:vAlign w:val="center"/>
                </w:tcPr>
                <w:p w14:paraId="79FBAC85">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禁止建设不符合全国和省级港口布局规划以及港口总体规划的码头项目，禁止建设不符合《长江干线过江通道布局规划》的过长江通道项目。</w:t>
                  </w:r>
                </w:p>
              </w:tc>
              <w:tc>
                <w:tcPr>
                  <w:tcW w:w="1333" w:type="pct"/>
                  <w:vAlign w:val="center"/>
                </w:tcPr>
                <w:p w14:paraId="1484925D">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本项目不涉及港口码头。</w:t>
                  </w:r>
                </w:p>
              </w:tc>
              <w:tc>
                <w:tcPr>
                  <w:tcW w:w="480" w:type="pct"/>
                  <w:vAlign w:val="center"/>
                </w:tcPr>
                <w:p w14:paraId="7507A6E5">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6876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64B31378">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797" w:type="pct"/>
                  <w:vAlign w:val="center"/>
                </w:tcPr>
                <w:p w14:paraId="6231E994">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333" w:type="pct"/>
                  <w:vAlign w:val="center"/>
                </w:tcPr>
                <w:p w14:paraId="4397628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本项目位于华宁县宁州街道法果村，根据华宁县自然资源局查询意见，本项目不涉及自然保护区和风景名胜区，未涉及岸线和河段</w:t>
                  </w:r>
                  <w:r>
                    <w:rPr>
                      <w:rFonts w:hint="eastAsia" w:ascii="Times New Roman" w:hAnsi="Times New Roman" w:cs="Times New Roman"/>
                      <w:color w:val="auto"/>
                      <w:sz w:val="21"/>
                      <w:szCs w:val="21"/>
                      <w:lang w:val="en-US" w:eastAsia="zh-CN"/>
                    </w:rPr>
                    <w:t>等特殊敏感区</w:t>
                  </w:r>
                  <w:r>
                    <w:rPr>
                      <w:rFonts w:hint="default" w:ascii="Times New Roman" w:hAnsi="Times New Roman" w:cs="Times New Roman"/>
                      <w:color w:val="auto"/>
                      <w:sz w:val="21"/>
                      <w:szCs w:val="21"/>
                      <w:lang w:val="en-US" w:eastAsia="zh-CN"/>
                    </w:rPr>
                    <w:t>。</w:t>
                  </w:r>
                </w:p>
              </w:tc>
              <w:tc>
                <w:tcPr>
                  <w:tcW w:w="480" w:type="pct"/>
                  <w:vAlign w:val="center"/>
                </w:tcPr>
                <w:p w14:paraId="68E9A6F9">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63F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1FB71A9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797" w:type="pct"/>
                  <w:vAlign w:val="center"/>
                </w:tcPr>
                <w:p w14:paraId="36024607">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饮用水水源一级保护区的岸线和河段范围内新建、改建、扩建与供水设施和保护水源无关的项目，以及网箱养殖、畜禽养殖、旅游等可能污染饮用水水体的投资建设项目。禁止在饮用水源二级保护区的岸线和河段范围内新建、改建、扩建排放污染物的投资建设项目。</w:t>
                  </w:r>
                </w:p>
              </w:tc>
              <w:tc>
                <w:tcPr>
                  <w:tcW w:w="1333" w:type="pct"/>
                  <w:vAlign w:val="center"/>
                </w:tcPr>
                <w:p w14:paraId="1F02CCB5">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本项目未涉及饮用水水源</w:t>
                  </w:r>
                  <w:r>
                    <w:rPr>
                      <w:rFonts w:hint="eastAsia" w:ascii="Times New Roman" w:hAnsi="Times New Roman" w:cs="Times New Roman"/>
                      <w:color w:val="auto"/>
                      <w:sz w:val="21"/>
                      <w:szCs w:val="21"/>
                      <w:lang w:val="en-US" w:eastAsia="zh-CN"/>
                    </w:rPr>
                    <w:t>地</w:t>
                  </w:r>
                  <w:r>
                    <w:rPr>
                      <w:rFonts w:hint="default" w:ascii="Times New Roman" w:hAnsi="Times New Roman" w:cs="Times New Roman"/>
                      <w:color w:val="auto"/>
                      <w:sz w:val="21"/>
                      <w:szCs w:val="21"/>
                      <w:lang w:val="en-US" w:eastAsia="zh-CN"/>
                    </w:rPr>
                    <w:t>。</w:t>
                  </w:r>
                </w:p>
              </w:tc>
              <w:tc>
                <w:tcPr>
                  <w:tcW w:w="480" w:type="pct"/>
                  <w:vAlign w:val="center"/>
                </w:tcPr>
                <w:p w14:paraId="791DD729">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856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77C91B12">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797" w:type="pct"/>
                  <w:vAlign w:val="center"/>
                </w:tcPr>
                <w:p w14:paraId="6D0E85F1">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w:t>
                  </w:r>
                </w:p>
                <w:p w14:paraId="6364B10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资建设项目。</w:t>
                  </w:r>
                </w:p>
              </w:tc>
              <w:tc>
                <w:tcPr>
                  <w:tcW w:w="1333" w:type="pct"/>
                  <w:vAlign w:val="center"/>
                </w:tcPr>
                <w:p w14:paraId="77B00A7A">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本项目位于华宁县宁州街道法果村原法果红砖厂，未涉及水产种质资源保护区</w:t>
                  </w:r>
                  <w:r>
                    <w:rPr>
                      <w:rFonts w:hint="eastAsia" w:ascii="Times New Roman" w:hAnsi="Times New Roman" w:cs="Times New Roman"/>
                      <w:color w:val="auto"/>
                      <w:sz w:val="21"/>
                      <w:szCs w:val="21"/>
                      <w:lang w:val="en-US" w:eastAsia="zh-CN"/>
                    </w:rPr>
                    <w:t>、国家湿地公园</w:t>
                  </w:r>
                  <w:r>
                    <w:rPr>
                      <w:rFonts w:hint="default" w:ascii="Times New Roman" w:hAnsi="Times New Roman" w:cs="Times New Roman"/>
                      <w:color w:val="auto"/>
                      <w:sz w:val="21"/>
                      <w:szCs w:val="21"/>
                      <w:lang w:val="en-US" w:eastAsia="zh-CN"/>
                    </w:rPr>
                    <w:t>的岸线和河段范围。</w:t>
                  </w:r>
                </w:p>
              </w:tc>
              <w:tc>
                <w:tcPr>
                  <w:tcW w:w="480" w:type="pct"/>
                  <w:vAlign w:val="center"/>
                </w:tcPr>
                <w:p w14:paraId="29E9442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5378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7E0397D2">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797" w:type="pct"/>
                  <w:vAlign w:val="center"/>
                </w:tcPr>
                <w:p w14:paraId="46F483BE">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33" w:type="pct"/>
                  <w:vAlign w:val="center"/>
                </w:tcPr>
                <w:p w14:paraId="0856A725">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本项目位于华宁县宁州街道法果村原法果红砖厂，未涉及长江流域河湖岸线、《长江岸线保护和开发利用总体规划》划定的岸线保护区和保留区、《全国重要江河湖泊水功能区划》划定的河段保护区、保留区。</w:t>
                  </w:r>
                </w:p>
              </w:tc>
              <w:tc>
                <w:tcPr>
                  <w:tcW w:w="480" w:type="pct"/>
                  <w:vAlign w:val="center"/>
                </w:tcPr>
                <w:p w14:paraId="19AD017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172D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1F5F8DA3">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797" w:type="pct"/>
                  <w:vAlign w:val="center"/>
                </w:tcPr>
                <w:p w14:paraId="41B1701C">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禁止未经许可在长江干支流及湖泊新设、改设或扩大排污口。</w:t>
                  </w:r>
                </w:p>
              </w:tc>
              <w:tc>
                <w:tcPr>
                  <w:tcW w:w="1333" w:type="pct"/>
                  <w:vAlign w:val="center"/>
                </w:tcPr>
                <w:p w14:paraId="6095E6B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项目不涉及。</w:t>
                  </w:r>
                </w:p>
              </w:tc>
              <w:tc>
                <w:tcPr>
                  <w:tcW w:w="480" w:type="pct"/>
                  <w:vAlign w:val="center"/>
                </w:tcPr>
                <w:p w14:paraId="1931A48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75D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185A3140">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797" w:type="pct"/>
                  <w:vAlign w:val="center"/>
                </w:tcPr>
                <w:p w14:paraId="7270C94C">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禁止在“一江一口两湖七河”和332个水生生物保护区开展生产性捕捞。</w:t>
                  </w:r>
                </w:p>
              </w:tc>
              <w:tc>
                <w:tcPr>
                  <w:tcW w:w="1333" w:type="pct"/>
                  <w:vAlign w:val="center"/>
                </w:tcPr>
                <w:p w14:paraId="328CA11F">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本项目为尾料处理加工项目，不涉及捕捞。</w:t>
                  </w:r>
                </w:p>
              </w:tc>
              <w:tc>
                <w:tcPr>
                  <w:tcW w:w="480" w:type="pct"/>
                  <w:vAlign w:val="center"/>
                </w:tcPr>
                <w:p w14:paraId="7A3E8E69">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75A5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5A7D407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797" w:type="pct"/>
                  <w:vAlign w:val="center"/>
                </w:tcPr>
                <w:p w14:paraId="7773EB93">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33" w:type="pct"/>
                  <w:vAlign w:val="center"/>
                </w:tcPr>
                <w:p w14:paraId="518332FF">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本项目位于华宁县宁州街道法果村原法果红砖厂，不涉及长江干支流、重要湖泊岸线</w:t>
                  </w:r>
                  <w:r>
                    <w:rPr>
                      <w:rFonts w:hint="eastAsia" w:ascii="Times New Roman" w:hAnsi="Times New Roman" w:cs="Times New Roman"/>
                      <w:color w:val="auto"/>
                      <w:sz w:val="21"/>
                      <w:szCs w:val="21"/>
                      <w:lang w:val="en-US" w:eastAsia="zh-CN"/>
                    </w:rPr>
                    <w:t>一公里范围内</w:t>
                  </w:r>
                  <w:r>
                    <w:rPr>
                      <w:rFonts w:hint="default" w:ascii="Times New Roman" w:hAnsi="Times New Roman" w:cs="Times New Roman"/>
                      <w:color w:val="auto"/>
                      <w:sz w:val="21"/>
                      <w:szCs w:val="21"/>
                      <w:lang w:val="en-US" w:eastAsia="zh-CN"/>
                    </w:rPr>
                    <w:t>。</w:t>
                  </w:r>
                </w:p>
              </w:tc>
              <w:tc>
                <w:tcPr>
                  <w:tcW w:w="480" w:type="pct"/>
                  <w:vAlign w:val="center"/>
                </w:tcPr>
                <w:p w14:paraId="4DAFDAE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0776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35128FBA">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797" w:type="pct"/>
                  <w:vAlign w:val="center"/>
                </w:tcPr>
                <w:p w14:paraId="19413DE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禁止在合规园区外新建、扩建钢铁、石化、化工、焦化、建材、有色、制浆造纸等高污染项目。</w:t>
                  </w:r>
                </w:p>
              </w:tc>
              <w:tc>
                <w:tcPr>
                  <w:tcW w:w="1333" w:type="pct"/>
                  <w:vAlign w:val="center"/>
                </w:tcPr>
                <w:p w14:paraId="0C2E512D">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本项目不属于钢铁、石化、化工、焦化、建材、有色、制浆造纸等高污染项目。</w:t>
                  </w:r>
                </w:p>
              </w:tc>
              <w:tc>
                <w:tcPr>
                  <w:tcW w:w="480" w:type="pct"/>
                  <w:vAlign w:val="center"/>
                </w:tcPr>
                <w:p w14:paraId="129387A9">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55D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5EC9BFD0">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797" w:type="pct"/>
                  <w:vAlign w:val="center"/>
                </w:tcPr>
                <w:p w14:paraId="109C41F5">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禁止新建、扩建不符合国家石化、现代煤化工等产业布局规划的项目。</w:t>
                  </w:r>
                </w:p>
              </w:tc>
              <w:tc>
                <w:tcPr>
                  <w:tcW w:w="1333" w:type="pct"/>
                  <w:vAlign w:val="center"/>
                </w:tcPr>
                <w:p w14:paraId="4279C486">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石化、现代煤化工等产业</w:t>
                  </w:r>
                  <w:r>
                    <w:rPr>
                      <w:rFonts w:hint="default" w:ascii="Times New Roman" w:hAnsi="Times New Roman" w:cs="Times New Roman"/>
                      <w:color w:val="auto"/>
                      <w:sz w:val="21"/>
                      <w:szCs w:val="21"/>
                      <w:lang w:eastAsia="zh-CN"/>
                    </w:rPr>
                    <w:t>。</w:t>
                  </w:r>
                </w:p>
              </w:tc>
              <w:tc>
                <w:tcPr>
                  <w:tcW w:w="480" w:type="pct"/>
                  <w:vAlign w:val="center"/>
                </w:tcPr>
                <w:p w14:paraId="2928301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636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61963E1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797" w:type="pct"/>
                  <w:vAlign w:val="center"/>
                </w:tcPr>
                <w:p w14:paraId="7C80997D">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333" w:type="pct"/>
                  <w:vAlign w:val="center"/>
                </w:tcPr>
                <w:p w14:paraId="2022DDEA">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本项目符合国家现行的产业政策，不属于严重过剩产能行业项目。</w:t>
                  </w:r>
                </w:p>
              </w:tc>
              <w:tc>
                <w:tcPr>
                  <w:tcW w:w="480" w:type="pct"/>
                  <w:vAlign w:val="center"/>
                </w:tcPr>
                <w:p w14:paraId="5B54DE78">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5D64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10A97D5B">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797" w:type="pct"/>
                  <w:vAlign w:val="center"/>
                </w:tcPr>
                <w:p w14:paraId="2377678E">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法律法规及相关政策文件有更加严格规定的从其规定。</w:t>
                  </w:r>
                </w:p>
              </w:tc>
              <w:tc>
                <w:tcPr>
                  <w:tcW w:w="1333" w:type="pct"/>
                  <w:vAlign w:val="center"/>
                </w:tcPr>
                <w:p w14:paraId="50A39BA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未涉及</w:t>
                  </w:r>
                </w:p>
              </w:tc>
              <w:tc>
                <w:tcPr>
                  <w:tcW w:w="480" w:type="pct"/>
                  <w:vAlign w:val="center"/>
                </w:tcPr>
                <w:p w14:paraId="196AD71B">
                  <w:pPr>
                    <w:pStyle w:val="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bl>
          <w:p w14:paraId="2FEA455E">
            <w:pPr>
              <w:ind w:firstLine="480"/>
              <w:rPr>
                <w:rFonts w:hint="default" w:ascii="Times New Roman" w:hAnsi="Times New Roman" w:cs="Times New Roman"/>
                <w:color w:val="auto"/>
              </w:rPr>
            </w:pPr>
            <w:r>
              <w:rPr>
                <w:rFonts w:hint="default" w:ascii="Times New Roman" w:hAnsi="Times New Roman" w:cs="Times New Roman"/>
                <w:color w:val="auto"/>
              </w:rPr>
              <w:t>综上，本项目与《关于印发＜长江经济带发展负面清单指南＞（试行，2022年版）的通知》的相关规定无冲突。</w:t>
            </w:r>
          </w:p>
          <w:p w14:paraId="000CDF86">
            <w:pPr>
              <w:numPr>
                <w:ilvl w:val="0"/>
                <w:numId w:val="0"/>
              </w:numPr>
              <w:rPr>
                <w:rFonts w:hint="default" w:ascii="Times New Roman" w:hAnsi="Times New Roman" w:cs="Times New Roman"/>
                <w:b/>
                <w:bCs/>
                <w:i w:val="0"/>
                <w:iCs w:val="0"/>
                <w:caps w:val="0"/>
                <w:color w:val="auto"/>
                <w:spacing w:val="0"/>
                <w:sz w:val="24"/>
                <w:szCs w:val="24"/>
                <w:shd w:val="clear" w:fill="FFFFFF"/>
                <w:lang w:val="en-US" w:eastAsia="zh-CN"/>
              </w:rPr>
            </w:pPr>
            <w:r>
              <w:rPr>
                <w:rFonts w:hint="default" w:ascii="Times New Roman" w:hAnsi="Times New Roman" w:eastAsia="宋体" w:cs="Times New Roman"/>
                <w:b/>
                <w:bCs/>
                <w:i w:val="0"/>
                <w:iCs w:val="0"/>
                <w:caps w:val="0"/>
                <w:color w:val="auto"/>
                <w:spacing w:val="0"/>
                <w:kern w:val="2"/>
                <w:sz w:val="24"/>
                <w:szCs w:val="24"/>
                <w:shd w:val="clear" w:fill="FFFFFF"/>
                <w:lang w:val="en-US" w:eastAsia="zh-CN" w:bidi="ar-SA"/>
              </w:rPr>
              <w:t>6</w:t>
            </w:r>
            <w:r>
              <w:rPr>
                <w:rFonts w:hint="default" w:ascii="Times New Roman" w:hAnsi="Times New Roman" w:cs="Times New Roman"/>
                <w:b/>
                <w:bCs/>
                <w:i w:val="0"/>
                <w:iCs w:val="0"/>
                <w:caps w:val="0"/>
                <w:color w:val="auto"/>
                <w:spacing w:val="0"/>
                <w:sz w:val="24"/>
                <w:szCs w:val="24"/>
                <w:shd w:val="clear" w:fill="FFFFFF"/>
                <w:lang w:val="en-US" w:eastAsia="zh-CN"/>
              </w:rPr>
              <w:t>项目与工信部联原〔2019〕239号（摘录）的符合性分析</w:t>
            </w:r>
          </w:p>
          <w:p w14:paraId="479C237B">
            <w:pPr>
              <w:numPr>
                <w:ilvl w:val="0"/>
                <w:numId w:val="0"/>
              </w:numPr>
              <w:ind w:firstLine="480" w:firstLineChars="200"/>
              <w:rPr>
                <w:rFonts w:hint="default" w:ascii="Times New Roman" w:hAnsi="Times New Roman" w:eastAsia="宋体" w:cs="Times New Roman"/>
                <w:b w:val="0"/>
                <w:bCs w:val="0"/>
                <w:i w:val="0"/>
                <w:iCs w:val="0"/>
                <w:caps w:val="0"/>
                <w:color w:val="auto"/>
                <w:spacing w:val="0"/>
                <w:sz w:val="24"/>
                <w:szCs w:val="24"/>
                <w:shd w:val="clear" w:fill="FFFFFF"/>
              </w:rPr>
            </w:pPr>
            <w:r>
              <w:rPr>
                <w:rFonts w:hint="default" w:ascii="Times New Roman" w:hAnsi="Times New Roman" w:eastAsia="宋体" w:cs="Times New Roman"/>
                <w:b w:val="0"/>
                <w:bCs w:val="0"/>
                <w:i w:val="0"/>
                <w:iCs w:val="0"/>
                <w:caps w:val="0"/>
                <w:color w:val="auto"/>
                <w:spacing w:val="0"/>
                <w:sz w:val="24"/>
                <w:szCs w:val="24"/>
                <w:shd w:val="clear" w:fill="FFFFFF"/>
                <w:lang w:val="en-US" w:eastAsia="zh-CN"/>
              </w:rPr>
              <w:t>根据</w:t>
            </w:r>
            <w:r>
              <w:rPr>
                <w:rFonts w:hint="default" w:ascii="Times New Roman" w:hAnsi="Times New Roman" w:eastAsia="宋体" w:cs="Times New Roman"/>
                <w:b w:val="0"/>
                <w:bCs w:val="0"/>
                <w:i w:val="0"/>
                <w:iCs w:val="0"/>
                <w:caps w:val="0"/>
                <w:color w:val="auto"/>
                <w:spacing w:val="0"/>
                <w:sz w:val="24"/>
                <w:szCs w:val="24"/>
                <w:shd w:val="clear" w:fill="FFFFFF"/>
              </w:rPr>
              <w:t>工业和信息化部国家发展改革委自然资源部生态环境部住房城乡建设部交通运输部水利部应急部市场监管总局国铁集团</w:t>
            </w:r>
            <w:r>
              <w:rPr>
                <w:rFonts w:hint="default" w:ascii="Times New Roman" w:hAnsi="Times New Roman" w:eastAsia="宋体" w:cs="Times New Roman"/>
                <w:b w:val="0"/>
                <w:bCs w:val="0"/>
                <w:i w:val="0"/>
                <w:iCs w:val="0"/>
                <w:caps w:val="0"/>
                <w:color w:val="auto"/>
                <w:spacing w:val="0"/>
                <w:sz w:val="24"/>
                <w:szCs w:val="24"/>
                <w:shd w:val="clear" w:fill="FFFFFF"/>
                <w:lang w:eastAsia="zh-CN"/>
              </w:rPr>
              <w:t>《</w:t>
            </w:r>
            <w:r>
              <w:rPr>
                <w:rFonts w:hint="default" w:ascii="Times New Roman" w:hAnsi="Times New Roman" w:eastAsia="宋体" w:cs="Times New Roman"/>
                <w:b w:val="0"/>
                <w:bCs w:val="0"/>
                <w:i w:val="0"/>
                <w:iCs w:val="0"/>
                <w:caps w:val="0"/>
                <w:color w:val="auto"/>
                <w:spacing w:val="0"/>
                <w:sz w:val="24"/>
                <w:szCs w:val="24"/>
                <w:shd w:val="clear" w:fill="FFFFFF"/>
              </w:rPr>
              <w:t>关于推进机制砂石行业高质量发展的若干意见</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i w:val="0"/>
                <w:iCs w:val="0"/>
                <w:caps w:val="0"/>
                <w:color w:val="auto"/>
                <w:spacing w:val="0"/>
                <w:sz w:val="24"/>
                <w:szCs w:val="24"/>
                <w:shd w:val="clear" w:fill="FFFFFF"/>
              </w:rPr>
              <w:t>工信部联原〔2019〕239号</w:t>
            </w:r>
          </w:p>
          <w:p w14:paraId="6AD8AC2C">
            <w:pPr>
              <w:ind w:firstLine="48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项目与</w:t>
            </w:r>
            <w:r>
              <w:rPr>
                <w:rFonts w:hint="default" w:ascii="Times New Roman" w:hAnsi="Times New Roman" w:eastAsia="宋体" w:cs="Times New Roman"/>
                <w:b/>
                <w:bCs/>
                <w:i w:val="0"/>
                <w:iCs w:val="0"/>
                <w:caps w:val="0"/>
                <w:color w:val="auto"/>
                <w:spacing w:val="0"/>
                <w:sz w:val="21"/>
                <w:szCs w:val="21"/>
                <w:shd w:val="clear" w:fill="FFFFFF"/>
              </w:rPr>
              <w:t>工信部联原〔2019〕239号</w:t>
            </w:r>
            <w:r>
              <w:rPr>
                <w:rFonts w:hint="default" w:ascii="Times New Roman" w:hAnsi="Times New Roman" w:eastAsia="宋体" w:cs="Times New Roman"/>
                <w:b/>
                <w:bCs/>
                <w:color w:val="auto"/>
                <w:sz w:val="21"/>
                <w:szCs w:val="21"/>
              </w:rPr>
              <w:t>（摘录）的符合性分析对照表</w:t>
            </w:r>
          </w:p>
          <w:tbl>
            <w:tblPr>
              <w:tblStyle w:val="17"/>
              <w:tblW w:w="8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4237"/>
              <w:gridCol w:w="2168"/>
              <w:gridCol w:w="796"/>
            </w:tblGrid>
            <w:tr w14:paraId="7DA8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84" w:type="dxa"/>
                  <w:vAlign w:val="center"/>
                </w:tcPr>
                <w:p w14:paraId="057999FF">
                  <w:pPr>
                    <w:pStyle w:val="35"/>
                    <w:spacing w:line="240" w:lineRule="auto"/>
                    <w:ind w:firstLine="0" w:firstLineChar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序号</w:t>
                  </w:r>
                </w:p>
              </w:tc>
              <w:tc>
                <w:tcPr>
                  <w:tcW w:w="4237" w:type="dxa"/>
                  <w:vAlign w:val="center"/>
                </w:tcPr>
                <w:p w14:paraId="1A44CA29">
                  <w:pPr>
                    <w:pStyle w:val="42"/>
                    <w:spacing w:line="240" w:lineRule="auto"/>
                    <w:ind w:firstLine="0" w:firstLineChar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b/>
                      <w:bCs/>
                      <w:i w:val="0"/>
                      <w:iCs w:val="0"/>
                      <w:caps w:val="0"/>
                      <w:color w:val="auto"/>
                      <w:spacing w:val="0"/>
                      <w:sz w:val="21"/>
                      <w:szCs w:val="21"/>
                      <w:shd w:val="clear" w:fill="FFFFFF"/>
                    </w:rPr>
                    <w:t>工信部联原〔2019〕239号</w:t>
                  </w:r>
                </w:p>
              </w:tc>
              <w:tc>
                <w:tcPr>
                  <w:tcW w:w="2168" w:type="dxa"/>
                  <w:vAlign w:val="center"/>
                </w:tcPr>
                <w:p w14:paraId="45CE5C14">
                  <w:pPr>
                    <w:pStyle w:val="35"/>
                    <w:spacing w:line="240" w:lineRule="auto"/>
                    <w:ind w:firstLine="0" w:firstLineChar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本项目情况</w:t>
                  </w:r>
                </w:p>
              </w:tc>
              <w:tc>
                <w:tcPr>
                  <w:tcW w:w="796" w:type="dxa"/>
                  <w:vAlign w:val="center"/>
                </w:tcPr>
                <w:p w14:paraId="5F2F6740">
                  <w:pPr>
                    <w:pStyle w:val="35"/>
                    <w:spacing w:line="240" w:lineRule="auto"/>
                    <w:ind w:firstLine="0" w:firstLineChars="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符合性判定</w:t>
                  </w:r>
                </w:p>
              </w:tc>
            </w:tr>
            <w:tr w14:paraId="2AF0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4" w:type="dxa"/>
                  <w:vAlign w:val="center"/>
                </w:tcPr>
                <w:p w14:paraId="7AC72A1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val="0"/>
                      <w:bCs w:val="0"/>
                      <w:i w:val="0"/>
                      <w:iCs w:val="0"/>
                      <w:caps w:val="0"/>
                      <w:color w:val="auto"/>
                      <w:spacing w:val="0"/>
                      <w:sz w:val="21"/>
                      <w:szCs w:val="21"/>
                      <w:shd w:val="clear" w:fill="FFFFFF"/>
                      <w:lang w:val="en-US" w:eastAsia="zh-CN"/>
                    </w:rPr>
                    <w:t>1</w:t>
                  </w:r>
                </w:p>
              </w:tc>
              <w:tc>
                <w:tcPr>
                  <w:tcW w:w="4237" w:type="dxa"/>
                  <w:vAlign w:val="center"/>
                </w:tcPr>
                <w:p w14:paraId="1606B35A">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i w:val="0"/>
                      <w:iCs w:val="0"/>
                      <w:caps w:val="0"/>
                      <w:color w:val="auto"/>
                      <w:spacing w:val="0"/>
                      <w:sz w:val="21"/>
                      <w:szCs w:val="21"/>
                      <w:shd w:val="clear" w:fill="FFFFFF"/>
                    </w:rPr>
                    <w:t>统筹协调布局</w:t>
                  </w:r>
                  <w:r>
                    <w:rPr>
                      <w:rFonts w:hint="eastAsia" w:ascii="Times New Roman" w:hAnsi="Times New Roman"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rPr>
                    <w:t>统筹考虑矿产资源、市场需求、交通物流等因素，按照安全、环保、功能区等方面要求，科学规划、合理布局，建立国内合理的机制砂石供应体系</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拓展砂石来源</w:t>
                  </w:r>
                  <w:r>
                    <w:rPr>
                      <w:rFonts w:hint="eastAsia" w:ascii="Times New Roman" w:hAnsi="Times New Roman"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rPr>
                    <w:t>规范砂石资源管理，鼓励利用废石以及铁、钼、钒钛等矿山的尾矿生产机制砂石，节约天然资源，提高产业固体废物综合利用水平。加强运输保障</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推进机制砂石中长距离运输</w:t>
                  </w:r>
                  <w:r>
                    <w:rPr>
                      <w:rFonts w:hint="eastAsia" w:ascii="Times New Roman" w:hAnsi="Times New Roman"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公转铁</w:t>
                  </w:r>
                  <w:r>
                    <w:rPr>
                      <w:rFonts w:hint="eastAsia" w:ascii="Times New Roman" w:hAnsi="Times New Roman"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eastAsia="zh-CN"/>
                    </w:rPr>
                    <w:t>。</w:t>
                  </w:r>
                </w:p>
              </w:tc>
              <w:tc>
                <w:tcPr>
                  <w:tcW w:w="2168" w:type="dxa"/>
                  <w:vAlign w:val="center"/>
                </w:tcPr>
                <w:p w14:paraId="00FC11F5">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本项目原料来源于玉昆珠峰采石场粉碎尾料，符合矿山尾矿生产机制砂，</w:t>
                  </w:r>
                  <w:r>
                    <w:rPr>
                      <w:rFonts w:hint="default" w:ascii="Times New Roman" w:hAnsi="Times New Roman" w:cs="Times New Roman"/>
                      <w:color w:val="auto"/>
                      <w:sz w:val="18"/>
                      <w:szCs w:val="18"/>
                      <w:vertAlign w:val="baseline"/>
                      <w:lang w:val="en-US" w:eastAsia="zh-CN"/>
                    </w:rPr>
                    <w:t>且运输道路沿用原有乡村道路，运输得</w:t>
                  </w:r>
                  <w:r>
                    <w:rPr>
                      <w:rFonts w:hint="default" w:ascii="Times New Roman" w:hAnsi="Times New Roman" w:cs="Times New Roman"/>
                      <w:color w:val="auto"/>
                      <w:sz w:val="21"/>
                      <w:szCs w:val="21"/>
                      <w:vertAlign w:val="baseline"/>
                      <w:lang w:val="en-US" w:eastAsia="zh-CN"/>
                    </w:rPr>
                    <w:t>到保障。</w:t>
                  </w:r>
                </w:p>
              </w:tc>
              <w:tc>
                <w:tcPr>
                  <w:tcW w:w="796" w:type="dxa"/>
                  <w:vAlign w:val="center"/>
                </w:tcPr>
                <w:p w14:paraId="46DB390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0CB3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vAlign w:val="center"/>
                </w:tcPr>
                <w:p w14:paraId="5C7E367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val="0"/>
                      <w:bCs w:val="0"/>
                      <w:i w:val="0"/>
                      <w:iCs w:val="0"/>
                      <w:caps w:val="0"/>
                      <w:color w:val="auto"/>
                      <w:spacing w:val="0"/>
                      <w:sz w:val="21"/>
                      <w:szCs w:val="21"/>
                      <w:shd w:val="clear" w:fill="FFFFFF"/>
                      <w:lang w:val="en-US" w:eastAsia="zh-CN"/>
                    </w:rPr>
                    <w:t>2</w:t>
                  </w:r>
                </w:p>
              </w:tc>
              <w:tc>
                <w:tcPr>
                  <w:tcW w:w="4237" w:type="dxa"/>
                  <w:vAlign w:val="center"/>
                </w:tcPr>
                <w:p w14:paraId="135F21C0">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耗，鼓励有条件的企业实施输送带势能发电、开展合同节水管理。</w:t>
                  </w:r>
                </w:p>
              </w:tc>
              <w:tc>
                <w:tcPr>
                  <w:tcW w:w="2168" w:type="dxa"/>
                  <w:vAlign w:val="center"/>
                </w:tcPr>
                <w:p w14:paraId="612E48AF">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本环评已对本项目提出相应的环保措施，并要求严格执行，通过洒水降尘等措施处理粉尘，废水不外排，</w:t>
                  </w:r>
                  <w:r>
                    <w:rPr>
                      <w:rFonts w:hint="default" w:ascii="Times New Roman" w:hAnsi="Times New Roman" w:cs="Times New Roman"/>
                      <w:color w:val="auto"/>
                      <w:sz w:val="21"/>
                      <w:szCs w:val="21"/>
                      <w:highlight w:val="none"/>
                      <w:vertAlign w:val="baseline"/>
                      <w:lang w:val="en-US" w:eastAsia="zh-CN"/>
                    </w:rPr>
                    <w:t>泥饼外运制砖，对砖厂消纳不完的泥饼及在砖厂停产期间，泥饼运至珠峰采石场用于露天采空区土地复垦</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项目生产用水循环利用，建立沉淀池和清水池，生产用水通过水泵抽取至沉淀池，沉淀处理后进入清水池，供项目循环利用。</w:t>
                  </w:r>
                </w:p>
              </w:tc>
              <w:tc>
                <w:tcPr>
                  <w:tcW w:w="796" w:type="dxa"/>
                  <w:vAlign w:val="center"/>
                </w:tcPr>
                <w:p w14:paraId="1E4279E7">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44FD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vAlign w:val="center"/>
                </w:tcPr>
                <w:p w14:paraId="767A867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val="0"/>
                      <w:bCs w:val="0"/>
                      <w:i w:val="0"/>
                      <w:iCs w:val="0"/>
                      <w:caps w:val="0"/>
                      <w:color w:val="auto"/>
                      <w:spacing w:val="0"/>
                      <w:sz w:val="21"/>
                      <w:szCs w:val="21"/>
                      <w:shd w:val="clear" w:fill="FFFFFF"/>
                      <w:lang w:val="en-US" w:eastAsia="zh-CN"/>
                    </w:rPr>
                    <w:t>3</w:t>
                  </w:r>
                </w:p>
              </w:tc>
              <w:tc>
                <w:tcPr>
                  <w:tcW w:w="4237" w:type="dxa"/>
                  <w:vAlign w:val="center"/>
                </w:tcPr>
                <w:p w14:paraId="341C87F1">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加强机制砂石行业标准体系建设，围绕产品、装备、检测、环保、节能、安全等关键环节，建立国家标准、行业标准、地方标准、团体标准和企业标准协调配套的标准体系，推进砂石产品及生产装备标准化、系列化。强化砂石标准与混凝土、预制件等下游标准联动，围绕砂石行业高质量发展要求，推动制定高品质砂石标准。</w:t>
                  </w:r>
                </w:p>
              </w:tc>
              <w:tc>
                <w:tcPr>
                  <w:tcW w:w="2168" w:type="dxa"/>
                  <w:vAlign w:val="center"/>
                </w:tcPr>
                <w:p w14:paraId="04016FFB">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本项目从生产过程中严格要求制作符合标准砂石料。</w:t>
                  </w:r>
                </w:p>
              </w:tc>
              <w:tc>
                <w:tcPr>
                  <w:tcW w:w="796" w:type="dxa"/>
                  <w:vAlign w:val="center"/>
                </w:tcPr>
                <w:p w14:paraId="38FE0E2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3096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vAlign w:val="center"/>
                </w:tcPr>
                <w:p w14:paraId="16CF5C4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val="0"/>
                      <w:bCs w:val="0"/>
                      <w:i w:val="0"/>
                      <w:iCs w:val="0"/>
                      <w:caps w:val="0"/>
                      <w:color w:val="auto"/>
                      <w:spacing w:val="0"/>
                      <w:sz w:val="21"/>
                      <w:szCs w:val="21"/>
                      <w:shd w:val="clear" w:fill="FFFFFF"/>
                      <w:lang w:val="en-US" w:eastAsia="zh-CN"/>
                    </w:rPr>
                    <w:t>4</w:t>
                  </w:r>
                </w:p>
              </w:tc>
              <w:tc>
                <w:tcPr>
                  <w:tcW w:w="4237" w:type="dxa"/>
                  <w:vAlign w:val="center"/>
                </w:tcPr>
                <w:p w14:paraId="120D1890">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fill="FFFFFF"/>
                    </w:rPr>
                    <w:t>依法加强管理</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加强沟通配合，建立部门协调机制，推动机制砂石行业加快结构调整和转型升级。实施标准引领。加强机制砂石行业标准体系建设，推进砂石产品及生产装备标准化、系列化。优化发展环境。加强机制砂石行业运行监测分析，发布行业发展报告。</w:t>
                  </w:r>
                </w:p>
              </w:tc>
              <w:tc>
                <w:tcPr>
                  <w:tcW w:w="2168" w:type="dxa"/>
                  <w:vAlign w:val="center"/>
                </w:tcPr>
                <w:p w14:paraId="7742C6F5">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本项目已建立完善协调机制。</w:t>
                  </w:r>
                </w:p>
              </w:tc>
              <w:tc>
                <w:tcPr>
                  <w:tcW w:w="796" w:type="dxa"/>
                  <w:vAlign w:val="center"/>
                </w:tcPr>
                <w:p w14:paraId="7094091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bl>
          <w:p w14:paraId="5B7FE8C1">
            <w:pPr>
              <w:pStyle w:val="37"/>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rPr>
              <w:t>与云南省推动长江经济带发展领导小组办公室关于印发</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云南省长江经济带发展负面清单指南实施细则（试行）的通知</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（云发改基础〔2019〕924号）符合性分析</w:t>
            </w:r>
          </w:p>
          <w:p w14:paraId="01D9D107">
            <w:pPr>
              <w:pStyle w:val="35"/>
              <w:rPr>
                <w:rFonts w:hint="default" w:ascii="Times New Roman" w:hAnsi="Times New Roman" w:cs="Times New Roman"/>
                <w:color w:val="auto"/>
              </w:rPr>
            </w:pPr>
            <w:r>
              <w:rPr>
                <w:rFonts w:hint="default" w:ascii="Times New Roman" w:hAnsi="Times New Roman" w:cs="Times New Roman"/>
                <w:color w:val="auto"/>
              </w:rPr>
              <w:t>表1-</w:t>
            </w:r>
            <w:r>
              <w:rPr>
                <w:rFonts w:hint="eastAsia" w:cs="Times New Roman"/>
                <w:color w:val="auto"/>
                <w:lang w:val="en-US" w:eastAsia="zh-CN"/>
              </w:rPr>
              <w:t>8</w:t>
            </w:r>
            <w:r>
              <w:rPr>
                <w:rFonts w:hint="default" w:ascii="Times New Roman" w:hAnsi="Times New Roman" w:cs="Times New Roman"/>
                <w:color w:val="auto"/>
              </w:rPr>
              <w:t>项目与云发改基础〔2019〕924号文件（摘录）的符合性分析对照表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728"/>
              <w:gridCol w:w="2033"/>
              <w:gridCol w:w="786"/>
            </w:tblGrid>
            <w:tr w14:paraId="21A1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0243A41">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889" w:type="pct"/>
                  <w:vAlign w:val="center"/>
                </w:tcPr>
                <w:p w14:paraId="528A7C4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云发改基础〔2019〕924号</w:t>
                  </w:r>
                  <w:r>
                    <w:rPr>
                      <w:rFonts w:hint="default" w:ascii="Times New Roman" w:hAnsi="Times New Roman" w:eastAsia="宋体" w:cs="Times New Roman"/>
                      <w:color w:val="auto"/>
                      <w:sz w:val="21"/>
                      <w:szCs w:val="21"/>
                    </w:rPr>
                    <w:t>要求</w:t>
                  </w:r>
                </w:p>
              </w:tc>
              <w:tc>
                <w:tcPr>
                  <w:tcW w:w="1242" w:type="pct"/>
                  <w:vAlign w:val="center"/>
                </w:tcPr>
                <w:p w14:paraId="6D3A2502">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480" w:type="pct"/>
                  <w:vAlign w:val="center"/>
                </w:tcPr>
                <w:p w14:paraId="7AF64420">
                  <w:pPr>
                    <w:pStyle w:val="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符合性判定</w:t>
                  </w:r>
                </w:p>
              </w:tc>
            </w:tr>
            <w:tr w14:paraId="6220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7B86D46">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89" w:type="pct"/>
                  <w:vAlign w:val="center"/>
                </w:tcPr>
                <w:p w14:paraId="36080439">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禁止建设不符合全国和省级港口布局规划以及港口总体规划的码头项目，禁止建设不符合《长江干线过江通道布局规划》的过长江通道项目。</w:t>
                  </w:r>
                </w:p>
              </w:tc>
              <w:tc>
                <w:tcPr>
                  <w:tcW w:w="1242" w:type="pct"/>
                  <w:vAlign w:val="center"/>
                </w:tcPr>
                <w:p w14:paraId="6478F91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cs="Times New Roman"/>
                      <w:color w:val="auto"/>
                      <w:sz w:val="21"/>
                      <w:szCs w:val="21"/>
                      <w:lang w:val="en-US" w:eastAsia="zh-CN"/>
                    </w:rPr>
                    <w:t>尾料加工</w:t>
                  </w:r>
                  <w:r>
                    <w:rPr>
                      <w:rFonts w:hint="default" w:ascii="Times New Roman" w:hAnsi="Times New Roman" w:eastAsia="宋体" w:cs="Times New Roman"/>
                      <w:color w:val="auto"/>
                      <w:sz w:val="21"/>
                      <w:szCs w:val="21"/>
                    </w:rPr>
                    <w:t>生产项目，不属于码头建设项目。</w:t>
                  </w:r>
                </w:p>
              </w:tc>
              <w:tc>
                <w:tcPr>
                  <w:tcW w:w="480" w:type="pct"/>
                  <w:vAlign w:val="center"/>
                </w:tcPr>
                <w:p w14:paraId="72627CE3">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1AAA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100D14A3">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89" w:type="pct"/>
                  <w:vAlign w:val="center"/>
                </w:tcPr>
                <w:p w14:paraId="62C0C4F4">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242" w:type="pct"/>
                  <w:vAlign w:val="center"/>
                </w:tcPr>
                <w:p w14:paraId="1B053837">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本项目位于华宁县宁州街道法果村原法果红砖厂，根据华宁县自然资源局查询结果，本项目不涉及生态保护红线。</w:t>
                  </w:r>
                </w:p>
              </w:tc>
              <w:tc>
                <w:tcPr>
                  <w:tcW w:w="480" w:type="pct"/>
                  <w:vAlign w:val="center"/>
                </w:tcPr>
                <w:p w14:paraId="0EB9E88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0BF4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0CB31FE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889" w:type="pct"/>
                  <w:vAlign w:val="center"/>
                </w:tcPr>
                <w:p w14:paraId="03B3A0E0">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242" w:type="pct"/>
                  <w:vAlign w:val="center"/>
                </w:tcPr>
                <w:p w14:paraId="0BE8B609">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本项目位于华宁县宁州街道法果村原法果红砖厂，根据华宁县自然资源局查询结果，本项目不占用永久基本农田。</w:t>
                  </w:r>
                </w:p>
              </w:tc>
              <w:tc>
                <w:tcPr>
                  <w:tcW w:w="480" w:type="pct"/>
                  <w:vAlign w:val="center"/>
                </w:tcPr>
                <w:p w14:paraId="7E1C3D03">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1A3A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13DAAC14">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889" w:type="pct"/>
                  <w:vAlign w:val="center"/>
                </w:tcPr>
                <w:p w14:paraId="6FF0BC41">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1242" w:type="pct"/>
                  <w:vAlign w:val="center"/>
                </w:tcPr>
                <w:p w14:paraId="4D13F8AB">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本项目位于华宁县宁州街道法果村原法果红砖厂，根据华宁县自然资源局查询结果，本项目不涉及自然保护核心区。</w:t>
                  </w:r>
                </w:p>
              </w:tc>
              <w:tc>
                <w:tcPr>
                  <w:tcW w:w="480" w:type="pct"/>
                  <w:vAlign w:val="center"/>
                </w:tcPr>
                <w:p w14:paraId="564F5866">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0078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01FCE6FF">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89" w:type="pct"/>
                  <w:vAlign w:val="center"/>
                </w:tcPr>
                <w:p w14:paraId="0E54EACA">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242" w:type="pct"/>
                  <w:vAlign w:val="center"/>
                </w:tcPr>
                <w:p w14:paraId="0FAB7B4D">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本项目位于华宁县宁州街道法果村原法果红砖厂，未涉及饮用水水源一级保护区和饮用水水源二级保护区。</w:t>
                  </w:r>
                </w:p>
              </w:tc>
              <w:tc>
                <w:tcPr>
                  <w:tcW w:w="480" w:type="pct"/>
                  <w:vAlign w:val="center"/>
                </w:tcPr>
                <w:p w14:paraId="3C695853">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7C9A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7EA2ED76">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89" w:type="pct"/>
                  <w:vAlign w:val="center"/>
                </w:tcPr>
                <w:p w14:paraId="2AB4FCA2">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p>
              </w:tc>
              <w:tc>
                <w:tcPr>
                  <w:tcW w:w="1242" w:type="pct"/>
                  <w:vAlign w:val="center"/>
                </w:tcPr>
                <w:p w14:paraId="123C8C59">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本项目位于华宁县宁州街道法果村原法果红砖厂，未涉及水产种质资源保护区的岸线和河段范围。</w:t>
                  </w:r>
                </w:p>
              </w:tc>
              <w:tc>
                <w:tcPr>
                  <w:tcW w:w="480" w:type="pct"/>
                  <w:vAlign w:val="center"/>
                </w:tcPr>
                <w:p w14:paraId="2EDF42AA">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D3B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5C21C10A">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889" w:type="pct"/>
                  <w:vAlign w:val="center"/>
                </w:tcPr>
                <w:p w14:paraId="71FA4698">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金沙江、长江一级支流（详见附件1）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242" w:type="pct"/>
                  <w:vAlign w:val="center"/>
                </w:tcPr>
                <w:p w14:paraId="46225C98">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本项目位于华宁县宁州街道法果村，未涉及金沙江、长江一级支流岸线。</w:t>
                  </w:r>
                </w:p>
              </w:tc>
              <w:tc>
                <w:tcPr>
                  <w:tcW w:w="480" w:type="pct"/>
                  <w:vAlign w:val="center"/>
                </w:tcPr>
                <w:p w14:paraId="346B23B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F4D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0EB3044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889" w:type="pct"/>
                  <w:vAlign w:val="center"/>
                </w:tcPr>
                <w:p w14:paraId="63B76F63">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242" w:type="pct"/>
                  <w:vAlign w:val="center"/>
                </w:tcPr>
                <w:p w14:paraId="6AB934E1">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本项目位于华宁县宁州街道法果村，未涉及金沙江、长江一级支流岸线。</w:t>
                  </w:r>
                </w:p>
              </w:tc>
              <w:tc>
                <w:tcPr>
                  <w:tcW w:w="480" w:type="pct"/>
                  <w:vAlign w:val="center"/>
                </w:tcPr>
                <w:p w14:paraId="2A69C7B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54F8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C1805BB">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889" w:type="pct"/>
                  <w:vAlign w:val="center"/>
                </w:tcPr>
                <w:p w14:paraId="0FB6A176">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禁止在合规园区外新建、扩建钢铁、石化、化工、焦化、建材、有色、制浆造纸等高污染项目。</w:t>
                  </w:r>
                </w:p>
              </w:tc>
              <w:tc>
                <w:tcPr>
                  <w:tcW w:w="1242" w:type="pct"/>
                  <w:vAlign w:val="center"/>
                </w:tcPr>
                <w:p w14:paraId="4D41DC1D">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cs="Times New Roman"/>
                      <w:color w:val="auto"/>
                      <w:sz w:val="21"/>
                      <w:szCs w:val="21"/>
                      <w:lang w:val="en-US" w:eastAsia="zh-CN"/>
                    </w:rPr>
                    <w:t>尾料处理加工</w:t>
                  </w:r>
                  <w:r>
                    <w:rPr>
                      <w:rFonts w:hint="default" w:ascii="Times New Roman" w:hAnsi="Times New Roman" w:eastAsia="宋体" w:cs="Times New Roman"/>
                      <w:color w:val="auto"/>
                      <w:sz w:val="21"/>
                      <w:szCs w:val="21"/>
                    </w:rPr>
                    <w:t>项目，不属于左列项目。</w:t>
                  </w:r>
                </w:p>
              </w:tc>
              <w:tc>
                <w:tcPr>
                  <w:tcW w:w="480" w:type="pct"/>
                  <w:vAlign w:val="center"/>
                </w:tcPr>
                <w:p w14:paraId="4DE28E9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5AE9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6CA0FA90">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889" w:type="pct"/>
                  <w:vAlign w:val="center"/>
                </w:tcPr>
                <w:p w14:paraId="65C845DB">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禁止新建、扩建不符合国家石化、现代煤化工等产业布局规划的项目。禁止新增钢铁、水泥、平板玻璃等行业建设产能，确有必要建设的，应按规定实施产能等量或减量置换。</w:t>
                  </w:r>
                </w:p>
              </w:tc>
              <w:tc>
                <w:tcPr>
                  <w:tcW w:w="1242" w:type="pct"/>
                  <w:vAlign w:val="center"/>
                </w:tcPr>
                <w:p w14:paraId="3625AB7F">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未涉及</w:t>
                  </w:r>
                  <w:r>
                    <w:rPr>
                      <w:rFonts w:hint="eastAsia" w:cs="Times New Roman"/>
                      <w:color w:val="auto"/>
                      <w:sz w:val="21"/>
                      <w:szCs w:val="21"/>
                      <w:lang w:eastAsia="zh-CN"/>
                    </w:rPr>
                    <w:t>。</w:t>
                  </w:r>
                </w:p>
              </w:tc>
              <w:tc>
                <w:tcPr>
                  <w:tcW w:w="480" w:type="pct"/>
                  <w:vAlign w:val="center"/>
                </w:tcPr>
                <w:p w14:paraId="1D7DF5F5">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727A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B3D897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889" w:type="pct"/>
                  <w:vAlign w:val="center"/>
                </w:tcPr>
                <w:p w14:paraId="2447360A">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1242" w:type="pct"/>
                  <w:vAlign w:val="center"/>
                </w:tcPr>
                <w:p w14:paraId="19219DBD">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本项目符合国家现行的产业政策，不属于严重过剩产能行业项目。</w:t>
                  </w:r>
                </w:p>
              </w:tc>
              <w:tc>
                <w:tcPr>
                  <w:tcW w:w="480" w:type="pct"/>
                  <w:vAlign w:val="center"/>
                </w:tcPr>
                <w:p w14:paraId="18F162F0">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bl>
          <w:p w14:paraId="3FD1178D">
            <w:pPr>
              <w:ind w:firstLine="480"/>
              <w:rPr>
                <w:rFonts w:hint="default" w:ascii="Times New Roman" w:hAnsi="Times New Roman" w:cs="Times New Roman"/>
                <w:color w:val="auto"/>
              </w:rPr>
            </w:pPr>
            <w:r>
              <w:rPr>
                <w:rFonts w:hint="default" w:ascii="Times New Roman" w:hAnsi="Times New Roman" w:cs="Times New Roman"/>
                <w:color w:val="auto"/>
              </w:rPr>
              <w:t>综上，本项目与云南省推动长江经济带发展领导小组办公室《关于印发&lt;云南省长江经济带发展负面清单指南实施细则（试行）&gt;的通知的》（云发改基础〔2019〕924号）的相关规定无冲突。</w:t>
            </w:r>
          </w:p>
          <w:p w14:paraId="308E5890">
            <w:pPr>
              <w:pStyle w:val="37"/>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rPr>
              <w:t>与中共云南省委 云南省人民政府《关于深入打好污染防治攻坚战的实施意见》符合性分析</w:t>
            </w:r>
          </w:p>
          <w:p w14:paraId="1CD1D7B1">
            <w:pPr>
              <w:pStyle w:val="35"/>
              <w:rPr>
                <w:rFonts w:hint="default" w:ascii="Times New Roman" w:hAnsi="Times New Roman" w:cs="Times New Roman"/>
                <w:color w:val="auto"/>
              </w:rPr>
            </w:pPr>
            <w:r>
              <w:rPr>
                <w:rFonts w:hint="default" w:ascii="Times New Roman" w:hAnsi="Times New Roman" w:cs="Times New Roman"/>
                <w:color w:val="auto"/>
              </w:rPr>
              <w:t>表1-</w:t>
            </w:r>
            <w:r>
              <w:rPr>
                <w:rFonts w:hint="eastAsia" w:cs="Times New Roman"/>
                <w:color w:val="auto"/>
                <w:lang w:val="en-US" w:eastAsia="zh-CN"/>
              </w:rPr>
              <w:t>9</w:t>
            </w:r>
            <w:r>
              <w:rPr>
                <w:rFonts w:hint="default" w:ascii="Times New Roman" w:hAnsi="Times New Roman" w:cs="Times New Roman"/>
                <w:color w:val="auto"/>
              </w:rPr>
              <w:t>项目与《关于深入打好污染防治攻坚战的实施意见》（摘录）符合性分析对照表</w:t>
            </w:r>
          </w:p>
          <w:tbl>
            <w:tblPr>
              <w:tblStyle w:val="1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558"/>
              <w:gridCol w:w="3021"/>
              <w:gridCol w:w="752"/>
            </w:tblGrid>
            <w:tr w14:paraId="1400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vAlign w:val="center"/>
                </w:tcPr>
                <w:p w14:paraId="77516DA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175" w:type="pct"/>
                  <w:vAlign w:val="center"/>
                </w:tcPr>
                <w:p w14:paraId="02EAABE8">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国发〔2023〕24号文件要求</w:t>
                  </w:r>
                </w:p>
              </w:tc>
              <w:tc>
                <w:tcPr>
                  <w:tcW w:w="1847" w:type="pct"/>
                  <w:vAlign w:val="center"/>
                </w:tcPr>
                <w:p w14:paraId="57BC80F2">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459" w:type="pct"/>
                  <w:vAlign w:val="center"/>
                </w:tcPr>
                <w:p w14:paraId="51D726E5">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符合性判定</w:t>
                  </w:r>
                </w:p>
              </w:tc>
            </w:tr>
            <w:tr w14:paraId="4539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vAlign w:val="center"/>
                </w:tcPr>
                <w:p w14:paraId="3343DAE3">
                  <w:pPr>
                    <w:pStyle w:val="42"/>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w:t>
                  </w:r>
                </w:p>
              </w:tc>
              <w:tc>
                <w:tcPr>
                  <w:tcW w:w="4482" w:type="pct"/>
                  <w:gridSpan w:val="3"/>
                  <w:vAlign w:val="center"/>
                </w:tcPr>
                <w:p w14:paraId="30FA8612">
                  <w:pPr>
                    <w:pStyle w:val="42"/>
                    <w:rPr>
                      <w:rFonts w:hint="eastAsia"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总体要求</w:t>
                  </w:r>
                </w:p>
              </w:tc>
            </w:tr>
            <w:tr w14:paraId="30DD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vAlign w:val="center"/>
                </w:tcPr>
                <w:p w14:paraId="2E650967">
                  <w:pPr>
                    <w:pStyle w:val="42"/>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二</w:t>
                  </w:r>
                  <w:r>
                    <w:rPr>
                      <w:rFonts w:hint="eastAsia" w:cs="Times New Roman"/>
                      <w:color w:val="auto"/>
                      <w:sz w:val="21"/>
                      <w:szCs w:val="21"/>
                      <w:lang w:eastAsia="zh-CN"/>
                    </w:rPr>
                    <w:t>）</w:t>
                  </w:r>
                </w:p>
              </w:tc>
              <w:tc>
                <w:tcPr>
                  <w:tcW w:w="2175" w:type="pct"/>
                  <w:vAlign w:val="center"/>
                </w:tcPr>
                <w:p w14:paraId="4245D3FE">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到2025年，生态环境持续改善，完成主要污染物排放总量控制和单位地区生产总值二氧化碳排放指标任务，地级城市细颗粒物（PM2.5）平均浓度控制在20.5微克/立方米以内，地级城市空气质量优良天数比率达到98.8%，全省地表水国控断面Ⅰ—Ⅲ类水体比例达到92.1%，劣Ⅴ类水体和城市黑臭水体基本消除，不再出现重度及以上污染天气，土壤污染风险得到有效管控，固体废物和新污染物治理能力明显增强，生态系统质量和稳定性持续提升，生物多样性保护水平进一步提高，生态环境治理体系更加完善，推进生态文明建设排头兵取得新进展。</w:t>
                  </w:r>
                </w:p>
                <w:p w14:paraId="39763FFC">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到2035年，广泛形成绿色生产生活方式，碳排放达峰后稳中有降，生态环境质量位于全国前列，绿美云南建设成效显著，我国西南生态安全屏障更加牢固，全面建设成为全国生态文明建设排头兵。</w:t>
                  </w:r>
                </w:p>
              </w:tc>
              <w:tc>
                <w:tcPr>
                  <w:tcW w:w="1847" w:type="pct"/>
                  <w:vAlign w:val="center"/>
                </w:tcPr>
                <w:p w14:paraId="0709EC8B">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项目位于华宁县宁州街道法果村，其所在地空气质量良好，满足《环境空气质量标准》（GB3095-2012）中的二级标准限值。项目最近地表径流为东侧3.4km处的龙洞河，龙洞河进入曲江河，最终汇入南盘江。根据《云南省水功能区划（2014年修订）》，曲江（由峨山小街至入南盘江口）属于一级水功能区曲江峨山—华宁保留区，水质现状为III类，目标水质为III类。本项目不涉及土壤污染。固体废物均能妥善处置。</w:t>
                  </w:r>
                </w:p>
              </w:tc>
              <w:tc>
                <w:tcPr>
                  <w:tcW w:w="459" w:type="pct"/>
                  <w:vAlign w:val="center"/>
                </w:tcPr>
                <w:p w14:paraId="29BF8CA9">
                  <w:pPr>
                    <w:pStyle w:val="42"/>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48B3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34E1285B">
                  <w:pPr>
                    <w:pStyle w:val="4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w:t>
                  </w:r>
                </w:p>
              </w:tc>
              <w:tc>
                <w:tcPr>
                  <w:tcW w:w="4482" w:type="pct"/>
                  <w:gridSpan w:val="3"/>
                  <w:vAlign w:val="center"/>
                </w:tcPr>
                <w:p w14:paraId="37E66EAE">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加快推动绿色低碳发展</w:t>
                  </w:r>
                </w:p>
              </w:tc>
            </w:tr>
            <w:tr w14:paraId="783D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7952FBF5">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2175" w:type="pct"/>
                  <w:vAlign w:val="center"/>
                </w:tcPr>
                <w:p w14:paraId="4EC8FD9D">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推进碳达峰行动。处理好减污降碳和能源安全、产业链供应链安全、粮食安全、群众正常生活的关系，推动重点领域、重点行业碳达峰行动。在国家统一规划的前提下，支持有条件的地区和重点行业、重点企业率先达峰。</w:t>
                  </w:r>
                </w:p>
              </w:tc>
              <w:tc>
                <w:tcPr>
                  <w:tcW w:w="1847" w:type="pct"/>
                  <w:vAlign w:val="center"/>
                </w:tcPr>
                <w:p w14:paraId="1DA08F86">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项目使用能源主要为电能，</w:t>
                  </w:r>
                  <w:r>
                    <w:rPr>
                      <w:rFonts w:hint="default" w:ascii="Times New Roman" w:hAnsi="Times New Roman" w:cs="Times New Roman"/>
                      <w:color w:val="auto"/>
                      <w:sz w:val="21"/>
                      <w:szCs w:val="21"/>
                      <w:lang w:val="en-US" w:eastAsia="zh-CN"/>
                    </w:rPr>
                    <w:t>设备维护和维修使用少量</w:t>
                  </w:r>
                  <w:r>
                    <w:rPr>
                      <w:rFonts w:hint="eastAsia" w:cs="Times New Roman"/>
                      <w:color w:val="auto"/>
                      <w:sz w:val="21"/>
                      <w:szCs w:val="21"/>
                      <w:lang w:val="en-US" w:eastAsia="zh-CN"/>
                    </w:rPr>
                    <w:t>润滑油</w:t>
                  </w:r>
                  <w:r>
                    <w:rPr>
                      <w:rFonts w:hint="default" w:ascii="Times New Roman" w:hAnsi="Times New Roman" w:eastAsia="宋体" w:cs="Times New Roman"/>
                      <w:color w:val="auto"/>
                      <w:sz w:val="21"/>
                      <w:szCs w:val="21"/>
                    </w:rPr>
                    <w:t>。项目不属于重点领域、重点行业项目。</w:t>
                  </w:r>
                </w:p>
              </w:tc>
              <w:tc>
                <w:tcPr>
                  <w:tcW w:w="459" w:type="pct"/>
                  <w:vAlign w:val="center"/>
                </w:tcPr>
                <w:p w14:paraId="4BE7E89E">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6E2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2A8772EE">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2175" w:type="pct"/>
                  <w:vAlign w:val="center"/>
                </w:tcPr>
                <w:p w14:paraId="0DF5A042">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坚决遏制高耗能高排放项目盲目发展。坚决停批停建不符合规定的项目，深入推进产业补链延链强链、绿色低碳转型。严格落实产能置换和产能控制政策，实施粗钢产能清理整顿。</w:t>
                  </w:r>
                </w:p>
              </w:tc>
              <w:tc>
                <w:tcPr>
                  <w:tcW w:w="1847" w:type="pct"/>
                  <w:vAlign w:val="center"/>
                </w:tcPr>
                <w:p w14:paraId="6312CB3E">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项目不属于高耗能高排放项目。</w:t>
                  </w:r>
                </w:p>
              </w:tc>
              <w:tc>
                <w:tcPr>
                  <w:tcW w:w="459" w:type="pct"/>
                  <w:vAlign w:val="center"/>
                </w:tcPr>
                <w:p w14:paraId="6BA4B6EF">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F66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510ECA2B">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w:t>
                  </w:r>
                </w:p>
              </w:tc>
              <w:tc>
                <w:tcPr>
                  <w:tcW w:w="2175" w:type="pct"/>
                  <w:vAlign w:val="center"/>
                </w:tcPr>
                <w:p w14:paraId="4051A397">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加强生态环境分区管控。优化生态环境分区管控格局，不断完善“三线一单”生态环境分区管控体系。开展重大经济技术政策的生态环境影响分析和重大生态环境政策的社会经济影响评估。</w:t>
                  </w:r>
                </w:p>
              </w:tc>
              <w:tc>
                <w:tcPr>
                  <w:tcW w:w="1847" w:type="pct"/>
                  <w:vAlign w:val="center"/>
                </w:tcPr>
                <w:p w14:paraId="2506EDB5">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本项目为砂石骨料生产项目，与</w:t>
                  </w:r>
                  <w:r>
                    <w:rPr>
                      <w:rFonts w:hint="default" w:ascii="Times New Roman" w:hAnsi="Times New Roman" w:cs="Times New Roman"/>
                      <w:color w:val="auto"/>
                      <w:sz w:val="21"/>
                      <w:szCs w:val="21"/>
                      <w:lang w:val="en-US" w:eastAsia="zh-CN"/>
                    </w:rPr>
                    <w:t>《玉溪市生态环境局关于印发玉溪市生态环境分区管控动态更新调整方案（2023 年）的通知》（玉市环〔2024〕40 号）</w:t>
                  </w:r>
                  <w:r>
                    <w:rPr>
                      <w:rFonts w:hint="default" w:ascii="Times New Roman" w:hAnsi="Times New Roman" w:eastAsia="宋体" w:cs="Times New Roman"/>
                      <w:color w:val="auto"/>
                      <w:sz w:val="21"/>
                      <w:szCs w:val="21"/>
                    </w:rPr>
                    <w:t>相符。</w:t>
                  </w:r>
                </w:p>
              </w:tc>
              <w:tc>
                <w:tcPr>
                  <w:tcW w:w="459" w:type="pct"/>
                  <w:vAlign w:val="center"/>
                </w:tcPr>
                <w:p w14:paraId="0E64055B">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E36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0651BAAB">
                  <w:pPr>
                    <w:pStyle w:val="4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w:t>
                  </w:r>
                </w:p>
              </w:tc>
              <w:tc>
                <w:tcPr>
                  <w:tcW w:w="4482" w:type="pct"/>
                  <w:gridSpan w:val="3"/>
                  <w:vAlign w:val="center"/>
                </w:tcPr>
                <w:p w14:paraId="713F8D1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深入打好蓝天保卫战</w:t>
                  </w:r>
                </w:p>
              </w:tc>
            </w:tr>
            <w:tr w14:paraId="0322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3B0EAF0F">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2175" w:type="pct"/>
                  <w:vAlign w:val="center"/>
                </w:tcPr>
                <w:p w14:paraId="6B6ED33B">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打好建筑施工工地扬尘污染治理攻坚战。全面推行绿色施工，落实施工工地“六个百分之百”工作要求，推动扬尘精细化管控。加强建筑渣土运输管理，严格落实密闭运输措施。强化施工、道路、堆场、裸露地面等扬尘管控。</w:t>
                  </w:r>
                </w:p>
              </w:tc>
              <w:tc>
                <w:tcPr>
                  <w:tcW w:w="1847" w:type="pct"/>
                  <w:vAlign w:val="center"/>
                </w:tcPr>
                <w:p w14:paraId="63007CAF">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施工场地采取洒水措施降尘；细碎物料堆存采用篷布遮盖；粉料密闭运输。临时堆放场采取围挡、遮盖、洒水</w:t>
                  </w:r>
                  <w:r>
                    <w:rPr>
                      <w:rFonts w:hint="default" w:ascii="Times New Roman" w:hAnsi="Times New Roman" w:cs="Times New Roman"/>
                      <w:color w:val="auto"/>
                      <w:sz w:val="21"/>
                      <w:szCs w:val="21"/>
                      <w:lang w:val="en-US" w:eastAsia="zh-CN"/>
                    </w:rPr>
                    <w:t>等</w:t>
                  </w:r>
                  <w:r>
                    <w:rPr>
                      <w:rFonts w:hint="default" w:ascii="Times New Roman" w:hAnsi="Times New Roman" w:eastAsia="宋体" w:cs="Times New Roman"/>
                      <w:color w:val="auto"/>
                      <w:sz w:val="21"/>
                      <w:szCs w:val="21"/>
                    </w:rPr>
                    <w:t>防尘措施。</w:t>
                  </w:r>
                </w:p>
              </w:tc>
              <w:tc>
                <w:tcPr>
                  <w:tcW w:w="459" w:type="pct"/>
                  <w:vAlign w:val="center"/>
                </w:tcPr>
                <w:p w14:paraId="64D04E36">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84C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2B1CB56D">
                  <w:pPr>
                    <w:pStyle w:val="4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四</w:t>
                  </w:r>
                </w:p>
              </w:tc>
              <w:tc>
                <w:tcPr>
                  <w:tcW w:w="4482" w:type="pct"/>
                  <w:gridSpan w:val="3"/>
                  <w:vAlign w:val="center"/>
                </w:tcPr>
                <w:p w14:paraId="79046F29">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深入打好碧水保卫战</w:t>
                  </w:r>
                </w:p>
              </w:tc>
            </w:tr>
            <w:tr w14:paraId="402A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2B1AA23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2175" w:type="pct"/>
                  <w:vAlign w:val="center"/>
                </w:tcPr>
                <w:p w14:paraId="4ED720E5">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深入打好珠江流域（云南段）保护治理攻坚战。强化南盘江总磷超标治理，持续推进重金属行业企业排查整治。加强南盘江干流及重要支流水生态环境综合治理。</w:t>
                  </w:r>
                </w:p>
              </w:tc>
              <w:tc>
                <w:tcPr>
                  <w:tcW w:w="1847" w:type="pct"/>
                  <w:vAlign w:val="center"/>
                </w:tcPr>
                <w:p w14:paraId="1DAC6C24">
                  <w:pPr>
                    <w:pStyle w:val="6"/>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项目施工期废（污）水全部处理利用；</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运营期</w:t>
                  </w:r>
                  <w:r>
                    <w:rPr>
                      <w:rFonts w:hint="default" w:ascii="Times New Roman" w:hAnsi="Times New Roman" w:eastAsia="宋体" w:cs="Times New Roman"/>
                      <w:color w:val="auto"/>
                      <w:sz w:val="21"/>
                      <w:szCs w:val="21"/>
                      <w:lang w:val="en-US" w:eastAsia="zh-CN"/>
                    </w:rPr>
                    <w:t>除尘废水</w:t>
                  </w:r>
                  <w:r>
                    <w:rPr>
                      <w:rFonts w:hint="default" w:ascii="Times New Roman" w:hAnsi="Times New Roman" w:cs="Times New Roman"/>
                      <w:color w:val="auto"/>
                      <w:sz w:val="21"/>
                      <w:szCs w:val="21"/>
                      <w:lang w:val="en-US" w:eastAsia="zh-CN"/>
                    </w:rPr>
                    <w:t>自然蒸发，不外排</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洗砂废水</w:t>
                  </w:r>
                  <w:r>
                    <w:rPr>
                      <w:rFonts w:hint="default" w:ascii="Times New Roman" w:hAnsi="Times New Roman" w:eastAsia="宋体" w:cs="Times New Roman"/>
                      <w:color w:val="auto"/>
                      <w:sz w:val="21"/>
                      <w:szCs w:val="21"/>
                      <w:lang w:val="en-US" w:eastAsia="zh-CN"/>
                    </w:rPr>
                    <w:t>沉淀后回用于</w:t>
                  </w:r>
                  <w:r>
                    <w:rPr>
                      <w:rFonts w:hint="default" w:ascii="Times New Roman" w:hAnsi="Times New Roman" w:cs="Times New Roman"/>
                      <w:color w:val="auto"/>
                      <w:sz w:val="21"/>
                      <w:szCs w:val="21"/>
                      <w:lang w:val="en-US" w:eastAsia="zh-CN"/>
                    </w:rPr>
                    <w:t>洗砂</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项目食堂废水和生活污水经隔油池</w:t>
                  </w:r>
                  <w:r>
                    <w:rPr>
                      <w:rFonts w:hint="eastAsia" w:cs="Times New Roman"/>
                      <w:color w:val="auto"/>
                      <w:sz w:val="21"/>
                      <w:szCs w:val="21"/>
                      <w:lang w:eastAsia="zh-CN"/>
                    </w:rPr>
                    <w:t>、</w:t>
                  </w:r>
                  <w:r>
                    <w:rPr>
                      <w:rFonts w:hint="default" w:ascii="Times New Roman" w:hAnsi="Times New Roman" w:cs="Times New Roman"/>
                      <w:color w:val="auto"/>
                      <w:sz w:val="21"/>
                      <w:szCs w:val="21"/>
                    </w:rPr>
                    <w:t>化粪池处理后，定期使用吸粪车清</w:t>
                  </w:r>
                  <w:r>
                    <w:rPr>
                      <w:rFonts w:hint="eastAsia" w:cs="Times New Roman"/>
                      <w:color w:val="auto"/>
                      <w:sz w:val="21"/>
                      <w:szCs w:val="21"/>
                      <w:lang w:val="en-US" w:eastAsia="zh-CN"/>
                    </w:rPr>
                    <w:t>运至华宁县污水处理厂处理</w:t>
                  </w:r>
                  <w:r>
                    <w:rPr>
                      <w:rFonts w:hint="default" w:ascii="Times New Roman" w:hAnsi="Times New Roman" w:cs="Times New Roman"/>
                      <w:color w:val="auto"/>
                      <w:sz w:val="21"/>
                      <w:szCs w:val="21"/>
                    </w:rPr>
                    <w:t>，不外排</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无废水排放；初期雨水收集沉淀后回用</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对</w:t>
                  </w:r>
                  <w:r>
                    <w:rPr>
                      <w:rFonts w:hint="eastAsia" w:cs="Times New Roman"/>
                      <w:color w:val="auto"/>
                      <w:sz w:val="21"/>
                      <w:szCs w:val="21"/>
                      <w:lang w:val="en-US" w:eastAsia="zh-CN"/>
                    </w:rPr>
                    <w:t>地表水</w:t>
                  </w:r>
                  <w:r>
                    <w:rPr>
                      <w:rFonts w:hint="default" w:ascii="Times New Roman" w:hAnsi="Times New Roman" w:cs="Times New Roman"/>
                      <w:color w:val="auto"/>
                      <w:sz w:val="21"/>
                      <w:szCs w:val="21"/>
                      <w:lang w:val="en-US" w:eastAsia="zh-CN"/>
                    </w:rPr>
                    <w:t>影响</w:t>
                  </w:r>
                  <w:r>
                    <w:rPr>
                      <w:rFonts w:hint="eastAsia" w:cs="Times New Roman"/>
                      <w:color w:val="auto"/>
                      <w:sz w:val="21"/>
                      <w:szCs w:val="21"/>
                      <w:lang w:val="en-US" w:eastAsia="zh-CN"/>
                    </w:rPr>
                    <w:t>小</w:t>
                  </w:r>
                  <w:r>
                    <w:rPr>
                      <w:rFonts w:hint="default" w:ascii="Times New Roman" w:hAnsi="Times New Roman" w:cs="Times New Roman"/>
                      <w:color w:val="auto"/>
                      <w:sz w:val="21"/>
                      <w:szCs w:val="21"/>
                      <w:lang w:val="en-US" w:eastAsia="zh-CN"/>
                    </w:rPr>
                    <w:t>。</w:t>
                  </w:r>
                </w:p>
              </w:tc>
              <w:tc>
                <w:tcPr>
                  <w:tcW w:w="459" w:type="pct"/>
                  <w:vAlign w:val="center"/>
                </w:tcPr>
                <w:p w14:paraId="211BB50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4F9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1453173B">
                  <w:pPr>
                    <w:pStyle w:val="42"/>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五</w:t>
                  </w:r>
                </w:p>
              </w:tc>
              <w:tc>
                <w:tcPr>
                  <w:tcW w:w="4482" w:type="pct"/>
                  <w:gridSpan w:val="3"/>
                  <w:vAlign w:val="center"/>
                </w:tcPr>
                <w:p w14:paraId="571BAFEB">
                  <w:pPr>
                    <w:pStyle w:val="42"/>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深入打好净土保卫战</w:t>
                  </w:r>
                </w:p>
              </w:tc>
            </w:tr>
            <w:tr w14:paraId="0CA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2080E75F">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2175" w:type="pct"/>
                  <w:vAlign w:val="center"/>
                </w:tcPr>
                <w:p w14:paraId="2149E3C8">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打好农业农村污染治理攻坚战。因地制宜推进农村厕所革命、生活污水治理、生活垃圾治理，基本消除较大面积的农村黑臭水体。实施化肥农药减量增效行动和农膜回收行动，推进农作物秸秆综合利用和畜禽粪污资源化利用。</w:t>
                  </w:r>
                </w:p>
              </w:tc>
              <w:tc>
                <w:tcPr>
                  <w:tcW w:w="1847" w:type="pct"/>
                  <w:vAlign w:val="center"/>
                </w:tcPr>
                <w:p w14:paraId="347F4DAA">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本项目生活垃圾用桶收集起来，运送至法果村生活垃圾处置点处置；生活污水经化粪池和隔油池处理后，定期使用吸粪车清运至华宁县污水池立场处理。本项目生活垃圾和生活污水均能妥善处置。</w:t>
                  </w:r>
                </w:p>
              </w:tc>
              <w:tc>
                <w:tcPr>
                  <w:tcW w:w="459" w:type="pct"/>
                  <w:vAlign w:val="center"/>
                </w:tcPr>
                <w:p w14:paraId="2F637F13">
                  <w:pPr>
                    <w:pStyle w:val="42"/>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4198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0488B2F5">
                  <w:pPr>
                    <w:pStyle w:val="42"/>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六</w:t>
                  </w:r>
                  <w:r>
                    <w:rPr>
                      <w:rFonts w:hint="eastAsia" w:cs="Times New Roman"/>
                      <w:color w:val="auto"/>
                      <w:sz w:val="21"/>
                      <w:szCs w:val="21"/>
                      <w:lang w:eastAsia="zh-CN"/>
                    </w:rPr>
                    <w:t>）</w:t>
                  </w:r>
                </w:p>
              </w:tc>
              <w:tc>
                <w:tcPr>
                  <w:tcW w:w="2175" w:type="pct"/>
                  <w:vAlign w:val="center"/>
                </w:tcPr>
                <w:p w14:paraId="7563CB7E">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进一步加强重金属污染防控。完善重金属污染物排放全口径清单动态调整机制。依法依规推动有色金属矿采选、冶炼行业落后和低效产能退出。深入开展重点行业重金属污染治理。</w:t>
                  </w:r>
                </w:p>
              </w:tc>
              <w:tc>
                <w:tcPr>
                  <w:tcW w:w="1847" w:type="pct"/>
                  <w:vAlign w:val="center"/>
                </w:tcPr>
                <w:p w14:paraId="3AD9B329">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本项目属于尾料加工生产项目，</w:t>
                  </w:r>
                  <w:r>
                    <w:rPr>
                      <w:rFonts w:hint="default" w:ascii="Times New Roman" w:hAnsi="Times New Roman" w:cs="Times New Roman"/>
                      <w:b w:val="0"/>
                      <w:bCs/>
                      <w:color w:val="auto"/>
                      <w:sz w:val="21"/>
                      <w:szCs w:val="21"/>
                      <w:lang w:val="en-US" w:eastAsia="zh-CN"/>
                    </w:rPr>
                    <w:t>项目主要生产原辅料来源于玉昆珠峰采石场</w:t>
                  </w:r>
                  <w:r>
                    <w:rPr>
                      <w:rFonts w:hint="eastAsia" w:ascii="Times New Roman" w:hAnsi="Times New Roman" w:cs="Times New Roman"/>
                      <w:b w:val="0"/>
                      <w:bCs/>
                      <w:color w:val="auto"/>
                      <w:sz w:val="21"/>
                      <w:szCs w:val="21"/>
                      <w:lang w:val="en-US" w:eastAsia="zh-CN"/>
                    </w:rPr>
                    <w:t>（玉溪致鑫建材有限公司位于玉溪市华宁县宁州镇平地村委会境内的云南绿色钢城玉昆项目配套冶炼用石灰岩矿矿产资源开发利用项目）</w:t>
                  </w:r>
                  <w:r>
                    <w:rPr>
                      <w:rFonts w:hint="default" w:ascii="Times New Roman" w:hAnsi="Times New Roman" w:cs="Times New Roman"/>
                      <w:b w:val="0"/>
                      <w:bCs/>
                      <w:color w:val="auto"/>
                      <w:sz w:val="21"/>
                      <w:szCs w:val="21"/>
                      <w:lang w:val="en-US" w:eastAsia="zh-CN"/>
                    </w:rPr>
                    <w:t>产生的尾料</w:t>
                  </w:r>
                  <w:r>
                    <w:rPr>
                      <w:rFonts w:hint="eastAsia" w:ascii="Times New Roman" w:hAnsi="Times New Roman" w:cs="Times New Roman"/>
                      <w:b w:val="0"/>
                      <w:bCs/>
                      <w:color w:val="auto"/>
                      <w:sz w:val="21"/>
                      <w:szCs w:val="21"/>
                      <w:lang w:val="en-US" w:eastAsia="zh-CN"/>
                    </w:rPr>
                    <w:t>，其原料不包含有色金属矿物。</w:t>
                  </w:r>
                </w:p>
              </w:tc>
              <w:tc>
                <w:tcPr>
                  <w:tcW w:w="459" w:type="pct"/>
                  <w:vAlign w:val="center"/>
                </w:tcPr>
                <w:p w14:paraId="0774E1FD">
                  <w:pPr>
                    <w:pStyle w:val="42"/>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2B22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2BC6A11E">
                  <w:pPr>
                    <w:pStyle w:val="42"/>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七</w:t>
                  </w:r>
                  <w:r>
                    <w:rPr>
                      <w:rFonts w:hint="eastAsia" w:cs="Times New Roman"/>
                      <w:color w:val="auto"/>
                      <w:sz w:val="21"/>
                      <w:szCs w:val="21"/>
                      <w:lang w:eastAsia="zh-CN"/>
                    </w:rPr>
                    <w:t>）</w:t>
                  </w:r>
                </w:p>
              </w:tc>
              <w:tc>
                <w:tcPr>
                  <w:tcW w:w="2175" w:type="pct"/>
                  <w:vAlign w:val="center"/>
                </w:tcPr>
                <w:p w14:paraId="49C4788C">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强化地下水污染协同防治。持续开展地下水环境状况调查评估，加强地下水型饮用水水源补给区保护，开展地下水污染防治重点区划定及污染风险管控。</w:t>
                  </w:r>
                </w:p>
              </w:tc>
              <w:tc>
                <w:tcPr>
                  <w:tcW w:w="1847" w:type="pct"/>
                  <w:vAlign w:val="center"/>
                </w:tcPr>
                <w:p w14:paraId="57BF8AE7">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本项目位于华宁县宁州街道法果村原法果红砖厂，未涉及</w:t>
                  </w:r>
                  <w:r>
                    <w:rPr>
                      <w:rFonts w:hint="eastAsia" w:ascii="Times New Roman" w:hAnsi="Times New Roman" w:cs="Times New Roman"/>
                      <w:color w:val="auto"/>
                      <w:sz w:val="21"/>
                      <w:szCs w:val="21"/>
                      <w:lang w:val="en-US" w:eastAsia="zh-CN"/>
                    </w:rPr>
                    <w:t>地下水饮用水水源</w:t>
                  </w:r>
                  <w:r>
                    <w:rPr>
                      <w:rFonts w:hint="default" w:ascii="Times New Roman" w:hAnsi="Times New Roman" w:cs="Times New Roman"/>
                      <w:color w:val="auto"/>
                      <w:sz w:val="21"/>
                      <w:szCs w:val="21"/>
                      <w:lang w:val="en-US" w:eastAsia="zh-CN"/>
                    </w:rPr>
                    <w:t>。</w:t>
                  </w:r>
                </w:p>
              </w:tc>
              <w:tc>
                <w:tcPr>
                  <w:tcW w:w="459" w:type="pct"/>
                  <w:vAlign w:val="center"/>
                </w:tcPr>
                <w:p w14:paraId="3EBA8FCD">
                  <w:pPr>
                    <w:pStyle w:val="42"/>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6475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18AA0970">
                  <w:pPr>
                    <w:pStyle w:val="42"/>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六</w:t>
                  </w:r>
                </w:p>
              </w:tc>
              <w:tc>
                <w:tcPr>
                  <w:tcW w:w="4482" w:type="pct"/>
                  <w:gridSpan w:val="3"/>
                  <w:vAlign w:val="center"/>
                </w:tcPr>
                <w:p w14:paraId="09E064D0">
                  <w:pPr>
                    <w:pStyle w:val="42"/>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切实维护生态环境安全</w:t>
                  </w:r>
                </w:p>
              </w:tc>
            </w:tr>
            <w:tr w14:paraId="1E7F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064809D0">
                  <w:pPr>
                    <w:pStyle w:val="42"/>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三</w:t>
                  </w:r>
                  <w:r>
                    <w:rPr>
                      <w:rFonts w:hint="eastAsia" w:cs="Times New Roman"/>
                      <w:color w:val="auto"/>
                      <w:sz w:val="21"/>
                      <w:szCs w:val="21"/>
                      <w:lang w:eastAsia="zh-CN"/>
                    </w:rPr>
                    <w:t>）</w:t>
                  </w:r>
                </w:p>
              </w:tc>
              <w:tc>
                <w:tcPr>
                  <w:tcW w:w="2175" w:type="pct"/>
                  <w:vAlign w:val="center"/>
                </w:tcPr>
                <w:p w14:paraId="44727EC1">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强化生态保护监督管理。构建完善生态监测网络，加强自然保护地和生态保护红线执法监管。支持有条件的地区积极开展生态文明建设示范创建。</w:t>
                  </w:r>
                </w:p>
              </w:tc>
              <w:tc>
                <w:tcPr>
                  <w:tcW w:w="1847" w:type="pct"/>
                  <w:vAlign w:val="center"/>
                </w:tcPr>
                <w:p w14:paraId="3C874EFB">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本项目正在按照相关规定办理环评手续。</w:t>
                  </w:r>
                  <w:r>
                    <w:rPr>
                      <w:rFonts w:hint="default" w:ascii="Times New Roman" w:hAnsi="Times New Roman" w:cs="Times New Roman"/>
                      <w:color w:val="auto"/>
                      <w:sz w:val="21"/>
                      <w:szCs w:val="21"/>
                      <w:lang w:val="en-US" w:eastAsia="zh-CN"/>
                    </w:rPr>
                    <w:t>本项目位于华宁县宁州街道法果村原法果红砖厂，根据华宁县自然资源局查询结果，本项目不涉及生态保护红线。</w:t>
                  </w:r>
                </w:p>
              </w:tc>
              <w:tc>
                <w:tcPr>
                  <w:tcW w:w="459" w:type="pct"/>
                  <w:vAlign w:val="center"/>
                </w:tcPr>
                <w:p w14:paraId="41CC10FF">
                  <w:pPr>
                    <w:pStyle w:val="42"/>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5055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2592792D">
                  <w:pPr>
                    <w:pStyle w:val="42"/>
                    <w:rPr>
                      <w:rFonts w:hint="default" w:cs="Times New Roman"/>
                      <w:color w:val="auto"/>
                      <w:sz w:val="21"/>
                      <w:szCs w:val="21"/>
                      <w:lang w:val="en-US" w:eastAsia="zh-CN"/>
                    </w:rPr>
                  </w:pPr>
                  <w:r>
                    <w:rPr>
                      <w:rFonts w:hint="eastAsia" w:cs="Times New Roman"/>
                      <w:b/>
                      <w:bCs/>
                      <w:color w:val="auto"/>
                      <w:sz w:val="21"/>
                      <w:szCs w:val="21"/>
                      <w:lang w:val="en-US" w:eastAsia="zh-CN"/>
                    </w:rPr>
                    <w:t>七</w:t>
                  </w:r>
                </w:p>
              </w:tc>
              <w:tc>
                <w:tcPr>
                  <w:tcW w:w="4482" w:type="pct"/>
                  <w:gridSpan w:val="3"/>
                  <w:vAlign w:val="center"/>
                </w:tcPr>
                <w:p w14:paraId="4FDC06F2">
                  <w:pPr>
                    <w:pStyle w:val="42"/>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提高生态环境治理现代化水平</w:t>
                  </w:r>
                </w:p>
              </w:tc>
            </w:tr>
            <w:tr w14:paraId="1F81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vAlign w:val="center"/>
                </w:tcPr>
                <w:p w14:paraId="6FC8B1EF">
                  <w:pPr>
                    <w:pStyle w:val="42"/>
                    <w:rPr>
                      <w:rFonts w:hint="eastAsia" w:cs="Times New Roman"/>
                      <w:color w:val="auto"/>
                      <w:sz w:val="21"/>
                      <w:szCs w:val="21"/>
                      <w:lang w:val="en-US" w:eastAsia="zh-CN"/>
                    </w:rPr>
                  </w:pPr>
                  <w:r>
                    <w:rPr>
                      <w:rFonts w:hint="eastAsia" w:cs="Times New Roman"/>
                      <w:color w:val="auto"/>
                      <w:sz w:val="21"/>
                      <w:szCs w:val="21"/>
                      <w:lang w:val="en-US" w:eastAsia="zh-CN"/>
                    </w:rPr>
                    <w:t>（一）</w:t>
                  </w:r>
                </w:p>
              </w:tc>
              <w:tc>
                <w:tcPr>
                  <w:tcW w:w="2175" w:type="pct"/>
                  <w:vAlign w:val="center"/>
                </w:tcPr>
                <w:p w14:paraId="565ABEF9">
                  <w:pPr>
                    <w:pStyle w:val="4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打好城镇生活污水垃圾治理攻坚战。开展城市（县城）排水管网排查整治，提升污水处理厂出水水质。因地制宜推进乡镇镇区生活污水治理。加快生活垃圾处理设施建设，提升垃圾分类收集转运能力和厨余垃圾处理能力。</w:t>
                  </w:r>
                </w:p>
              </w:tc>
              <w:tc>
                <w:tcPr>
                  <w:tcW w:w="1847" w:type="pct"/>
                  <w:vAlign w:val="center"/>
                </w:tcPr>
                <w:p w14:paraId="45E964CF">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本项目生活垃圾用桶收集起来，运送至法果村生活垃圾处置点处置；生活污水经化粪池和隔油池处理后，定期使用吸粪车清运至华宁县污水池立场处理。本项目生活垃圾和生活污水均能妥善处置。</w:t>
                  </w:r>
                </w:p>
              </w:tc>
              <w:tc>
                <w:tcPr>
                  <w:tcW w:w="459" w:type="pct"/>
                  <w:vAlign w:val="center"/>
                </w:tcPr>
                <w:p w14:paraId="56E0C27A">
                  <w:pPr>
                    <w:pStyle w:val="42"/>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bl>
          <w:p w14:paraId="6DF8C85A">
            <w:pPr>
              <w:ind w:firstLine="480"/>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rPr>
              <w:t>根据对比分析结果，本项目与中共云南省委云南省人民政府《关于深入打好污染防治攻坚战的实施意见》相符。</w:t>
            </w:r>
          </w:p>
          <w:p w14:paraId="573AF69B">
            <w:pPr>
              <w:pStyle w:val="37"/>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9</w:t>
            </w:r>
            <w:r>
              <w:rPr>
                <w:rFonts w:hint="default" w:ascii="Times New Roman" w:hAnsi="Times New Roman" w:cs="Times New Roman"/>
                <w:b/>
                <w:bCs/>
                <w:color w:val="auto"/>
                <w:sz w:val="24"/>
                <w:szCs w:val="24"/>
                <w:lang w:val="en-US" w:eastAsia="zh-CN"/>
              </w:rPr>
              <w:t>本项目与“十四五大宗固体废弃物综合利用的指导意见”（发改环资</w:t>
            </w:r>
            <w:r>
              <w:rPr>
                <w:rFonts w:hint="default" w:ascii="Times New Roman" w:hAnsi="Times New Roman" w:cs="Times New Roman"/>
                <w:b/>
                <w:bCs/>
                <w:color w:val="auto"/>
                <w:spacing w:val="9"/>
                <w:kern w:val="0"/>
                <w:sz w:val="24"/>
                <w:szCs w:val="24"/>
              </w:rPr>
              <w:t>〔20</w:t>
            </w:r>
            <w:r>
              <w:rPr>
                <w:rFonts w:hint="default" w:ascii="Times New Roman" w:hAnsi="Times New Roman" w:cs="Times New Roman"/>
                <w:b/>
                <w:bCs/>
                <w:color w:val="auto"/>
                <w:spacing w:val="9"/>
                <w:kern w:val="0"/>
                <w:sz w:val="24"/>
                <w:szCs w:val="24"/>
                <w:lang w:val="en-US" w:eastAsia="zh-CN"/>
              </w:rPr>
              <w:t>21</w:t>
            </w:r>
            <w:r>
              <w:rPr>
                <w:rFonts w:hint="default" w:ascii="Times New Roman" w:hAnsi="Times New Roman" w:cs="Times New Roman"/>
                <w:b/>
                <w:bCs/>
                <w:color w:val="auto"/>
                <w:spacing w:val="9"/>
                <w:kern w:val="0"/>
                <w:sz w:val="24"/>
                <w:szCs w:val="24"/>
              </w:rPr>
              <w:t>〕</w:t>
            </w:r>
            <w:r>
              <w:rPr>
                <w:rFonts w:hint="default" w:ascii="Times New Roman" w:hAnsi="Times New Roman" w:cs="Times New Roman"/>
                <w:b/>
                <w:bCs/>
                <w:color w:val="auto"/>
                <w:spacing w:val="9"/>
                <w:kern w:val="0"/>
                <w:sz w:val="24"/>
                <w:szCs w:val="24"/>
                <w:lang w:val="en-US" w:eastAsia="zh-CN"/>
              </w:rPr>
              <w:t>381</w:t>
            </w:r>
            <w:r>
              <w:rPr>
                <w:rFonts w:hint="default" w:ascii="Times New Roman" w:hAnsi="Times New Roman" w:cs="Times New Roman"/>
                <w:b/>
                <w:bCs/>
                <w:color w:val="auto"/>
                <w:spacing w:val="9"/>
                <w:kern w:val="0"/>
                <w:sz w:val="24"/>
                <w:szCs w:val="24"/>
              </w:rPr>
              <w:t>号</w:t>
            </w:r>
            <w:r>
              <w:rPr>
                <w:rFonts w:hint="default" w:ascii="Times New Roman" w:hAnsi="Times New Roman" w:cs="Times New Roman"/>
                <w:b/>
                <w:bCs/>
                <w:color w:val="auto"/>
                <w:sz w:val="24"/>
                <w:szCs w:val="24"/>
                <w:lang w:val="en-US" w:eastAsia="zh-CN"/>
              </w:rPr>
              <w:t>）的符合性分析</w:t>
            </w:r>
          </w:p>
          <w:p w14:paraId="1EE90C82">
            <w:pPr>
              <w:pStyle w:val="37"/>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表1-1</w:t>
            </w:r>
            <w:r>
              <w:rPr>
                <w:rFonts w:hint="eastAsia" w:cs="Times New Roman"/>
                <w:b/>
                <w:bCs/>
                <w:color w:val="auto"/>
                <w:sz w:val="21"/>
                <w:szCs w:val="21"/>
                <w:lang w:val="en-US" w:eastAsia="zh-CN"/>
              </w:rPr>
              <w:t>0</w:t>
            </w:r>
            <w:r>
              <w:rPr>
                <w:rFonts w:hint="default" w:ascii="Times New Roman" w:hAnsi="Times New Roman" w:cs="Times New Roman"/>
                <w:b/>
                <w:bCs/>
                <w:color w:val="auto"/>
                <w:sz w:val="21"/>
                <w:szCs w:val="21"/>
                <w:lang w:val="en-US" w:eastAsia="zh-CN"/>
              </w:rPr>
              <w:t>本项目与“十四五大宗固体废弃物综合利用指导意见”（发改环资</w:t>
            </w:r>
            <w:r>
              <w:rPr>
                <w:rFonts w:hint="default" w:ascii="Times New Roman" w:hAnsi="Times New Roman" w:cs="Times New Roman"/>
                <w:b/>
                <w:bCs/>
                <w:color w:val="auto"/>
                <w:spacing w:val="9"/>
                <w:kern w:val="0"/>
                <w:sz w:val="21"/>
                <w:szCs w:val="21"/>
              </w:rPr>
              <w:t>〔20</w:t>
            </w:r>
            <w:r>
              <w:rPr>
                <w:rFonts w:hint="default" w:ascii="Times New Roman" w:hAnsi="Times New Roman" w:cs="Times New Roman"/>
                <w:b/>
                <w:bCs/>
                <w:color w:val="auto"/>
                <w:spacing w:val="9"/>
                <w:kern w:val="0"/>
                <w:sz w:val="21"/>
                <w:szCs w:val="21"/>
                <w:lang w:val="en-US" w:eastAsia="zh-CN"/>
              </w:rPr>
              <w:t>21</w:t>
            </w:r>
            <w:r>
              <w:rPr>
                <w:rFonts w:hint="default" w:ascii="Times New Roman" w:hAnsi="Times New Roman" w:cs="Times New Roman"/>
                <w:b/>
                <w:bCs/>
                <w:color w:val="auto"/>
                <w:spacing w:val="9"/>
                <w:kern w:val="0"/>
                <w:sz w:val="21"/>
                <w:szCs w:val="21"/>
              </w:rPr>
              <w:t>〕</w:t>
            </w:r>
            <w:r>
              <w:rPr>
                <w:rFonts w:hint="default" w:ascii="Times New Roman" w:hAnsi="Times New Roman" w:cs="Times New Roman"/>
                <w:b/>
                <w:bCs/>
                <w:color w:val="auto"/>
                <w:spacing w:val="9"/>
                <w:kern w:val="0"/>
                <w:sz w:val="21"/>
                <w:szCs w:val="21"/>
                <w:lang w:val="en-US" w:eastAsia="zh-CN"/>
              </w:rPr>
              <w:t>381</w:t>
            </w:r>
            <w:r>
              <w:rPr>
                <w:rFonts w:hint="default" w:ascii="Times New Roman" w:hAnsi="Times New Roman" w:cs="Times New Roman"/>
                <w:b/>
                <w:bCs/>
                <w:color w:val="auto"/>
                <w:spacing w:val="9"/>
                <w:kern w:val="0"/>
                <w:sz w:val="21"/>
                <w:szCs w:val="21"/>
              </w:rPr>
              <w:t>号</w:t>
            </w:r>
            <w:r>
              <w:rPr>
                <w:rFonts w:hint="default" w:ascii="Times New Roman" w:hAnsi="Times New Roman" w:cs="Times New Roman"/>
                <w:b/>
                <w:bCs/>
                <w:color w:val="auto"/>
                <w:sz w:val="21"/>
                <w:szCs w:val="21"/>
                <w:lang w:val="en-US" w:eastAsia="zh-CN"/>
              </w:rPr>
              <w:t>）（摘录）的符合性分析表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723"/>
              <w:gridCol w:w="2532"/>
              <w:gridCol w:w="994"/>
            </w:tblGrid>
            <w:tr w14:paraId="1534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01EDFCE5">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序号</w:t>
                  </w:r>
                </w:p>
              </w:tc>
              <w:tc>
                <w:tcPr>
                  <w:tcW w:w="3723" w:type="dxa"/>
                  <w:vAlign w:val="center"/>
                </w:tcPr>
                <w:p w14:paraId="72CB2B82">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文件要求</w:t>
                  </w:r>
                </w:p>
              </w:tc>
              <w:tc>
                <w:tcPr>
                  <w:tcW w:w="2532" w:type="dxa"/>
                  <w:vAlign w:val="center"/>
                </w:tcPr>
                <w:p w14:paraId="35DE6377">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本项目情况</w:t>
                  </w:r>
                </w:p>
              </w:tc>
              <w:tc>
                <w:tcPr>
                  <w:tcW w:w="994" w:type="dxa"/>
                  <w:vAlign w:val="center"/>
                </w:tcPr>
                <w:p w14:paraId="7655746C">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符合性</w:t>
                  </w:r>
                </w:p>
              </w:tc>
            </w:tr>
            <w:tr w14:paraId="2415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19474C47">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十</w:t>
                  </w:r>
                </w:p>
              </w:tc>
              <w:tc>
                <w:tcPr>
                  <w:tcW w:w="3723" w:type="dxa"/>
                  <w:vAlign w:val="center"/>
                </w:tcPr>
                <w:p w14:paraId="2540C5D7">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rPr>
                    <w:t>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tc>
              <w:tc>
                <w:tcPr>
                  <w:tcW w:w="2532" w:type="dxa"/>
                  <w:vAlign w:val="center"/>
                </w:tcPr>
                <w:p w14:paraId="7CB02984">
                  <w:pPr>
                    <w:pStyle w:val="6"/>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本项目利用《云南绿色钢城玉昆项目配套冶炼用石灰岩矿矿产资源开发利用项目》尾矿，</w:t>
                  </w:r>
                  <w:r>
                    <w:rPr>
                      <w:rFonts w:hint="default" w:ascii="Times New Roman" w:hAnsi="Times New Roman" w:cs="Times New Roman"/>
                      <w:b w:val="0"/>
                      <w:bCs/>
                      <w:color w:val="auto"/>
                      <w:sz w:val="21"/>
                      <w:szCs w:val="21"/>
                      <w:lang w:val="en-US" w:eastAsia="zh-CN"/>
                    </w:rPr>
                    <w:t>通过水洗、脱水、筛分，</w:t>
                  </w:r>
                  <w:r>
                    <w:rPr>
                      <w:rFonts w:hint="default" w:ascii="Times New Roman" w:hAnsi="Times New Roman" w:cs="Times New Roman"/>
                      <w:color w:val="auto"/>
                      <w:sz w:val="21"/>
                      <w:szCs w:val="21"/>
                      <w:lang w:val="en-US" w:eastAsia="zh-CN"/>
                    </w:rPr>
                    <w:t>生产</w:t>
                  </w:r>
                  <w:r>
                    <w:rPr>
                      <w:rFonts w:hint="default" w:ascii="Times New Roman" w:hAnsi="Times New Roman" w:eastAsia="宋体" w:cs="Times New Roman"/>
                      <w:b w:val="0"/>
                      <w:bCs/>
                      <w:color w:val="auto"/>
                      <w:sz w:val="21"/>
                      <w:szCs w:val="21"/>
                      <w:lang w:val="en-US" w:eastAsia="zh-CN"/>
                    </w:rPr>
                    <w:t>建筑用石</w:t>
                  </w:r>
                  <w:r>
                    <w:rPr>
                      <w:rFonts w:hint="default" w:ascii="Times New Roman" w:hAnsi="Times New Roman" w:cs="Times New Roman"/>
                      <w:b w:val="0"/>
                      <w:bCs/>
                      <w:color w:val="auto"/>
                      <w:sz w:val="21"/>
                      <w:szCs w:val="21"/>
                      <w:lang w:val="en-US" w:eastAsia="zh-CN"/>
                    </w:rPr>
                    <w:t>，提高资源利用率。</w:t>
                  </w:r>
                </w:p>
              </w:tc>
              <w:tc>
                <w:tcPr>
                  <w:tcW w:w="994" w:type="dxa"/>
                  <w:vAlign w:val="center"/>
                </w:tcPr>
                <w:p w14:paraId="05E50FEA">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0FF0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5CE0959C">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十二</w:t>
                  </w:r>
                </w:p>
              </w:tc>
              <w:tc>
                <w:tcPr>
                  <w:tcW w:w="3723" w:type="dxa"/>
                  <w:vAlign w:val="center"/>
                </w:tcPr>
                <w:p w14:paraId="2D66E42C">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rPr>
                    <w:t>实现源头减量。开展产废行业绿色设计，在生产过程充分考虑后续综合利用环节，切实从源头削减大宗固废。大力发展绿色矿业，推广应用矸石不出井模式，鼓励采矿企业利用尾矿、共伴生矿填充采空区、治理塌陷区，推动实现尾矿就地消纳。开展能源、冶金、化工等重点行业绿色化改造，不断优化工艺流程、改进技术装备，降低大宗固废产生强度。推动煤矸石、尾矿、钢铁渣等大宗固废产生过程自消纳，推动提升磷石膏、赤泥等复杂难用大宗固废净化处理水平，为综合利用创造条件。在工程建设领域推行绿色施工，推广废弃路面材料和拆除垃圾原地再生利用，实施建筑垃圾分类管理、源头减量和资源化利用。</w:t>
                  </w:r>
                </w:p>
              </w:tc>
              <w:tc>
                <w:tcPr>
                  <w:tcW w:w="2532" w:type="dxa"/>
                  <w:vAlign w:val="center"/>
                </w:tcPr>
                <w:p w14:paraId="5F9F5B3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本项目利用《云南绿色钢城玉昆项目配套冶炼用石灰岩矿矿产资源开发利用项目》尾矿，</w:t>
                  </w:r>
                  <w:r>
                    <w:rPr>
                      <w:rFonts w:hint="default" w:ascii="Times New Roman" w:hAnsi="Times New Roman" w:eastAsia="宋体" w:cs="Times New Roman"/>
                      <w:b w:val="0"/>
                      <w:bCs/>
                      <w:color w:val="auto"/>
                      <w:kern w:val="2"/>
                      <w:sz w:val="21"/>
                      <w:szCs w:val="21"/>
                      <w:lang w:val="en-US" w:eastAsia="zh-CN" w:bidi="ar-SA"/>
                    </w:rPr>
                    <w:t>通过水洗、脱水、筛分，</w:t>
                  </w:r>
                  <w:r>
                    <w:rPr>
                      <w:rFonts w:hint="default"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b w:val="0"/>
                      <w:bCs/>
                      <w:color w:val="auto"/>
                      <w:kern w:val="2"/>
                      <w:sz w:val="21"/>
                      <w:szCs w:val="21"/>
                      <w:lang w:val="en-US" w:eastAsia="zh-CN" w:bidi="ar-SA"/>
                    </w:rPr>
                    <w:t>建筑用石，提高资源利用率；同时，对沉淀池底泥进行综合利用。</w:t>
                  </w:r>
                </w:p>
              </w:tc>
              <w:tc>
                <w:tcPr>
                  <w:tcW w:w="994" w:type="dxa"/>
                  <w:vAlign w:val="center"/>
                </w:tcPr>
                <w:p w14:paraId="7094EEB4">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0A55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76D01851">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十三</w:t>
                  </w:r>
                </w:p>
              </w:tc>
              <w:tc>
                <w:tcPr>
                  <w:tcW w:w="3723" w:type="dxa"/>
                  <w:vAlign w:val="center"/>
                </w:tcPr>
                <w:p w14:paraId="295D61A2">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i w:val="0"/>
                      <w:iCs w:val="0"/>
                      <w:caps w:val="0"/>
                      <w:color w:val="auto"/>
                      <w:spacing w:val="0"/>
                      <w:sz w:val="21"/>
                      <w:szCs w:val="21"/>
                      <w:shd w:val="clear" w:fill="FFFFFF"/>
                    </w:rPr>
                  </w:pPr>
                  <w:r>
                    <w:rPr>
                      <w:rFonts w:hint="default" w:ascii="Times New Roman" w:hAnsi="Times New Roman" w:eastAsia="宋体" w:cs="Times New Roman"/>
                      <w:b w:val="0"/>
                      <w:bCs w:val="0"/>
                      <w:i w:val="0"/>
                      <w:iCs w:val="0"/>
                      <w:caps w:val="0"/>
                      <w:color w:val="auto"/>
                      <w:spacing w:val="0"/>
                      <w:sz w:val="21"/>
                      <w:szCs w:val="21"/>
                      <w:shd w:val="clear" w:fill="FFFFFF"/>
                    </w:rPr>
                    <w:t>持续提升利废企业技术装备水平，加大小散乱污企业整治力度。强化大宗固废综合利用全流程管理，严格落实全过程环境污染防治责任。推行大宗固废绿色运输，鼓励使用专用运输设备和车辆，加强大宗固废运输过程管理。鼓励利废企业开展清洁生产审核，严格执行污染物排放标准，完善环境保护措施，防止二次污染。</w:t>
                  </w:r>
                </w:p>
              </w:tc>
              <w:tc>
                <w:tcPr>
                  <w:tcW w:w="2532" w:type="dxa"/>
                  <w:vAlign w:val="center"/>
                </w:tcPr>
                <w:p w14:paraId="22F22471">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本项目利用《云南绿色钢城玉昆项目配套冶炼用石灰岩矿矿产资源开发利用项目》尾矿，</w:t>
                  </w:r>
                  <w:r>
                    <w:rPr>
                      <w:rFonts w:hint="default" w:ascii="Times New Roman" w:hAnsi="Times New Roman" w:eastAsia="宋体" w:cs="Times New Roman"/>
                      <w:b w:val="0"/>
                      <w:bCs/>
                      <w:color w:val="auto"/>
                      <w:kern w:val="2"/>
                      <w:sz w:val="21"/>
                      <w:szCs w:val="21"/>
                      <w:lang w:val="en-US" w:eastAsia="zh-CN" w:bidi="ar-SA"/>
                    </w:rPr>
                    <w:t>通过水洗、脱水、筛分，</w:t>
                  </w:r>
                  <w:r>
                    <w:rPr>
                      <w:rFonts w:hint="default"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b w:val="0"/>
                      <w:bCs/>
                      <w:color w:val="auto"/>
                      <w:kern w:val="2"/>
                      <w:sz w:val="21"/>
                      <w:szCs w:val="21"/>
                      <w:lang w:val="en-US" w:eastAsia="zh-CN" w:bidi="ar-SA"/>
                    </w:rPr>
                    <w:t>建筑用石，提高资源利用率；同时，对沉淀池底泥进行综合利用。</w:t>
                  </w:r>
                </w:p>
              </w:tc>
              <w:tc>
                <w:tcPr>
                  <w:tcW w:w="994" w:type="dxa"/>
                  <w:vAlign w:val="center"/>
                </w:tcPr>
                <w:p w14:paraId="0F60ADCC">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14:paraId="61D6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03334011">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十四</w:t>
                  </w:r>
                </w:p>
              </w:tc>
              <w:tc>
                <w:tcPr>
                  <w:tcW w:w="3723" w:type="dxa"/>
                  <w:vAlign w:val="center"/>
                </w:tcPr>
                <w:p w14:paraId="5D663C02">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i w:val="0"/>
                      <w:iCs w:val="0"/>
                      <w:caps w:val="0"/>
                      <w:color w:val="auto"/>
                      <w:spacing w:val="0"/>
                      <w:sz w:val="21"/>
                      <w:szCs w:val="21"/>
                      <w:shd w:val="clear" w:fill="FFFFFF"/>
                    </w:rPr>
                  </w:pPr>
                  <w:r>
                    <w:rPr>
                      <w:rFonts w:hint="default" w:ascii="Times New Roman" w:hAnsi="Times New Roman" w:eastAsia="宋体" w:cs="Times New Roman"/>
                      <w:b w:val="0"/>
                      <w:bCs w:val="0"/>
                      <w:i w:val="0"/>
                      <w:iCs w:val="0"/>
                      <w:caps w:val="0"/>
                      <w:color w:val="auto"/>
                      <w:spacing w:val="0"/>
                      <w:sz w:val="21"/>
                      <w:szCs w:val="21"/>
                      <w:shd w:val="clear" w:fill="FFFFFF"/>
                    </w:rPr>
                    <w:t>加强大宗固废贮存及处置管理，强化主体责任，推动建设符合有关国家标准的贮存设施，实现安全分类存放，杜绝混排混堆。统筹兼顾大宗固废增量消纳和存量治理，加大重点流域和重点区域大宗固废的综合整治力度，健全环保长效监督管理制度。</w:t>
                  </w:r>
                </w:p>
              </w:tc>
              <w:tc>
                <w:tcPr>
                  <w:tcW w:w="2532" w:type="dxa"/>
                  <w:vAlign w:val="center"/>
                </w:tcPr>
                <w:p w14:paraId="7DFF8A7A">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本项目原料和产品储存在搭建的彩钢瓦大棚内，三面围挡，符合相应标准。</w:t>
                  </w:r>
                </w:p>
              </w:tc>
              <w:tc>
                <w:tcPr>
                  <w:tcW w:w="994" w:type="dxa"/>
                  <w:vAlign w:val="center"/>
                </w:tcPr>
                <w:p w14:paraId="52A5A955">
                  <w:pPr>
                    <w:pStyle w:val="37"/>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bl>
          <w:p w14:paraId="7E25792C">
            <w:pPr>
              <w:ind w:left="0" w:leftChars="0" w:firstLine="0" w:firstLineChars="0"/>
              <w:rPr>
                <w:rFonts w:hint="default" w:ascii="Times New Roman" w:hAnsi="Times New Roman" w:cs="Times New Roman"/>
                <w:b/>
                <w:bCs/>
                <w:color w:val="auto"/>
                <w:lang w:val="en-US" w:eastAsia="zh-CN"/>
              </w:rPr>
            </w:pPr>
            <w:r>
              <w:rPr>
                <w:rFonts w:hint="eastAsia" w:cs="Times New Roman"/>
                <w:b/>
                <w:bCs/>
                <w:color w:val="auto"/>
                <w:sz w:val="24"/>
                <w:szCs w:val="24"/>
                <w:lang w:val="en-US" w:eastAsia="zh-CN"/>
              </w:rPr>
              <w:t>10</w:t>
            </w:r>
            <w:r>
              <w:rPr>
                <w:rFonts w:hint="default" w:ascii="Times New Roman" w:hAnsi="Times New Roman" w:cs="Times New Roman"/>
                <w:b/>
                <w:bCs/>
                <w:color w:val="auto"/>
                <w:lang w:val="en-US" w:eastAsia="zh-CN"/>
              </w:rPr>
              <w:t>项目与《</w:t>
            </w:r>
            <w:r>
              <w:rPr>
                <w:rFonts w:hint="default" w:ascii="Times New Roman" w:hAnsi="Times New Roman" w:eastAsia="宋体" w:cs="Times New Roman"/>
                <w:b/>
                <w:bCs/>
                <w:color w:val="auto"/>
                <w:sz w:val="24"/>
                <w:szCs w:val="24"/>
                <w:lang w:val="en-US" w:eastAsia="zh-CN"/>
              </w:rPr>
              <w:t>玉溪市“十四五”生态建设和环境保护规划</w:t>
            </w:r>
            <w:r>
              <w:rPr>
                <w:rFonts w:hint="default" w:ascii="Times New Roman" w:hAnsi="Times New Roman" w:cs="Times New Roman"/>
                <w:b/>
                <w:bCs/>
                <w:color w:val="auto"/>
                <w:lang w:val="en-US" w:eastAsia="zh-CN"/>
              </w:rPr>
              <w:t>》的符合性分析</w:t>
            </w:r>
          </w:p>
          <w:p w14:paraId="532D5CC5">
            <w:pPr>
              <w:pStyle w:val="27"/>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lang w:val="en-US" w:eastAsia="zh-CN"/>
              </w:rPr>
              <w:t>表1-1</w:t>
            </w:r>
            <w:r>
              <w:rPr>
                <w:rFonts w:hint="eastAsia" w:ascii="Times New Roman"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本项目与《玉溪市“十四五”生态建设和环境保护规划》的符合性分析判定表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3429"/>
              <w:gridCol w:w="2732"/>
              <w:gridCol w:w="1340"/>
            </w:tblGrid>
            <w:tr w14:paraId="300B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Align w:val="center"/>
                </w:tcPr>
                <w:p w14:paraId="486A756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3727" w:type="dxa"/>
                  <w:vAlign w:val="center"/>
                </w:tcPr>
                <w:p w14:paraId="09F7D7FE">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相关要求</w:t>
                  </w:r>
                </w:p>
              </w:tc>
              <w:tc>
                <w:tcPr>
                  <w:tcW w:w="2982" w:type="dxa"/>
                  <w:vAlign w:val="center"/>
                </w:tcPr>
                <w:p w14:paraId="678817FC">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本项目情况</w:t>
                  </w:r>
                </w:p>
              </w:tc>
              <w:tc>
                <w:tcPr>
                  <w:tcW w:w="1465" w:type="dxa"/>
                  <w:vAlign w:val="center"/>
                </w:tcPr>
                <w:p w14:paraId="77CC2FF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符合性判定</w:t>
                  </w:r>
                </w:p>
              </w:tc>
            </w:tr>
            <w:tr w14:paraId="5C99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Align w:val="center"/>
                </w:tcPr>
                <w:p w14:paraId="1E73E029">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727" w:type="dxa"/>
                  <w:vAlign w:val="center"/>
                </w:tcPr>
                <w:p w14:paraId="7F5993E9">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中心城区细颗粒物（PM</w:t>
                  </w:r>
                  <w:r>
                    <w:rPr>
                      <w:rFonts w:hint="default" w:ascii="Times New Roman" w:hAnsi="Times New Roman" w:cs="Times New Roman"/>
                      <w:color w:val="auto"/>
                      <w:sz w:val="21"/>
                      <w:szCs w:val="21"/>
                      <w:vertAlign w:val="subscript"/>
                      <w:lang w:val="en-US" w:eastAsia="zh-CN"/>
                    </w:rPr>
                    <w:t>2.5</w:t>
                  </w:r>
                  <w:r>
                    <w:rPr>
                      <w:rFonts w:hint="default" w:ascii="Times New Roman" w:hAnsi="Times New Roman" w:cs="Times New Roman"/>
                      <w:color w:val="auto"/>
                      <w:sz w:val="21"/>
                      <w:szCs w:val="21"/>
                      <w:vertAlign w:val="baseline"/>
                      <w:lang w:val="en-US" w:eastAsia="zh-CN"/>
                    </w:rPr>
                    <w:t>）平均浓度≤21</w:t>
                  </w:r>
                  <w:r>
                    <w:rPr>
                      <w:rFonts w:hint="default" w:ascii="Times New Roman" w:hAnsi="Times New Roman" w:cs="Times New Roman"/>
                      <w:b w:val="0"/>
                      <w:bCs w:val="0"/>
                      <w:color w:val="auto"/>
                      <w:sz w:val="21"/>
                      <w:szCs w:val="21"/>
                      <w:highlight w:val="none"/>
                    </w:rPr>
                    <w:t>ug/m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vertAlign w:val="baseline"/>
                      <w:lang w:eastAsia="zh-CN"/>
                    </w:rPr>
                    <w:t>；</w:t>
                  </w:r>
                  <w:r>
                    <w:rPr>
                      <w:rFonts w:hint="default" w:ascii="Times New Roman" w:hAnsi="Times New Roman" w:cs="Times New Roman"/>
                      <w:b w:val="0"/>
                      <w:bCs w:val="0"/>
                      <w:color w:val="auto"/>
                      <w:sz w:val="21"/>
                      <w:szCs w:val="21"/>
                      <w:highlight w:val="none"/>
                      <w:vertAlign w:val="baseline"/>
                      <w:lang w:val="en-US" w:eastAsia="zh-CN"/>
                    </w:rPr>
                    <w:t>中心城区环境空气质量优良天数比例≥98.5%；地表水国控断面达到或好于Ⅲ类水体比例≥80%；消除地表水国控断面劣</w:t>
                  </w:r>
                  <w:r>
                    <w:rPr>
                      <w:rFonts w:hint="default" w:ascii="Times New Roman" w:hAnsi="Times New Roman" w:cs="Times New Roman"/>
                      <w:color w:val="auto"/>
                      <w:sz w:val="21"/>
                      <w:szCs w:val="21"/>
                      <w:vertAlign w:val="baseline"/>
                      <w:lang w:val="en-US" w:eastAsia="zh-CN"/>
                    </w:rPr>
                    <w:t>V类水体，地下水国控区域点位无V类水;基本消除县级及以上城市建成区黑臭水体;农村生活污水治理率≥45%;县级及以上城市集中式饮用水源水质达标率达到100%;主要污染物NOx、VOCs、CODcr、NH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sz w:val="21"/>
                      <w:szCs w:val="21"/>
                      <w:vertAlign w:val="baseline"/>
                      <w:lang w:val="en-US" w:eastAsia="zh-CN"/>
                    </w:rPr>
                    <w:t>-N减排量分别达到7880吨吨、740吨吨、2461吨、230吨。</w:t>
                  </w:r>
                </w:p>
              </w:tc>
              <w:tc>
                <w:tcPr>
                  <w:tcW w:w="2982" w:type="dxa"/>
                  <w:vAlign w:val="center"/>
                </w:tcPr>
                <w:p w14:paraId="5B6530DD">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项目所处地，环境空气质量良好，大气污染物采取提出的措施处置以后，对周边环境影响很小；本项目废水合理处置，不外排，对周边水体无影响。</w:t>
                  </w:r>
                </w:p>
              </w:tc>
              <w:tc>
                <w:tcPr>
                  <w:tcW w:w="1465" w:type="dxa"/>
                  <w:vAlign w:val="center"/>
                </w:tcPr>
                <w:p w14:paraId="18F17BE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4398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Align w:val="center"/>
                </w:tcPr>
                <w:p w14:paraId="323EB44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3727" w:type="dxa"/>
                  <w:vAlign w:val="center"/>
                </w:tcPr>
                <w:p w14:paraId="76D41DA7">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单位国内生产总值二氧化碳排放降低及单位国内生产总值能源消耗降低控制在省下达指标内;非化石能源占一次能源消费总量比例达到33.03%。</w:t>
                  </w:r>
                </w:p>
              </w:tc>
              <w:tc>
                <w:tcPr>
                  <w:tcW w:w="2982" w:type="dxa"/>
                  <w:vAlign w:val="center"/>
                </w:tcPr>
                <w:p w14:paraId="12DF08D6">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本项目为采石场尾料处理加工项目，大气污染物主要为颗粒物。</w:t>
                  </w:r>
                </w:p>
              </w:tc>
              <w:tc>
                <w:tcPr>
                  <w:tcW w:w="1465" w:type="dxa"/>
                  <w:vAlign w:val="center"/>
                </w:tcPr>
                <w:p w14:paraId="28CE2FF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44AD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Align w:val="center"/>
                </w:tcPr>
                <w:p w14:paraId="6AA34AE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3727" w:type="dxa"/>
                  <w:vAlign w:val="center"/>
                </w:tcPr>
                <w:p w14:paraId="5FC7494D">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受污染耕地安全利用率控制在省下达指标内；重点建设用地安全利用得到有效保障;有效控制放射源辐射事故年发生率。</w:t>
                  </w:r>
                </w:p>
              </w:tc>
              <w:tc>
                <w:tcPr>
                  <w:tcW w:w="2982" w:type="dxa"/>
                  <w:vAlign w:val="center"/>
                </w:tcPr>
                <w:p w14:paraId="6275AAF0">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本项目不涉及占用耕地</w:t>
                  </w:r>
                  <w:r>
                    <w:rPr>
                      <w:rFonts w:hint="eastAsia" w:ascii="Times New Roman" w:cs="Times New Roman"/>
                      <w:color w:val="auto"/>
                      <w:sz w:val="21"/>
                      <w:szCs w:val="21"/>
                      <w:vertAlign w:val="baseline"/>
                      <w:lang w:val="en-US" w:eastAsia="zh-CN"/>
                    </w:rPr>
                    <w:t>。</w:t>
                  </w:r>
                </w:p>
              </w:tc>
              <w:tc>
                <w:tcPr>
                  <w:tcW w:w="1465" w:type="dxa"/>
                  <w:vAlign w:val="center"/>
                </w:tcPr>
                <w:p w14:paraId="6CC0379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0897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Align w:val="center"/>
                </w:tcPr>
                <w:p w14:paraId="209EA5C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727" w:type="dxa"/>
                  <w:vAlign w:val="center"/>
                </w:tcPr>
                <w:p w14:paraId="7281F706">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生态质量指数稳中向好;国家重点保护野生动/植物种数保护率均达到90%;森林覆盖率达到65%;典型生态系统保护率达到90%;生态保护红线占国土面积比例稳定保持</w:t>
                  </w:r>
                  <w:r>
                    <w:rPr>
                      <w:rFonts w:hint="default" w:ascii="Times New Roman" w:hAnsi="Times New Roman" w:cs="Times New Roman"/>
                      <w:b w:val="0"/>
                      <w:bCs w:val="0"/>
                      <w:color w:val="auto"/>
                      <w:sz w:val="21"/>
                      <w:szCs w:val="21"/>
                      <w:vertAlign w:val="baseline"/>
                      <w:lang w:val="en-US" w:eastAsia="zh-CN"/>
                    </w:rPr>
                    <w:t>。</w:t>
                  </w:r>
                </w:p>
              </w:tc>
              <w:tc>
                <w:tcPr>
                  <w:tcW w:w="2982" w:type="dxa"/>
                  <w:vAlign w:val="center"/>
                </w:tcPr>
                <w:p w14:paraId="030305D4">
                  <w:pPr>
                    <w:pStyle w:val="27"/>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项目位于植被条件良好的山区地区，租用原法果红砖厂场地，不新增占地，未占用生态保护红线。</w:t>
                  </w:r>
                </w:p>
              </w:tc>
              <w:tc>
                <w:tcPr>
                  <w:tcW w:w="1465" w:type="dxa"/>
                  <w:vAlign w:val="center"/>
                </w:tcPr>
                <w:p w14:paraId="16E5202A">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bl>
          <w:p w14:paraId="55846536">
            <w:pPr>
              <w:pStyle w:val="27"/>
              <w:ind w:left="0" w:leftChars="0" w:firstLine="0" w:firstLineChars="0"/>
              <w:jc w:val="both"/>
              <w:rPr>
                <w:rFonts w:hint="eastAsia" w:ascii="Times New Roman" w:cs="Times New Roman"/>
                <w:b/>
                <w:bCs/>
                <w:color w:val="auto"/>
                <w:lang w:val="en-US" w:eastAsia="zh-CN"/>
              </w:rPr>
            </w:pPr>
            <w:r>
              <w:rPr>
                <w:rFonts w:hint="eastAsia" w:ascii="Times New Roman" w:cs="Times New Roman"/>
                <w:b/>
                <w:bCs/>
                <w:color w:val="auto"/>
                <w:lang w:val="en-US" w:eastAsia="zh-CN"/>
              </w:rPr>
              <w:t>11与《云南省主体功能区划》云政发〔2014〕1号）符合性分析</w:t>
            </w:r>
          </w:p>
          <w:p w14:paraId="57EB80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根据《云南省主体功能区规划》（云政发〔2014〕1号）云南省主体功能区划分总图，本项目选址属于国家重点开发区域，不涉及禁止开发区。</w:t>
            </w:r>
          </w:p>
          <w:p w14:paraId="561C6FB7">
            <w:pP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国家重点开发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我国西南地区重要的经济增长极。</w:t>
            </w:r>
          </w:p>
          <w:p w14:paraId="6A611A48">
            <w:pP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项目所在区域华宁县属于国家重点开发区域，不涉及禁止开发区，与国家重点开发区域的功能定位不冲突，符合《云南省主体功能区规划》（云政发〔2014〕1号）。</w:t>
            </w:r>
          </w:p>
          <w:p w14:paraId="259C909E">
            <w:pPr>
              <w:pStyle w:val="27"/>
              <w:ind w:left="0" w:leftChars="0" w:firstLine="0" w:firstLineChars="0"/>
              <w:jc w:val="both"/>
              <w:rPr>
                <w:rFonts w:hint="eastAsia" w:ascii="Times New Roman" w:cs="Times New Roman"/>
                <w:b/>
                <w:bCs/>
                <w:color w:val="auto"/>
                <w:lang w:val="en-US" w:eastAsia="zh-CN"/>
              </w:rPr>
            </w:pPr>
            <w:r>
              <w:rPr>
                <w:rFonts w:hint="eastAsia" w:ascii="Times New Roman" w:cs="Times New Roman"/>
                <w:b/>
                <w:bCs/>
                <w:color w:val="auto"/>
                <w:lang w:val="en-US" w:eastAsia="zh-CN"/>
              </w:rPr>
              <w:t>12项目与《云南省生态功能区划》的符合性分析</w:t>
            </w:r>
          </w:p>
          <w:p w14:paraId="045542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根据《云南省生态功能区划》（云南省环境保护厅2009.9.7印发）云南省生态功能类型区划分图，本项目位于城市群生态功能区（III1-6昆明、玉溪高原湖盆生态功能区）。项目在云南省生态功能区划情况，见下表。</w:t>
            </w:r>
          </w:p>
          <w:p w14:paraId="65E2B51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表1-1</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本项目所在地生态功能区划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810"/>
              <w:gridCol w:w="660"/>
              <w:gridCol w:w="1721"/>
              <w:gridCol w:w="1023"/>
              <w:gridCol w:w="1024"/>
              <w:gridCol w:w="1024"/>
              <w:gridCol w:w="1024"/>
            </w:tblGrid>
            <w:tr w14:paraId="7E1F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9" w:type="dxa"/>
                  <w:gridSpan w:val="3"/>
                  <w:vAlign w:val="center"/>
                </w:tcPr>
                <w:p w14:paraId="2D8185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生态功能分区单元</w:t>
                  </w:r>
                </w:p>
              </w:tc>
              <w:tc>
                <w:tcPr>
                  <w:tcW w:w="1721" w:type="dxa"/>
                  <w:vMerge w:val="restart"/>
                  <w:vAlign w:val="center"/>
                </w:tcPr>
                <w:p w14:paraId="0613AE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主要生态特征</w:t>
                  </w:r>
                </w:p>
              </w:tc>
              <w:tc>
                <w:tcPr>
                  <w:tcW w:w="1023" w:type="dxa"/>
                  <w:vMerge w:val="restart"/>
                  <w:vAlign w:val="center"/>
                </w:tcPr>
                <w:p w14:paraId="7CB21B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主要生态环境问题</w:t>
                  </w:r>
                </w:p>
              </w:tc>
              <w:tc>
                <w:tcPr>
                  <w:tcW w:w="1024" w:type="dxa"/>
                  <w:vMerge w:val="restart"/>
                  <w:vAlign w:val="center"/>
                </w:tcPr>
                <w:p w14:paraId="7F3D5B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生态环境敏感性</w:t>
                  </w:r>
                </w:p>
              </w:tc>
              <w:tc>
                <w:tcPr>
                  <w:tcW w:w="1024" w:type="dxa"/>
                  <w:vMerge w:val="restart"/>
                  <w:vAlign w:val="center"/>
                </w:tcPr>
                <w:p w14:paraId="7CE3FF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主要生态系统服务功能</w:t>
                  </w:r>
                </w:p>
              </w:tc>
              <w:tc>
                <w:tcPr>
                  <w:tcW w:w="1024" w:type="dxa"/>
                  <w:vMerge w:val="restart"/>
                  <w:vAlign w:val="center"/>
                </w:tcPr>
                <w:p w14:paraId="74878D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保护措施与发展方向</w:t>
                  </w:r>
                </w:p>
              </w:tc>
            </w:tr>
            <w:tr w14:paraId="4C81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0B2F1D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生态区</w:t>
                  </w:r>
                </w:p>
              </w:tc>
              <w:tc>
                <w:tcPr>
                  <w:tcW w:w="810" w:type="dxa"/>
                  <w:vAlign w:val="center"/>
                </w:tcPr>
                <w:p w14:paraId="45A162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生态亚区</w:t>
                  </w:r>
                </w:p>
              </w:tc>
              <w:tc>
                <w:tcPr>
                  <w:tcW w:w="660" w:type="dxa"/>
                  <w:vAlign w:val="center"/>
                </w:tcPr>
                <w:p w14:paraId="7E18DE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生态功能区</w:t>
                  </w:r>
                </w:p>
              </w:tc>
              <w:tc>
                <w:tcPr>
                  <w:tcW w:w="1721" w:type="dxa"/>
                  <w:vMerge w:val="continue"/>
                  <w:vAlign w:val="center"/>
                </w:tcPr>
                <w:p w14:paraId="5B6104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023" w:type="dxa"/>
                  <w:vMerge w:val="continue"/>
                  <w:vAlign w:val="center"/>
                </w:tcPr>
                <w:p w14:paraId="57C848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024" w:type="dxa"/>
                  <w:vMerge w:val="continue"/>
                  <w:vAlign w:val="center"/>
                </w:tcPr>
                <w:p w14:paraId="02C123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024" w:type="dxa"/>
                  <w:vMerge w:val="continue"/>
                  <w:vAlign w:val="center"/>
                </w:tcPr>
                <w:p w14:paraId="2F2608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024" w:type="dxa"/>
                  <w:vMerge w:val="continue"/>
                  <w:vAlign w:val="center"/>
                </w:tcPr>
                <w:p w14:paraId="284F09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14:paraId="085C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00AE3A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Ⅲ高原亚热带北部常绿阔叶林生态区</w:t>
                  </w:r>
                </w:p>
              </w:tc>
              <w:tc>
                <w:tcPr>
                  <w:tcW w:w="810" w:type="dxa"/>
                  <w:vAlign w:val="center"/>
                </w:tcPr>
                <w:p w14:paraId="512873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Ⅲ1滇中高原谷盆半湿润常绿阔叶林、暖性针叶林生态亚区</w:t>
                  </w:r>
                </w:p>
              </w:tc>
              <w:tc>
                <w:tcPr>
                  <w:tcW w:w="660" w:type="dxa"/>
                  <w:vAlign w:val="center"/>
                </w:tcPr>
                <w:p w14:paraId="7A3E07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Ⅲ1滇中高原谷盆半湿润常绿阔叶林、暖性针叶林生态亚区</w:t>
                  </w:r>
                </w:p>
              </w:tc>
              <w:tc>
                <w:tcPr>
                  <w:tcW w:w="1721" w:type="dxa"/>
                  <w:vAlign w:val="center"/>
                </w:tcPr>
                <w:p w14:paraId="1521D0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以湖盆和丘状高原地貌为主，滇池、抚仙湖、星云湖、杞麓湖等高原湖泊都分布在本区内，大部分地区的年降雨量在900-1000毫米，现存植袚以云 南松林为主；土壤以红壤、紫色土和水稻土为主</w:t>
                  </w:r>
                </w:p>
              </w:tc>
              <w:tc>
                <w:tcPr>
                  <w:tcW w:w="1023" w:type="dxa"/>
                  <w:vAlign w:val="center"/>
                </w:tcPr>
                <w:p w14:paraId="2F49EB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农业面源污染，环境污染，水资源和土地资源短缺</w:t>
                  </w:r>
                </w:p>
              </w:tc>
              <w:tc>
                <w:tcPr>
                  <w:tcW w:w="1024" w:type="dxa"/>
                  <w:vAlign w:val="center"/>
                </w:tcPr>
                <w:p w14:paraId="181B78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高原湖盆和城乡交错带的生态脆弱性</w:t>
                  </w:r>
                </w:p>
              </w:tc>
              <w:tc>
                <w:tcPr>
                  <w:tcW w:w="1024" w:type="dxa"/>
                  <w:vAlign w:val="center"/>
                </w:tcPr>
                <w:p w14:paraId="413E02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昆明中心城市建设及维护高原湖泊群及周边地区的生态安全</w:t>
                  </w:r>
                </w:p>
              </w:tc>
              <w:tc>
                <w:tcPr>
                  <w:tcW w:w="1024" w:type="dxa"/>
                  <w:vAlign w:val="center"/>
                </w:tcPr>
                <w:p w14:paraId="7E0CB9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调整产业结构，发展循环经济，推行清洁生产，治理高原湖泊水体污染和流域的面源污染</w:t>
                  </w:r>
                </w:p>
              </w:tc>
            </w:tr>
          </w:tbl>
          <w:p w14:paraId="2B99488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ascii="宋体" w:hAnsi="宋体" w:eastAsia="宋体" w:cs="宋体"/>
                <w:color w:val="auto"/>
                <w:sz w:val="24"/>
                <w:szCs w:val="24"/>
              </w:rPr>
              <w:t>本项目为</w:t>
            </w:r>
            <w:r>
              <w:rPr>
                <w:rFonts w:hint="eastAsia" w:ascii="宋体" w:hAnsi="宋体" w:cs="宋体"/>
                <w:color w:val="auto"/>
                <w:sz w:val="24"/>
                <w:szCs w:val="24"/>
                <w:lang w:val="en-US" w:eastAsia="zh-CN"/>
              </w:rPr>
              <w:t>尾矿水洗再利用</w:t>
            </w:r>
            <w:r>
              <w:rPr>
                <w:rFonts w:ascii="宋体" w:hAnsi="宋体" w:eastAsia="宋体" w:cs="宋体"/>
                <w:color w:val="auto"/>
                <w:sz w:val="24"/>
                <w:szCs w:val="24"/>
              </w:rPr>
              <w:t>建设项目，建设用地不涉及自然保护区、风景名胜区、饮用水源保护区、森林公园、世界自然遗产地等环境敏感区，不占用生态保护红线、生态公益林及基本农田。</w:t>
            </w:r>
            <w:r>
              <w:rPr>
                <w:rFonts w:hint="eastAsia" w:ascii="宋体" w:hAnsi="宋体" w:eastAsia="宋体" w:cs="宋体"/>
                <w:color w:val="auto"/>
                <w:sz w:val="24"/>
                <w:szCs w:val="24"/>
                <w:lang w:val="en-US" w:eastAsia="zh-CN"/>
              </w:rPr>
              <w:t>项目租用原法果红砖厂用地建设项目，物物种多样性低，项目区不属于生物多样性富集区域。</w:t>
            </w:r>
            <w:r>
              <w:rPr>
                <w:rFonts w:ascii="宋体" w:hAnsi="宋体" w:eastAsia="宋体" w:cs="宋体"/>
                <w:color w:val="auto"/>
                <w:sz w:val="24"/>
                <w:szCs w:val="24"/>
              </w:rPr>
              <w:t>本环评要求在施工期严格做好生态保护，尽可能减少对当地生态环境的不利影响，</w:t>
            </w:r>
            <w:r>
              <w:rPr>
                <w:rFonts w:hint="eastAsia" w:ascii="宋体" w:hAnsi="宋体" w:eastAsia="宋体" w:cs="宋体"/>
                <w:color w:val="auto"/>
                <w:sz w:val="24"/>
                <w:szCs w:val="24"/>
                <w:lang w:val="en-US" w:eastAsia="zh-CN"/>
              </w:rPr>
              <w:t>项目</w:t>
            </w:r>
            <w:r>
              <w:rPr>
                <w:rFonts w:ascii="宋体" w:hAnsi="宋体" w:eastAsia="宋体" w:cs="宋体"/>
                <w:color w:val="auto"/>
                <w:sz w:val="24"/>
                <w:szCs w:val="24"/>
              </w:rPr>
              <w:t>建设后将采取严格的水土保持措施和植被恢复措施，恢复周边植被，极大限度地减少水土流失。因此项目的建设与云南省生态功能区划不冲突。</w:t>
            </w:r>
          </w:p>
          <w:p w14:paraId="2CD62F0A">
            <w:pPr>
              <w:pStyle w:val="27"/>
              <w:ind w:left="0" w:leftChars="0" w:firstLine="0" w:firstLineChars="0"/>
              <w:jc w:val="both"/>
              <w:rPr>
                <w:rFonts w:hint="eastAsia" w:ascii="Times New Roman" w:cs="Times New Roman"/>
                <w:b/>
                <w:bCs/>
                <w:color w:val="auto"/>
                <w:lang w:val="en-US" w:eastAsia="zh-CN"/>
              </w:rPr>
            </w:pPr>
            <w:r>
              <w:rPr>
                <w:rFonts w:hint="eastAsia" w:ascii="Times New Roman" w:cs="Times New Roman"/>
                <w:b/>
                <w:bCs/>
                <w:color w:val="auto"/>
                <w:lang w:val="en-US" w:eastAsia="zh-CN"/>
              </w:rPr>
              <w:t>13项目与《云南省空气质量持续改善行动实施方案》的相关符合性分析</w:t>
            </w:r>
          </w:p>
          <w:p w14:paraId="6C42688D">
            <w:pPr>
              <w:rPr>
                <w:rFonts w:hint="eastAsia" w:ascii="宋体" w:hAnsi="宋体" w:eastAsia="宋体" w:cs="宋体"/>
                <w:color w:val="auto"/>
                <w:sz w:val="24"/>
                <w:szCs w:val="24"/>
                <w:lang w:eastAsia="zh-CN"/>
              </w:rPr>
            </w:pPr>
            <w:r>
              <w:rPr>
                <w:rFonts w:ascii="宋体" w:hAnsi="宋体" w:eastAsia="宋体" w:cs="宋体"/>
                <w:color w:val="auto"/>
                <w:sz w:val="24"/>
                <w:szCs w:val="24"/>
              </w:rPr>
              <w:t>项目与《云南省空气质量持续改善行动实施方案》的相关符合性分析见</w:t>
            </w:r>
            <w:r>
              <w:rPr>
                <w:rFonts w:hint="eastAsia" w:ascii="宋体" w:hAnsi="宋体" w:eastAsia="宋体" w:cs="宋体"/>
                <w:color w:val="auto"/>
                <w:sz w:val="24"/>
                <w:szCs w:val="24"/>
                <w:lang w:val="en-US" w:eastAsia="zh-CN"/>
              </w:rPr>
              <w:t>下</w:t>
            </w:r>
            <w:r>
              <w:rPr>
                <w:rFonts w:ascii="宋体" w:hAnsi="宋体" w:eastAsia="宋体" w:cs="宋体"/>
                <w:color w:val="auto"/>
                <w:sz w:val="24"/>
                <w:szCs w:val="24"/>
              </w:rPr>
              <w:t>表</w:t>
            </w:r>
            <w:r>
              <w:rPr>
                <w:rFonts w:hint="eastAsia" w:ascii="宋体" w:hAnsi="宋体" w:eastAsia="宋体" w:cs="宋体"/>
                <w:color w:val="auto"/>
                <w:sz w:val="24"/>
                <w:szCs w:val="24"/>
                <w:lang w:eastAsia="zh-CN"/>
              </w:rPr>
              <w:t>。</w:t>
            </w:r>
          </w:p>
          <w:p w14:paraId="6A7B6682">
            <w:pPr>
              <w:ind w:left="0" w:leftChars="0" w:firstLine="0" w:firstLineChars="0"/>
              <w:jc w:val="center"/>
              <w:rPr>
                <w:rFonts w:ascii="宋体" w:hAnsi="宋体" w:eastAsia="宋体" w:cs="宋体"/>
                <w:b/>
                <w:bCs/>
                <w:color w:val="auto"/>
                <w:sz w:val="21"/>
                <w:szCs w:val="21"/>
              </w:rPr>
            </w:pPr>
            <w:r>
              <w:rPr>
                <w:rFonts w:hint="default" w:ascii="Times New Roman" w:hAnsi="Times New Roman" w:eastAsia="宋体" w:cs="Times New Roman"/>
                <w:b/>
                <w:bCs/>
                <w:color w:val="auto"/>
                <w:sz w:val="21"/>
                <w:szCs w:val="21"/>
                <w:lang w:val="en-US" w:eastAsia="zh-CN"/>
              </w:rPr>
              <w:t>表1-1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项目与</w:t>
            </w:r>
            <w:r>
              <w:rPr>
                <w:rFonts w:hint="default" w:ascii="Times New Roman" w:hAnsi="Times New Roman" w:eastAsia="宋体" w:cs="Times New Roman"/>
                <w:b/>
                <w:bCs/>
                <w:color w:val="auto"/>
                <w:sz w:val="21"/>
                <w:szCs w:val="21"/>
              </w:rPr>
              <w:t>项目与《云南省空气质量持续改善行动实施方案》</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摘录</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的符合性分析</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3241"/>
              <w:gridCol w:w="1061"/>
            </w:tblGrid>
            <w:tr w14:paraId="3D96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1" w:type="pct"/>
                  <w:vAlign w:val="center"/>
                </w:tcPr>
                <w:p w14:paraId="77591300">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《方案》相关要求</w:t>
                  </w:r>
                </w:p>
              </w:tc>
              <w:tc>
                <w:tcPr>
                  <w:tcW w:w="1980" w:type="pct"/>
                  <w:vAlign w:val="center"/>
                </w:tcPr>
                <w:p w14:paraId="60F7B34D">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项目情况</w:t>
                  </w:r>
                </w:p>
              </w:tc>
              <w:tc>
                <w:tcPr>
                  <w:tcW w:w="648" w:type="pct"/>
                  <w:vAlign w:val="center"/>
                </w:tcPr>
                <w:p w14:paraId="10D19816">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符合性</w:t>
                  </w:r>
                </w:p>
              </w:tc>
            </w:tr>
            <w:tr w14:paraId="0FE4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1" w:type="pct"/>
                  <w:vAlign w:val="center"/>
                </w:tcPr>
                <w:p w14:paraId="62FDBEF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980" w:type="pct"/>
                  <w:vAlign w:val="center"/>
                </w:tcPr>
                <w:p w14:paraId="051E5FA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本项目为尾矿水洗再利用项目，项目不属于“两高一低”项目，运营期严格落实</w:t>
                  </w:r>
                  <w:r>
                    <w:rPr>
                      <w:rFonts w:ascii="宋体" w:hAnsi="宋体" w:eastAsia="宋体" w:cs="宋体"/>
                      <w:color w:val="auto"/>
                      <w:sz w:val="21"/>
                      <w:szCs w:val="21"/>
                    </w:rPr>
                    <w:t>实国家和省产业规划、产业政策、生态环境分区管控方案、规划环评、项目环评、节能审查、产能置换、重点污染物总量控制、污染物排放区域削减、碳排放达峰目标等相关要求，运营期采用清洁运输方式。</w:t>
                  </w:r>
                </w:p>
              </w:tc>
              <w:tc>
                <w:tcPr>
                  <w:tcW w:w="648" w:type="pct"/>
                  <w:vAlign w:val="center"/>
                </w:tcPr>
                <w:p w14:paraId="2D4F67CF">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200E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1" w:type="pct"/>
                  <w:vAlign w:val="center"/>
                </w:tcPr>
                <w:p w14:paraId="7DD5831D">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（二）推动落后产能退出。推动能耗、环保、质量、安全、技术达不到标准和生产不合格产品或淘汰类产能依法依规关停退出。不予审批限制类新建项目，按照国家要求对属于限制类</w:t>
                  </w:r>
                  <w:r>
                    <w:rPr>
                      <w:rFonts w:hint="default" w:ascii="Times New Roman" w:hAnsi="Times New Roman" w:eastAsia="宋体" w:cs="Times New Roman"/>
                      <w:b w:val="0"/>
                      <w:bCs w:val="0"/>
                      <w:color w:val="auto"/>
                      <w:sz w:val="21"/>
                      <w:szCs w:val="21"/>
                      <w:lang w:val="en-US" w:eastAsia="zh-CN"/>
                    </w:rPr>
                    <w:t>的</w:t>
                  </w:r>
                  <w:r>
                    <w:rPr>
                      <w:rFonts w:hint="default" w:ascii="Times New Roman" w:hAnsi="Times New Roman" w:eastAsia="宋体" w:cs="Times New Roman"/>
                      <w:b w:val="0"/>
                      <w:bCs w:val="0"/>
                      <w:color w:val="auto"/>
                      <w:sz w:val="21"/>
                      <w:szCs w:val="21"/>
                    </w:rPr>
                    <w:t>现有生产能力进行升级改造。</w:t>
                  </w:r>
                </w:p>
              </w:tc>
              <w:tc>
                <w:tcPr>
                  <w:tcW w:w="1980" w:type="pct"/>
                  <w:vAlign w:val="center"/>
                </w:tcPr>
                <w:p w14:paraId="681D1C10">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本项目为尾矿水洗再利用项目，不属于落后产能企业。</w:t>
                  </w:r>
                </w:p>
              </w:tc>
              <w:tc>
                <w:tcPr>
                  <w:tcW w:w="648" w:type="pct"/>
                  <w:vAlign w:val="center"/>
                </w:tcPr>
                <w:p w14:paraId="6483024F">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3B62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1" w:type="pct"/>
                  <w:vAlign w:val="center"/>
                </w:tcPr>
                <w:p w14:paraId="5CB407AD">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十四）持续推动扬尘污染治理管控。严格落实建筑施工工地“六个百分之百”要求，对城市公共裸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1980" w:type="pct"/>
                  <w:vAlign w:val="center"/>
                </w:tcPr>
                <w:p w14:paraId="138D129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本项目为尾矿水洗再利用项目，施工期严格落实建筑施工工地“六个百分之百”要求。</w:t>
                  </w:r>
                </w:p>
              </w:tc>
              <w:tc>
                <w:tcPr>
                  <w:tcW w:w="648" w:type="pct"/>
                  <w:vAlign w:val="center"/>
                </w:tcPr>
                <w:p w14:paraId="13681616">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4A45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2371" w:type="pct"/>
                  <w:vAlign w:val="center"/>
                </w:tcPr>
                <w:p w14:paraId="2DDBD14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（十五）加强矿山生态环境综合整治。新建矿山原则上同步建设铁路专用线或采用其他清洁运输方式。对限期整改仍不达标的矿山，根据安全生产、水土保持、生态环境等要求依法关闭。</w:t>
                  </w:r>
                </w:p>
              </w:tc>
              <w:tc>
                <w:tcPr>
                  <w:tcW w:w="1980" w:type="pct"/>
                  <w:vAlign w:val="center"/>
                </w:tcPr>
                <w:p w14:paraId="28E1809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本项目为尾矿水洗再利用项目，不涉及矿山开采。</w:t>
                  </w:r>
                </w:p>
              </w:tc>
              <w:tc>
                <w:tcPr>
                  <w:tcW w:w="648" w:type="pct"/>
                  <w:vAlign w:val="center"/>
                </w:tcPr>
                <w:p w14:paraId="597295DF">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23FB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371" w:type="pct"/>
                  <w:shd w:val="clear" w:color="auto" w:fill="auto"/>
                  <w:vAlign w:val="center"/>
                </w:tcPr>
                <w:p w14:paraId="2E6CDFE4">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十七</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i w:val="0"/>
                      <w:iCs w:val="0"/>
                      <w:caps w:val="0"/>
                      <w:color w:val="auto"/>
                      <w:spacing w:val="0"/>
                      <w:sz w:val="21"/>
                      <w:szCs w:val="21"/>
                      <w:shd w:val="clear" w:fill="FFFFFF"/>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tc>
              <w:tc>
                <w:tcPr>
                  <w:tcW w:w="1980" w:type="pct"/>
                  <w:shd w:val="clear" w:color="auto" w:fill="auto"/>
                  <w:vAlign w:val="center"/>
                </w:tcPr>
                <w:p w14:paraId="25E1C604">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本项目不涉及VOCs原辅材料使用及污染物的排放，化粪池加盖，减少异味扩散。</w:t>
                  </w:r>
                </w:p>
              </w:tc>
              <w:tc>
                <w:tcPr>
                  <w:tcW w:w="648" w:type="pct"/>
                  <w:shd w:val="clear" w:color="auto" w:fill="auto"/>
                  <w:vAlign w:val="center"/>
                </w:tcPr>
                <w:p w14:paraId="1E2AE6EF">
                  <w:pPr>
                    <w:pStyle w:val="37"/>
                    <w:spacing w:line="240" w:lineRule="auto"/>
                    <w:ind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符合</w:t>
                  </w:r>
                </w:p>
              </w:tc>
            </w:tr>
            <w:tr w14:paraId="3AC9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371" w:type="pct"/>
                  <w:shd w:val="clear" w:color="auto" w:fill="auto"/>
                  <w:vAlign w:val="center"/>
                </w:tcPr>
                <w:p w14:paraId="3115633E">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十八</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i w:val="0"/>
                      <w:iCs w:val="0"/>
                      <w:caps w:val="0"/>
                      <w:color w:val="auto"/>
                      <w:spacing w:val="0"/>
                      <w:sz w:val="21"/>
                      <w:szCs w:val="21"/>
                      <w:shd w:val="clear" w:fill="FFFFFF"/>
                    </w:rPr>
                    <w:t>推进重点行业污染深度治理。高质量推进钢铁、水泥、焦化等重点行业及燃煤锅炉超低排放改造。到2025年，全省80%以上的钢铁产能完成超低排放改造，力争50%以上的水泥熟料产能、合规焦化产能完成超低排放改造。推进玻璃、石灰、矿棉、有色等行业深度治理。强化治污设施运行维护，减少非正常工况排放。重点涉气企业逐步取消烟气和含VOCs废气旁路。</w:t>
                  </w:r>
                </w:p>
              </w:tc>
              <w:tc>
                <w:tcPr>
                  <w:tcW w:w="1980" w:type="pct"/>
                  <w:shd w:val="clear" w:color="auto" w:fill="auto"/>
                  <w:vAlign w:val="center"/>
                </w:tcPr>
                <w:p w14:paraId="6D3F3A75">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本项目属于</w:t>
                  </w:r>
                  <w:r>
                    <w:rPr>
                      <w:rFonts w:hint="default" w:ascii="Times New Roman" w:hAnsi="Times New Roman" w:cs="Times New Roman"/>
                      <w:b w:val="0"/>
                      <w:bCs w:val="0"/>
                      <w:color w:val="auto"/>
                      <w:sz w:val="21"/>
                      <w:szCs w:val="21"/>
                      <w:vertAlign w:val="baseline"/>
                      <w:lang w:val="en-US" w:eastAsia="zh-CN"/>
                    </w:rPr>
                    <w:t>采石场尾料</w:t>
                  </w:r>
                  <w:r>
                    <w:rPr>
                      <w:rFonts w:hint="default" w:ascii="Times New Roman" w:hAnsi="Times New Roman" w:eastAsia="宋体" w:cs="Times New Roman"/>
                      <w:b w:val="0"/>
                      <w:bCs w:val="0"/>
                      <w:color w:val="auto"/>
                      <w:sz w:val="21"/>
                      <w:szCs w:val="21"/>
                      <w:vertAlign w:val="baseline"/>
                      <w:lang w:val="en-US" w:eastAsia="zh-CN"/>
                    </w:rPr>
                    <w:t>加工生产项目，不属于钢铁、水泥、焦化等重点行业及燃煤锅炉超低排放改造。</w:t>
                  </w:r>
                </w:p>
              </w:tc>
              <w:tc>
                <w:tcPr>
                  <w:tcW w:w="648" w:type="pct"/>
                  <w:shd w:val="clear" w:color="auto" w:fill="auto"/>
                  <w:vAlign w:val="center"/>
                </w:tcPr>
                <w:p w14:paraId="2A564CCE">
                  <w:pPr>
                    <w:pStyle w:val="37"/>
                    <w:spacing w:line="240" w:lineRule="auto"/>
                    <w:ind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符合</w:t>
                  </w:r>
                </w:p>
              </w:tc>
            </w:tr>
            <w:tr w14:paraId="112B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371" w:type="pct"/>
                  <w:shd w:val="clear" w:color="auto" w:fill="auto"/>
                  <w:vAlign w:val="center"/>
                </w:tcPr>
                <w:p w14:paraId="47267CB4">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十九</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i w:val="0"/>
                      <w:iCs w:val="0"/>
                      <w:caps w:val="0"/>
                      <w:color w:val="auto"/>
                      <w:spacing w:val="0"/>
                      <w:sz w:val="21"/>
                      <w:szCs w:val="21"/>
                      <w:shd w:val="clear" w:fill="FFFFFF"/>
                    </w:rPr>
                    <w:t>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tc>
              <w:tc>
                <w:tcPr>
                  <w:tcW w:w="1980" w:type="pct"/>
                  <w:shd w:val="clear" w:color="auto" w:fill="auto"/>
                  <w:vAlign w:val="center"/>
                </w:tcPr>
                <w:p w14:paraId="79EACDFA">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本项目食堂油烟经油烟处理器处理后排放，且周边无居民居住点，影响不大。</w:t>
                  </w:r>
                </w:p>
              </w:tc>
              <w:tc>
                <w:tcPr>
                  <w:tcW w:w="648" w:type="pct"/>
                  <w:shd w:val="clear" w:color="auto" w:fill="auto"/>
                  <w:vAlign w:val="center"/>
                </w:tcPr>
                <w:p w14:paraId="17232D39">
                  <w:pPr>
                    <w:pStyle w:val="37"/>
                    <w:spacing w:line="240" w:lineRule="auto"/>
                    <w:ind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符合</w:t>
                  </w:r>
                </w:p>
              </w:tc>
            </w:tr>
            <w:tr w14:paraId="5F0F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371" w:type="pct"/>
                  <w:shd w:val="clear" w:color="auto" w:fill="auto"/>
                  <w:vAlign w:val="center"/>
                </w:tcPr>
                <w:p w14:paraId="14707417">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rPr>
                    <w:t>（二十）</w:t>
                  </w:r>
                  <w:r>
                    <w:rPr>
                      <w:rFonts w:hint="default" w:ascii="Times New Roman" w:hAnsi="Times New Roman" w:eastAsia="宋体" w:cs="Times New Roman"/>
                      <w:b w:val="0"/>
                      <w:bCs w:val="0"/>
                      <w:i w:val="0"/>
                      <w:iCs w:val="0"/>
                      <w:caps w:val="0"/>
                      <w:color w:val="auto"/>
                      <w:spacing w:val="0"/>
                      <w:sz w:val="21"/>
                      <w:szCs w:val="21"/>
                      <w:shd w:val="clear" w:fill="FFFFFF"/>
                    </w:rPr>
                    <w:t>推进大气氨污染防控。推广低蛋白日粮技术，在适宜地区推广氮肥机械深施。开展畜禽养殖标准化示范创建，鼓励生猪、鸡等圈舍及粪污输送、存储、处理设施封闭管理。加强氮肥、纯碱等行业大气氨排放治理，强化工业源烟气氨逃逸防控。</w:t>
                  </w:r>
                </w:p>
              </w:tc>
              <w:tc>
                <w:tcPr>
                  <w:tcW w:w="1980" w:type="pct"/>
                  <w:shd w:val="clear" w:color="auto" w:fill="auto"/>
                  <w:vAlign w:val="center"/>
                </w:tcPr>
                <w:p w14:paraId="2BC96133">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不涉及。</w:t>
                  </w:r>
                </w:p>
              </w:tc>
              <w:tc>
                <w:tcPr>
                  <w:tcW w:w="648" w:type="pct"/>
                  <w:shd w:val="clear" w:color="auto" w:fill="auto"/>
                  <w:vAlign w:val="center"/>
                </w:tcPr>
                <w:p w14:paraId="4D815E62">
                  <w:pPr>
                    <w:pStyle w:val="37"/>
                    <w:spacing w:line="240" w:lineRule="auto"/>
                    <w:ind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符合</w:t>
                  </w:r>
                </w:p>
              </w:tc>
            </w:tr>
            <w:tr w14:paraId="389C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1" w:type="pct"/>
                  <w:vAlign w:val="center"/>
                </w:tcPr>
                <w:p w14:paraId="279794DD">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十一）加强城市空气质量管理。空气质量未达标城市制定限期达标规划，已达标城市持续巩固提升空气质量。完善网格化动态监管机制，实现PM2.5精细化管控，抓好氮氧化物和VOCs协同减排，持续推进PM2.5和臭氧污染协同控制。到2025年，臭氧前体物氮氧化物和VOCs协同控制取得积极成效，全省臭氧浓度增长趋势得到有效遏制。</w:t>
                  </w:r>
                </w:p>
              </w:tc>
              <w:tc>
                <w:tcPr>
                  <w:tcW w:w="1980" w:type="pct"/>
                  <w:vMerge w:val="restart"/>
                  <w:vAlign w:val="center"/>
                </w:tcPr>
                <w:p w14:paraId="79C194F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项目未设置雷蒙磨，仅对原料进行水洗、筛分，工艺全程涉水，生产废气主要为原料装卸堆存、成品装卸堆存</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物料运输产生的粉尘</w:t>
                  </w:r>
                  <w:r>
                    <w:rPr>
                      <w:rFonts w:hint="eastAsia" w:ascii="Times New Roman" w:hAnsi="Times New Roman" w:eastAsia="宋体" w:cs="Times New Roman"/>
                      <w:b w:val="0"/>
                      <w:bCs w:val="0"/>
                      <w:color w:val="auto"/>
                      <w:sz w:val="21"/>
                      <w:szCs w:val="21"/>
                      <w:vertAlign w:val="baseline"/>
                      <w:lang w:val="en-US" w:eastAsia="zh-CN"/>
                    </w:rPr>
                    <w:t>及食堂油烟</w:t>
                  </w:r>
                  <w:r>
                    <w:rPr>
                      <w:rFonts w:hint="default" w:ascii="Times New Roman" w:hAnsi="Times New Roman" w:eastAsia="宋体" w:cs="Times New Roman"/>
                      <w:b w:val="0"/>
                      <w:bCs w:val="0"/>
                      <w:color w:val="auto"/>
                      <w:sz w:val="21"/>
                      <w:szCs w:val="21"/>
                      <w:vertAlign w:val="baseline"/>
                      <w:lang w:val="en-US" w:eastAsia="zh-CN"/>
                    </w:rPr>
                    <w:t>。</w:t>
                  </w:r>
                </w:p>
                <w:p w14:paraId="61E9719C">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原料及成品装卸、堆存产生粉尘通过搭建大棚堆存，洒水降尘等措施后，对周边环境影响较小；物料运输产生的粉尘通过控制车速，车辆加盖</w:t>
                  </w:r>
                  <w:r>
                    <w:rPr>
                      <w:rFonts w:hint="eastAsia" w:ascii="Times New Roman" w:hAnsi="Times New Roman" w:cs="Times New Roman"/>
                      <w:b w:val="0"/>
                      <w:bCs w:val="0"/>
                      <w:color w:val="auto"/>
                      <w:sz w:val="21"/>
                      <w:szCs w:val="21"/>
                      <w:vertAlign w:val="baseline"/>
                      <w:lang w:val="en-US" w:eastAsia="zh-CN"/>
                    </w:rPr>
                    <w:t>苫布</w:t>
                  </w:r>
                  <w:r>
                    <w:rPr>
                      <w:rFonts w:hint="eastAsia" w:cs="Times New Roman"/>
                      <w:b w:val="0"/>
                      <w:bCs w:val="0"/>
                      <w:color w:val="auto"/>
                      <w:sz w:val="21"/>
                      <w:szCs w:val="21"/>
                      <w:vertAlign w:val="baseline"/>
                      <w:lang w:val="en-US" w:eastAsia="zh-CN"/>
                    </w:rPr>
                    <w:t>等措施后，对周围环境影响较小；食堂油烟经油烟净化装置处理后，对周围环境影响较小。</w:t>
                  </w:r>
                </w:p>
              </w:tc>
              <w:tc>
                <w:tcPr>
                  <w:tcW w:w="648" w:type="pct"/>
                  <w:vAlign w:val="center"/>
                </w:tcPr>
                <w:p w14:paraId="5B8C4BDC">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7B1D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1" w:type="pct"/>
                  <w:vAlign w:val="center"/>
                </w:tcPr>
                <w:p w14:paraId="68022190">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rPr>
                      <w:rFonts w:hint="default" w:ascii="Times New Roman" w:hAnsi="Times New Roman" w:eastAsia="宋体" w:cs="Times New Roman"/>
                      <w:b w:val="0"/>
                      <w:bCs w:val="0"/>
                      <w:color w:val="auto"/>
                      <w:sz w:val="21"/>
                      <w:szCs w:val="21"/>
                    </w:rPr>
                  </w:pPr>
                  <w:r>
                    <w:rPr>
                      <w:rFonts w:ascii="宋体" w:hAnsi="宋体" w:eastAsia="宋体" w:cs="宋体"/>
                      <w:color w:val="auto"/>
                      <w:sz w:val="24"/>
                      <w:szCs w:val="24"/>
                    </w:rPr>
                    <w:t>（二十三）完善重污染天气应对机制。建立健全省市县三级重污染天气应急预案体系，明确各级政府部门责任分工，规范重污染天气预警启动、响应、解除工作流程。鼓励重点行业企业开展绩效等级提升行动。结合排污许可制度，确保应急减排清单覆盖所有涉气企业。</w:t>
                  </w:r>
                </w:p>
              </w:tc>
              <w:tc>
                <w:tcPr>
                  <w:tcW w:w="1980" w:type="pct"/>
                  <w:vMerge w:val="continue"/>
                  <w:vAlign w:val="center"/>
                </w:tcPr>
                <w:p w14:paraId="4749B1BE">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648" w:type="pct"/>
                  <w:vAlign w:val="center"/>
                </w:tcPr>
                <w:p w14:paraId="6451997F">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bl>
          <w:p w14:paraId="0C93141F">
            <w:pPr>
              <w:pStyle w:val="27"/>
              <w:ind w:left="0" w:leftChars="0" w:firstLine="0" w:firstLineChars="0"/>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w:t>
            </w:r>
            <w:r>
              <w:rPr>
                <w:rFonts w:hint="eastAsia" w:ascii="Times New Roman" w:cs="Times New Roman"/>
                <w:b/>
                <w:bCs/>
                <w:color w:val="auto"/>
                <w:lang w:val="en-US" w:eastAsia="zh-CN"/>
              </w:rPr>
              <w:t>4</w:t>
            </w:r>
            <w:r>
              <w:rPr>
                <w:rFonts w:hint="default" w:ascii="Times New Roman" w:hAnsi="Times New Roman" w:cs="Times New Roman"/>
                <w:b/>
                <w:bCs/>
                <w:color w:val="auto"/>
                <w:lang w:val="en-US" w:eastAsia="zh-CN"/>
              </w:rPr>
              <w:t>项目环境可行性及选址合理性分析</w:t>
            </w:r>
          </w:p>
          <w:p w14:paraId="4A44CCD6">
            <w:pPr>
              <w:pageBreakBefore/>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（1）项目环境可行性</w:t>
            </w:r>
          </w:p>
          <w:p w14:paraId="11935623">
            <w:pPr>
              <w:pageBreakBefore/>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项目各项污染物</w:t>
            </w:r>
            <w:r>
              <w:rPr>
                <w:rFonts w:hint="eastAsia" w:ascii="Times New Roman" w:hAnsi="Times New Roman" w:cs="Times New Roman"/>
                <w:color w:val="auto"/>
                <w:lang w:val="en-US" w:eastAsia="zh-CN"/>
              </w:rPr>
              <w:t>均得到妥善处置</w:t>
            </w:r>
            <w:r>
              <w:rPr>
                <w:rFonts w:hint="default" w:ascii="Times New Roman" w:hAnsi="Times New Roman" w:cs="Times New Roman"/>
                <w:color w:val="auto"/>
              </w:rPr>
              <w:t>，项目对周边环境的影响较小。项目不属于自然保护区、水源保护区和风景旅游区，没有国家或省级保护的文物古迹。从环境功能区划角度考虑，本项目的项目环境是可行的。</w:t>
            </w:r>
          </w:p>
          <w:p w14:paraId="7A922E8D">
            <w:pPr>
              <w:pageBreakBefore/>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（2）选址合理性分析</w:t>
            </w:r>
          </w:p>
          <w:p w14:paraId="761ED0C0">
            <w:pPr>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租用原法果红砖厂场地进行建设。根据《关于华宁县2007年度第二批集镇建设用地农用地转用使用及土地征收的请示》（玉国土资耕[2007]373号），同意将法果村委会法果村民小组，作为华宁县2007年度第二批集镇建设用地；项目</w:t>
            </w:r>
            <w:r>
              <w:rPr>
                <w:rFonts w:hint="default" w:ascii="Times New Roman" w:hAnsi="Times New Roman" w:cs="Times New Roman"/>
                <w:color w:val="auto"/>
                <w:vertAlign w:val="baseline"/>
                <w:lang w:val="en-US" w:eastAsia="zh-CN"/>
              </w:rPr>
              <w:t>用地性质为建设用地，</w:t>
            </w:r>
            <w:r>
              <w:rPr>
                <w:rFonts w:hint="default" w:ascii="Times New Roman" w:hAnsi="Times New Roman" w:cs="Times New Roman"/>
                <w:color w:val="auto"/>
                <w:lang w:val="en-US" w:eastAsia="zh-CN"/>
              </w:rPr>
              <w:t>详见附件15</w:t>
            </w:r>
            <w:r>
              <w:rPr>
                <w:rFonts w:hint="eastAsia" w:cs="Times New Roman"/>
                <w:color w:val="auto"/>
                <w:lang w:val="en-US" w:eastAsia="zh-CN"/>
              </w:rPr>
              <w:t>。</w:t>
            </w:r>
          </w:p>
          <w:p w14:paraId="5BC2F796">
            <w:pPr>
              <w:snapToGrid w:val="0"/>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根据华宁县自然资源局查询结果，详见附件11，</w:t>
            </w:r>
            <w:r>
              <w:rPr>
                <w:rFonts w:hint="default" w:ascii="Times New Roman" w:hAnsi="Times New Roman" w:cs="Times New Roman"/>
                <w:color w:val="auto"/>
              </w:rPr>
              <w:t>项目建设不涉及自然保护区、世界文化和自然遗产地等特殊生态敏感区，也不涉及风景名胜区等重要生态敏感区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未占用生态保护红线、永久基本农田、华宁县耕地后备资源</w:t>
            </w:r>
            <w:r>
              <w:rPr>
                <w:rFonts w:hint="eastAsia" w:cs="Times New Roman"/>
                <w:color w:val="auto"/>
                <w:lang w:val="en-US" w:eastAsia="zh-CN"/>
              </w:rPr>
              <w:t>及</w:t>
            </w:r>
            <w:r>
              <w:rPr>
                <w:rFonts w:hint="default" w:ascii="Times New Roman" w:hAnsi="Times New Roman" w:cs="Times New Roman"/>
                <w:color w:val="auto"/>
                <w:lang w:val="en-US" w:eastAsia="zh-CN"/>
              </w:rPr>
              <w:t>耕地后备资源补充空间，不位于城镇开发边界范围内，未压覆矿业权</w:t>
            </w:r>
            <w:r>
              <w:rPr>
                <w:rFonts w:hint="default" w:ascii="Times New Roman" w:hAnsi="Times New Roman" w:cs="Times New Roman"/>
                <w:color w:val="auto"/>
                <w:lang w:eastAsia="zh-CN"/>
              </w:rPr>
              <w:t>。</w:t>
            </w:r>
          </w:p>
          <w:p w14:paraId="160A012B">
            <w:pPr>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根据生态环境管控单元查询结果（详见附件4），本项目属于华宁县一般管控单元。</w:t>
            </w:r>
          </w:p>
          <w:p w14:paraId="03C06141">
            <w:pPr>
              <w:pStyle w:val="2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根据宁州街道关于同意玉昆珠峰采石场尾料处理加工厂建设项目的选址意见，同意本项目选址发展，详见附件3。</w:t>
            </w:r>
          </w:p>
          <w:p w14:paraId="1CF5D7CB">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周边环境要素不敏感，根据环境影响分析，本项目对周边环境影响较小。周边现有状况较好。该项目的选址是合理的。</w:t>
            </w:r>
          </w:p>
          <w:p w14:paraId="1E361AAD">
            <w:pPr>
              <w:pStyle w:val="27"/>
              <w:ind w:left="0" w:leftChars="0" w:firstLine="480" w:firstLineChars="200"/>
              <w:jc w:val="both"/>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（3）与《华宁县国土空间规划》（2021-2035年）的符合性分析</w:t>
            </w:r>
          </w:p>
          <w:p w14:paraId="7D31032C">
            <w:pPr>
              <w:rPr>
                <w:rFonts w:ascii="宋体" w:hAnsi="宋体" w:eastAsia="宋体" w:cs="宋体"/>
                <w:color w:val="auto"/>
                <w:sz w:val="24"/>
                <w:szCs w:val="24"/>
              </w:rPr>
            </w:pPr>
            <w:r>
              <w:rPr>
                <w:rFonts w:ascii="宋体" w:hAnsi="宋体" w:eastAsia="宋体" w:cs="宋体"/>
                <w:color w:val="auto"/>
                <w:sz w:val="24"/>
                <w:szCs w:val="24"/>
              </w:rPr>
              <w:t>规划中城镇空间建设格局为构建“一核一圈三轴三片多点”的城镇发展空间格局：全面梳理华宁县域城镇及空间格局，基于现状基础和未来发展潜力，合理确定城镇发展核心，提出华宁县现代产业发展、现代城镇建设的联动型发展重点圈层，结合弥玉高速、澄华高速、江华公路、华盘公路等重要交通廊道确定发展轴线，明确发展功能分区，构建“一核一圈三轴三片多点”的城镇空间发展格局。</w:t>
            </w:r>
          </w:p>
          <w:p w14:paraId="24DE4108">
            <w:pPr>
              <w:rPr>
                <w:rFonts w:hint="default" w:ascii="Times New Roman" w:hAnsi="Times New Roman" w:cs="Times New Roman"/>
                <w:color w:val="auto"/>
              </w:rPr>
            </w:pPr>
            <w:r>
              <w:rPr>
                <w:rFonts w:hint="eastAsia" w:ascii="宋体" w:hAnsi="宋体" w:eastAsia="宋体" w:cs="宋体"/>
                <w:color w:val="auto"/>
                <w:sz w:val="24"/>
                <w:szCs w:val="24"/>
                <w:lang w:val="en-US" w:eastAsia="zh-CN"/>
              </w:rPr>
              <w:t>本项目位于华宁县宁州街道法果村，属于矿产资源加工利用项目，根据宁州街道选址意见，以及华宁县自然资源局“三区三线”查询意见，项目不涉及占用永久基本农田，不涉及占用生态保护红线，不位于优化调整城镇开发边界范围内，项目建设符合华宁县国土空间总体规划</w:t>
            </w:r>
            <w:r>
              <w:rPr>
                <w:rFonts w:hint="default" w:ascii="Times New Roman" w:hAnsi="Times New Roman" w:eastAsia="宋体" w:cs="Times New Roman"/>
                <w:color w:val="auto"/>
                <w:sz w:val="24"/>
                <w:szCs w:val="24"/>
                <w:lang w:val="en-US" w:eastAsia="zh-CN"/>
              </w:rPr>
              <w:t>（2021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2035年）。</w:t>
            </w:r>
          </w:p>
          <w:p w14:paraId="6D792BA8">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）项目实施后对周围环境的影响判定</w:t>
            </w:r>
          </w:p>
          <w:p w14:paraId="2B0C28CA">
            <w:pPr>
              <w:autoSpaceDE w:val="0"/>
              <w:autoSpaceDN w:val="0"/>
              <w:adjustRightInd w:val="0"/>
              <w:snapToGrid w:val="0"/>
              <w:spacing w:line="360" w:lineRule="auto"/>
              <w:ind w:firstLine="480" w:firstLineChars="200"/>
              <w:jc w:val="left"/>
              <w:rPr>
                <w:rFonts w:hint="default" w:ascii="Times New Roman" w:hAnsi="Times New Roman" w:cs="Times New Roman"/>
                <w:b/>
                <w:bCs/>
                <w:color w:val="auto"/>
                <w:kern w:val="0"/>
              </w:rPr>
            </w:pPr>
            <w:r>
              <w:rPr>
                <w:rFonts w:hint="default" w:ascii="Times New Roman" w:hAnsi="Times New Roman" w:cs="Times New Roman"/>
                <w:color w:val="auto"/>
              </w:rPr>
              <w:t>根据工程分析确定的污染物排放源强，通过大气环境影响分析、地表水环境影响分析、环境风险环境影响分析、噪声环境影响分析、固废环境影响分析，表明本项目实施后对周围的水环境、大气环境、声环境及环境敏感点的影响是可以接受的。</w:t>
            </w:r>
          </w:p>
          <w:p w14:paraId="466D23E4">
            <w:pPr>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w:t>
            </w:r>
            <w:r>
              <w:rPr>
                <w:rFonts w:hint="eastAsia" w:cs="Times New Roman"/>
                <w:b/>
                <w:bCs/>
                <w:color w:val="auto"/>
                <w:lang w:val="en-US" w:eastAsia="zh-CN"/>
              </w:rPr>
              <w:t>5</w:t>
            </w:r>
            <w:r>
              <w:rPr>
                <w:rFonts w:hint="default" w:ascii="Times New Roman" w:hAnsi="Times New Roman" w:cs="Times New Roman"/>
                <w:b/>
                <w:bCs/>
                <w:color w:val="auto"/>
                <w:lang w:val="en-US" w:eastAsia="zh-CN"/>
              </w:rPr>
              <w:t>平面布局合理性分析</w:t>
            </w:r>
          </w:p>
          <w:p w14:paraId="0A53383F">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项目位于云南省玉溪市华宁县宁州街道法果村委会原法果红砖厂地块，办公室、宿舍、食堂、卫生间依托原法果红砖厂既有设施，位于厂区西侧，原料堆场位于厂区北侧，成品堆场位于厂区中部，尾料处理加工线全线位于厂区东北侧，沉淀池、清水循环池位于加工线的东南侧。项目所在地常年主导风向为西南风，生活区和生产区分开布置，且生活区位于项目西南侧，位于上风向处，因此，生产对生活区影响不大；生产区集中布置，运输便捷，分区明确。</w:t>
            </w:r>
          </w:p>
          <w:p w14:paraId="2E22B39A">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综上所述，项目平面布置从环保、经济、节能等方面考虑较合理。</w:t>
            </w:r>
          </w:p>
          <w:p w14:paraId="59D5A251">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60AA0ADB">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62160772">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4BB533A2">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39D9BB02">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2930264E">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5E8729BA">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507F7B05">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6A1DE4D6">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2FFDDF5D">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015EC858">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722E9418">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p w14:paraId="0F5B95D5">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p>
        </w:tc>
      </w:tr>
    </w:tbl>
    <w:p w14:paraId="39E10379">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cs="Times New Roman"/>
          <w:snapToGrid w:val="0"/>
          <w:color w:val="auto"/>
          <w:sz w:val="32"/>
          <w:szCs w:val="32"/>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26" w:charSpace="0"/>
        </w:sectPr>
      </w:pPr>
    </w:p>
    <w:p w14:paraId="5C3BF0C9">
      <w:pPr>
        <w:pStyle w:val="14"/>
        <w:rPr>
          <w:rFonts w:hint="default" w:ascii="Times New Roman" w:hAnsi="Times New Roman" w:cs="Times New Roman"/>
          <w:snapToGrid w:val="0"/>
          <w:color w:val="auto"/>
        </w:rPr>
      </w:pPr>
      <w:bookmarkStart w:id="5" w:name="_Toc27880"/>
      <w:bookmarkStart w:id="6" w:name="_Toc1191"/>
      <w:r>
        <w:rPr>
          <w:rFonts w:hint="default" w:ascii="Times New Roman" w:hAnsi="Times New Roman" w:cs="Times New Roman"/>
          <w:snapToGrid w:val="0"/>
          <w:color w:val="auto"/>
        </w:rPr>
        <w:t>二、建设项目工程分析</w:t>
      </w:r>
      <w:bookmarkEnd w:id="5"/>
      <w:bookmarkEnd w:id="6"/>
    </w:p>
    <w:tbl>
      <w:tblPr>
        <w:tblStyle w:val="17"/>
        <w:tblW w:w="982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330"/>
      </w:tblGrid>
      <w:tr w14:paraId="398B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7" w:hRule="atLeast"/>
        </w:trPr>
        <w:tc>
          <w:tcPr>
            <w:tcW w:w="495" w:type="dxa"/>
            <w:vAlign w:val="center"/>
          </w:tcPr>
          <w:p w14:paraId="6B2D708C">
            <w:pPr>
              <w:pStyle w:val="40"/>
              <w:rPr>
                <w:rFonts w:hint="default" w:ascii="Times New Roman" w:hAnsi="Times New Roman" w:cs="Times New Roman"/>
                <w:color w:val="auto"/>
              </w:rPr>
            </w:pPr>
            <w:r>
              <w:rPr>
                <w:rFonts w:hint="default" w:ascii="Times New Roman" w:hAnsi="Times New Roman" w:cs="Times New Roman"/>
                <w:color w:val="auto"/>
              </w:rPr>
              <w:t>建设内容</w:t>
            </w:r>
          </w:p>
        </w:tc>
        <w:tc>
          <w:tcPr>
            <w:tcW w:w="9330" w:type="dxa"/>
          </w:tcPr>
          <w:p w14:paraId="39036018">
            <w:pPr>
              <w:tabs>
                <w:tab w:val="left" w:pos="290"/>
              </w:tabs>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1项目基本概况</w:t>
            </w:r>
          </w:p>
          <w:p w14:paraId="63824209">
            <w:pPr>
              <w:pStyle w:val="27"/>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项目名称：</w:t>
            </w:r>
            <w:r>
              <w:rPr>
                <w:rFonts w:hint="default" w:ascii="Times New Roman" w:hAnsi="Times New Roman" w:cs="Times New Roman"/>
                <w:b w:val="0"/>
                <w:bCs w:val="0"/>
                <w:color w:val="auto"/>
                <w:lang w:val="en-US" w:eastAsia="zh-CN"/>
              </w:rPr>
              <w:t>玉昆珠峰采石场尾料处理加工厂</w:t>
            </w:r>
          </w:p>
          <w:p w14:paraId="5C3C5761">
            <w:pPr>
              <w:pStyle w:val="27"/>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项目代码：</w:t>
            </w:r>
            <w:r>
              <w:rPr>
                <w:rFonts w:hint="default" w:ascii="Times New Roman" w:hAnsi="Times New Roman" w:cs="Times New Roman"/>
                <w:b w:val="0"/>
                <w:bCs w:val="0"/>
                <w:color w:val="auto"/>
                <w:lang w:val="en-US" w:eastAsia="zh-CN"/>
              </w:rPr>
              <w:t>2503-530424-04-01-965426</w:t>
            </w:r>
          </w:p>
          <w:p w14:paraId="40778425">
            <w:pPr>
              <w:pStyle w:val="27"/>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建设单位：</w:t>
            </w:r>
            <w:r>
              <w:rPr>
                <w:rFonts w:hint="default" w:ascii="Times New Roman" w:hAnsi="Times New Roman" w:cs="Times New Roman"/>
                <w:b w:val="0"/>
                <w:bCs w:val="0"/>
                <w:color w:val="auto"/>
                <w:lang w:val="en-US" w:eastAsia="zh-CN"/>
              </w:rPr>
              <w:t>华宁宏泰工程机械服务有限责任公司</w:t>
            </w:r>
          </w:p>
          <w:p w14:paraId="3DD32472">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建设地点：</w:t>
            </w:r>
            <w:r>
              <w:rPr>
                <w:rFonts w:hint="default" w:ascii="Times New Roman" w:hAnsi="Times New Roman" w:cs="Times New Roman"/>
                <w:color w:val="auto"/>
                <w:lang w:val="en-US" w:eastAsia="zh-CN"/>
              </w:rPr>
              <w:t>原华宁宁州街道法果村委会法果红砖厂</w:t>
            </w:r>
          </w:p>
          <w:p w14:paraId="573D0D73">
            <w:pP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lang w:val="en-US" w:eastAsia="zh-CN"/>
              </w:rPr>
              <w:t>建设内容：</w:t>
            </w:r>
            <w:r>
              <w:rPr>
                <w:rFonts w:hint="default" w:ascii="Times New Roman" w:hAnsi="Times New Roman" w:cs="Times New Roman"/>
                <w:b w:val="0"/>
                <w:bCs w:val="0"/>
                <w:color w:val="auto"/>
                <w:lang w:val="en-US" w:eastAsia="zh-CN"/>
              </w:rPr>
              <w:t>项目</w:t>
            </w:r>
            <w:r>
              <w:rPr>
                <w:rFonts w:hint="eastAsia" w:cs="Times New Roman"/>
                <w:b w:val="0"/>
                <w:bCs w:val="0"/>
                <w:color w:val="auto"/>
                <w:lang w:val="en-US" w:eastAsia="zh-CN"/>
              </w:rPr>
              <w:t>占地50亩，</w:t>
            </w:r>
            <w:r>
              <w:rPr>
                <w:rFonts w:hint="default" w:ascii="Times New Roman" w:hAnsi="Times New Roman" w:cs="Times New Roman"/>
                <w:b w:val="0"/>
                <w:bCs w:val="0"/>
                <w:color w:val="auto"/>
                <w:lang w:val="en-US" w:eastAsia="zh-CN"/>
              </w:rPr>
              <w:t>生产厂房占地3000m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vertAlign w:val="baseline"/>
                <w:lang w:val="en-US" w:eastAsia="zh-CN"/>
              </w:rPr>
              <w:t>，</w:t>
            </w:r>
            <w:r>
              <w:rPr>
                <w:rFonts w:hint="eastAsia" w:ascii="Times New Roman" w:hAnsi="Times New Roman" w:cs="Times New Roman"/>
                <w:b w:val="0"/>
                <w:bCs w:val="0"/>
                <w:color w:val="auto"/>
                <w:vertAlign w:val="baseline"/>
                <w:lang w:val="en-US" w:eastAsia="zh-CN"/>
              </w:rPr>
              <w:t>设置一条</w:t>
            </w:r>
            <w:r>
              <w:rPr>
                <w:rFonts w:hint="default" w:ascii="Times New Roman" w:hAnsi="Times New Roman" w:cs="Times New Roman"/>
                <w:b w:val="0"/>
                <w:bCs w:val="0"/>
                <w:color w:val="auto"/>
                <w:vertAlign w:val="baseline"/>
                <w:lang w:val="en-US" w:eastAsia="zh-CN"/>
              </w:rPr>
              <w:t>生产线，包括压滤机5台，螺旋机2台，洗石机2台，洗砂机2台，振动筛1台，皮带机5台，回水泵4台，脱水筛2台，操作间1间，年生产能力9万吨</w:t>
            </w:r>
            <w:r>
              <w:rPr>
                <w:rFonts w:hint="eastAsia" w:ascii="Times New Roman" w:hAnsi="Times New Roman" w:cs="Times New Roman"/>
                <w:b w:val="0"/>
                <w:bCs w:val="0"/>
                <w:color w:val="auto"/>
                <w:vertAlign w:val="baseline"/>
                <w:lang w:val="en-US" w:eastAsia="zh-CN"/>
              </w:rPr>
              <w:t>，取消雷蒙磨的设置（详见附件12）</w:t>
            </w:r>
            <w:r>
              <w:rPr>
                <w:rFonts w:hint="default" w:ascii="Times New Roman" w:hAnsi="Times New Roman" w:cs="Times New Roman"/>
                <w:b w:val="0"/>
                <w:bCs w:val="0"/>
                <w:color w:val="auto"/>
                <w:vertAlign w:val="baseline"/>
                <w:lang w:val="en-US" w:eastAsia="zh-CN"/>
              </w:rPr>
              <w:t>。</w:t>
            </w:r>
          </w:p>
          <w:p w14:paraId="392DF599">
            <w:pPr>
              <w:pStyle w:val="27"/>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项目投资：</w:t>
            </w:r>
            <w:r>
              <w:rPr>
                <w:rFonts w:hint="default" w:ascii="Times New Roman" w:hAnsi="Times New Roman" w:cs="Times New Roman"/>
                <w:color w:val="auto"/>
                <w:lang w:val="en-US" w:eastAsia="zh-CN"/>
              </w:rPr>
              <w:t>505万元。</w:t>
            </w:r>
          </w:p>
          <w:p w14:paraId="18693A40">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建设周期：</w:t>
            </w:r>
            <w:r>
              <w:rPr>
                <w:rFonts w:hint="default" w:ascii="Times New Roman" w:hAnsi="Times New Roman" w:cs="Times New Roman"/>
                <w:color w:val="auto"/>
                <w:lang w:val="en-US" w:eastAsia="zh-CN"/>
              </w:rPr>
              <w:t>6个月。</w:t>
            </w:r>
          </w:p>
          <w:p w14:paraId="6273417D">
            <w:pPr>
              <w:pStyle w:val="27"/>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2项目组成内容</w:t>
            </w:r>
          </w:p>
          <w:p w14:paraId="4D218457">
            <w:pPr>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lang w:val="en-US" w:eastAsia="zh-CN"/>
              </w:rPr>
              <w:t>表2-1拟建项目组成一览表</w:t>
            </w:r>
          </w:p>
          <w:tbl>
            <w:tblPr>
              <w:tblStyle w:val="17"/>
              <w:tblW w:w="9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426"/>
              <w:gridCol w:w="1174"/>
              <w:gridCol w:w="474"/>
              <w:gridCol w:w="870"/>
              <w:gridCol w:w="30"/>
              <w:gridCol w:w="4537"/>
              <w:gridCol w:w="703"/>
            </w:tblGrid>
            <w:tr w14:paraId="5C8C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Align w:val="center"/>
                </w:tcPr>
                <w:p w14:paraId="3D727A8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w:t>
                  </w:r>
                </w:p>
                <w:p w14:paraId="6B290FB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组成</w:t>
                  </w:r>
                </w:p>
              </w:tc>
              <w:tc>
                <w:tcPr>
                  <w:tcW w:w="1600" w:type="dxa"/>
                  <w:gridSpan w:val="2"/>
                  <w:vAlign w:val="center"/>
                </w:tcPr>
                <w:p w14:paraId="71B567B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工程组成</w:t>
                  </w:r>
                </w:p>
              </w:tc>
              <w:tc>
                <w:tcPr>
                  <w:tcW w:w="5911" w:type="dxa"/>
                  <w:gridSpan w:val="4"/>
                  <w:vAlign w:val="center"/>
                </w:tcPr>
                <w:p w14:paraId="1AB028B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建设内容</w:t>
                  </w:r>
                </w:p>
              </w:tc>
              <w:tc>
                <w:tcPr>
                  <w:tcW w:w="703" w:type="dxa"/>
                  <w:vAlign w:val="center"/>
                </w:tcPr>
                <w:p w14:paraId="1C006AE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备注</w:t>
                  </w:r>
                </w:p>
              </w:tc>
            </w:tr>
            <w:tr w14:paraId="1A38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restart"/>
                  <w:vAlign w:val="center"/>
                </w:tcPr>
                <w:p w14:paraId="338FEE5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主体</w:t>
                  </w:r>
                </w:p>
                <w:p w14:paraId="72BE84B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工程</w:t>
                  </w:r>
                </w:p>
              </w:tc>
              <w:tc>
                <w:tcPr>
                  <w:tcW w:w="1600" w:type="dxa"/>
                  <w:gridSpan w:val="2"/>
                  <w:vMerge w:val="restart"/>
                  <w:vAlign w:val="center"/>
                </w:tcPr>
                <w:p w14:paraId="34CCAB8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生产线</w:t>
                  </w:r>
                </w:p>
              </w:tc>
              <w:tc>
                <w:tcPr>
                  <w:tcW w:w="5911" w:type="dxa"/>
                  <w:gridSpan w:val="4"/>
                  <w:vAlign w:val="center"/>
                </w:tcPr>
                <w:p w14:paraId="2BAE121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建立生产厂房占地面积3000m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，在生产厂房内建设尾料处理加工生产线一条，位于厂区东北部；由进料斗、压滤机、洗石机、振动筛、皮带机、清水泵及渣浆泵、脱水筛、操作间组成。</w:t>
                  </w:r>
                </w:p>
              </w:tc>
              <w:tc>
                <w:tcPr>
                  <w:tcW w:w="703" w:type="dxa"/>
                  <w:vAlign w:val="center"/>
                </w:tcPr>
                <w:p w14:paraId="3A1204F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5D8B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1FE997F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Merge w:val="continue"/>
                  <w:vAlign w:val="center"/>
                </w:tcPr>
                <w:p w14:paraId="36F20C3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74" w:type="dxa"/>
                  <w:vMerge w:val="restart"/>
                  <w:vAlign w:val="center"/>
                </w:tcPr>
                <w:p w14:paraId="0C31272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其中</w:t>
                  </w:r>
                </w:p>
              </w:tc>
              <w:tc>
                <w:tcPr>
                  <w:tcW w:w="870" w:type="dxa"/>
                  <w:vAlign w:val="center"/>
                </w:tcPr>
                <w:p w14:paraId="1083B01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洗石</w:t>
                  </w:r>
                </w:p>
              </w:tc>
              <w:tc>
                <w:tcPr>
                  <w:tcW w:w="4567" w:type="dxa"/>
                  <w:gridSpan w:val="2"/>
                  <w:vAlign w:val="center"/>
                </w:tcPr>
                <w:p w14:paraId="384D20D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包含2.6X11双轴洗石机2台，2.5X11双轴洗砂机1台，2.5X10单轴洗砂机1台，螺旋机2台</w:t>
                  </w:r>
                </w:p>
              </w:tc>
              <w:tc>
                <w:tcPr>
                  <w:tcW w:w="703" w:type="dxa"/>
                  <w:vAlign w:val="center"/>
                </w:tcPr>
                <w:p w14:paraId="669C9A4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18FF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124DCF9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Merge w:val="continue"/>
                  <w:vAlign w:val="center"/>
                </w:tcPr>
                <w:p w14:paraId="79A5A80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74" w:type="dxa"/>
                  <w:vMerge w:val="continue"/>
                  <w:vAlign w:val="center"/>
                </w:tcPr>
                <w:p w14:paraId="1CF67F4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870" w:type="dxa"/>
                  <w:vAlign w:val="center"/>
                </w:tcPr>
                <w:p w14:paraId="279D3B9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振动</w:t>
                  </w:r>
                </w:p>
              </w:tc>
              <w:tc>
                <w:tcPr>
                  <w:tcW w:w="4567" w:type="dxa"/>
                  <w:gridSpan w:val="2"/>
                  <w:vAlign w:val="center"/>
                </w:tcPr>
                <w:p w14:paraId="49A8817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2470振动筛1台</w:t>
                  </w:r>
                </w:p>
              </w:tc>
              <w:tc>
                <w:tcPr>
                  <w:tcW w:w="703" w:type="dxa"/>
                  <w:vAlign w:val="center"/>
                </w:tcPr>
                <w:p w14:paraId="4BE208A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6AE3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64DB28B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Merge w:val="continue"/>
                  <w:vAlign w:val="center"/>
                </w:tcPr>
                <w:p w14:paraId="7E9235C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74" w:type="dxa"/>
                  <w:vMerge w:val="continue"/>
                  <w:vAlign w:val="center"/>
                </w:tcPr>
                <w:p w14:paraId="164E857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870" w:type="dxa"/>
                  <w:vAlign w:val="center"/>
                </w:tcPr>
                <w:p w14:paraId="38CA540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脱水</w:t>
                  </w:r>
                </w:p>
              </w:tc>
              <w:tc>
                <w:tcPr>
                  <w:tcW w:w="4567" w:type="dxa"/>
                  <w:gridSpan w:val="2"/>
                  <w:vAlign w:val="center"/>
                </w:tcPr>
                <w:p w14:paraId="50BC90A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2.2X5脱水筛2台</w:t>
                  </w:r>
                </w:p>
              </w:tc>
              <w:tc>
                <w:tcPr>
                  <w:tcW w:w="703" w:type="dxa"/>
                  <w:vAlign w:val="center"/>
                </w:tcPr>
                <w:p w14:paraId="3DB7C90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6F6C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630DE03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Merge w:val="continue"/>
                  <w:vAlign w:val="center"/>
                </w:tcPr>
                <w:p w14:paraId="468E9E0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74" w:type="dxa"/>
                  <w:vMerge w:val="continue"/>
                  <w:vAlign w:val="center"/>
                </w:tcPr>
                <w:p w14:paraId="588065E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870" w:type="dxa"/>
                  <w:vAlign w:val="center"/>
                </w:tcPr>
                <w:p w14:paraId="1F69C94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皮带输送廊道</w:t>
                  </w:r>
                </w:p>
              </w:tc>
              <w:tc>
                <w:tcPr>
                  <w:tcW w:w="4567" w:type="dxa"/>
                  <w:gridSpan w:val="2"/>
                  <w:vAlign w:val="center"/>
                </w:tcPr>
                <w:p w14:paraId="5A542B0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运输机5条（15-30米）</w:t>
                  </w:r>
                </w:p>
              </w:tc>
              <w:tc>
                <w:tcPr>
                  <w:tcW w:w="703" w:type="dxa"/>
                  <w:vAlign w:val="center"/>
                </w:tcPr>
                <w:p w14:paraId="7622BB1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6086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79FAE47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Merge w:val="continue"/>
                  <w:vAlign w:val="center"/>
                </w:tcPr>
                <w:p w14:paraId="1880521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74" w:type="dxa"/>
                  <w:vMerge w:val="continue"/>
                  <w:vAlign w:val="center"/>
                </w:tcPr>
                <w:p w14:paraId="28161FD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870" w:type="dxa"/>
                  <w:vAlign w:val="center"/>
                </w:tcPr>
                <w:p w14:paraId="74DCCEE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压滤机</w:t>
                  </w:r>
                </w:p>
              </w:tc>
              <w:tc>
                <w:tcPr>
                  <w:tcW w:w="4567" w:type="dxa"/>
                  <w:gridSpan w:val="2"/>
                  <w:vAlign w:val="center"/>
                </w:tcPr>
                <w:p w14:paraId="762C595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1250</w:t>
                  </w:r>
                  <w:r>
                    <w:rPr>
                      <w:rFonts w:hint="default" w:ascii="Times New Roman" w:hAnsi="Times New Roman" w:cs="Times New Roman"/>
                      <w:color w:val="auto"/>
                      <w:sz w:val="21"/>
                      <w:szCs w:val="21"/>
                      <w:vertAlign w:val="baseline"/>
                      <w:lang w:val="en-US" w:eastAsia="zh-CN"/>
                    </w:rPr>
                    <w:t>压滤机</w:t>
                  </w:r>
                  <w:r>
                    <w:rPr>
                      <w:rFonts w:hint="eastAsia" w:cs="Times New Roman"/>
                      <w:color w:val="auto"/>
                      <w:sz w:val="21"/>
                      <w:szCs w:val="21"/>
                      <w:vertAlign w:val="baseline"/>
                      <w:lang w:val="en-US" w:eastAsia="zh-CN"/>
                    </w:rPr>
                    <w:t>5</w:t>
                  </w:r>
                  <w:r>
                    <w:rPr>
                      <w:rFonts w:hint="default" w:ascii="Times New Roman" w:hAnsi="Times New Roman" w:cs="Times New Roman"/>
                      <w:color w:val="auto"/>
                      <w:sz w:val="21"/>
                      <w:szCs w:val="21"/>
                      <w:vertAlign w:val="baseline"/>
                      <w:lang w:val="en-US" w:eastAsia="zh-CN"/>
                    </w:rPr>
                    <w:t>台</w:t>
                  </w:r>
                </w:p>
              </w:tc>
              <w:tc>
                <w:tcPr>
                  <w:tcW w:w="703" w:type="dxa"/>
                  <w:vAlign w:val="center"/>
                </w:tcPr>
                <w:p w14:paraId="1BA4DC5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7573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restart"/>
                  <w:vAlign w:val="center"/>
                </w:tcPr>
                <w:p w14:paraId="0B4F624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储运</w:t>
                  </w:r>
                </w:p>
                <w:p w14:paraId="23E3C7F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工程</w:t>
                  </w:r>
                </w:p>
              </w:tc>
              <w:tc>
                <w:tcPr>
                  <w:tcW w:w="1600" w:type="dxa"/>
                  <w:gridSpan w:val="2"/>
                  <w:vAlign w:val="center"/>
                </w:tcPr>
                <w:p w14:paraId="0F0CA52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原料堆场</w:t>
                  </w:r>
                </w:p>
              </w:tc>
              <w:tc>
                <w:tcPr>
                  <w:tcW w:w="5911" w:type="dxa"/>
                  <w:gridSpan w:val="4"/>
                  <w:vAlign w:val="center"/>
                </w:tcPr>
                <w:p w14:paraId="167AF3D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搭建400m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彩钢瓦大棚，原料进入大棚堆存，及时加工处理。</w:t>
                  </w:r>
                </w:p>
              </w:tc>
              <w:tc>
                <w:tcPr>
                  <w:tcW w:w="703" w:type="dxa"/>
                  <w:vAlign w:val="center"/>
                </w:tcPr>
                <w:p w14:paraId="66CC3DF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4E54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7AF3CBC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Align w:val="center"/>
                </w:tcPr>
                <w:p w14:paraId="0F8BFD8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成品堆场</w:t>
                  </w:r>
                </w:p>
              </w:tc>
              <w:tc>
                <w:tcPr>
                  <w:tcW w:w="5911" w:type="dxa"/>
                  <w:gridSpan w:val="4"/>
                  <w:vAlign w:val="center"/>
                </w:tcPr>
                <w:p w14:paraId="75A0C5BC">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搭建500m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彩钢瓦大棚，成品进入大棚堆存。</w:t>
                  </w:r>
                </w:p>
              </w:tc>
              <w:tc>
                <w:tcPr>
                  <w:tcW w:w="703" w:type="dxa"/>
                  <w:vAlign w:val="center"/>
                </w:tcPr>
                <w:p w14:paraId="0B5DF9E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5CED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05A0B0C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Align w:val="center"/>
                </w:tcPr>
                <w:p w14:paraId="333A7D0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厂内道路</w:t>
                  </w:r>
                </w:p>
              </w:tc>
              <w:tc>
                <w:tcPr>
                  <w:tcW w:w="5911" w:type="dxa"/>
                  <w:gridSpan w:val="4"/>
                  <w:vAlign w:val="center"/>
                </w:tcPr>
                <w:p w14:paraId="58DB127E">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厂区道路长约320m，路面宽度4m，为泥结碎石路面，沿用原法果红砖厂厂区道路。</w:t>
                  </w:r>
                </w:p>
              </w:tc>
              <w:tc>
                <w:tcPr>
                  <w:tcW w:w="703" w:type="dxa"/>
                  <w:vAlign w:val="center"/>
                </w:tcPr>
                <w:p w14:paraId="79DE2A0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依托</w:t>
                  </w:r>
                </w:p>
              </w:tc>
            </w:tr>
            <w:tr w14:paraId="110D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1A8A70C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Align w:val="center"/>
                </w:tcPr>
                <w:p w14:paraId="5E23902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厂外道路</w:t>
                  </w:r>
                </w:p>
              </w:tc>
              <w:tc>
                <w:tcPr>
                  <w:tcW w:w="5911" w:type="dxa"/>
                  <w:gridSpan w:val="4"/>
                  <w:vAlign w:val="center"/>
                </w:tcPr>
                <w:p w14:paraId="3037896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厂外运输道路沿用既有乡村公路，不新修运输道路，长度约为2500m，为水泥硬化路面。</w:t>
                  </w:r>
                </w:p>
              </w:tc>
              <w:tc>
                <w:tcPr>
                  <w:tcW w:w="703" w:type="dxa"/>
                  <w:vAlign w:val="center"/>
                </w:tcPr>
                <w:p w14:paraId="6403E5F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依托</w:t>
                  </w:r>
                </w:p>
              </w:tc>
            </w:tr>
            <w:tr w14:paraId="6D36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restart"/>
                  <w:vAlign w:val="center"/>
                </w:tcPr>
                <w:p w14:paraId="401F174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公用</w:t>
                  </w:r>
                </w:p>
                <w:p w14:paraId="7F61FB4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工程</w:t>
                  </w:r>
                </w:p>
              </w:tc>
              <w:tc>
                <w:tcPr>
                  <w:tcW w:w="1600" w:type="dxa"/>
                  <w:gridSpan w:val="2"/>
                  <w:vAlign w:val="center"/>
                </w:tcPr>
                <w:p w14:paraId="45166CE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供水</w:t>
                  </w:r>
                </w:p>
              </w:tc>
              <w:tc>
                <w:tcPr>
                  <w:tcW w:w="5911" w:type="dxa"/>
                  <w:gridSpan w:val="4"/>
                  <w:vAlign w:val="center"/>
                </w:tcPr>
                <w:p w14:paraId="2E5BD5B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项目生活用水外购</w:t>
                  </w:r>
                  <w:r>
                    <w:rPr>
                      <w:rFonts w:hint="eastAsia" w:cs="Times New Roman"/>
                      <w:color w:val="auto"/>
                      <w:sz w:val="21"/>
                      <w:szCs w:val="21"/>
                      <w:vertAlign w:val="baseline"/>
                      <w:lang w:val="en-US" w:eastAsia="zh-CN"/>
                    </w:rPr>
                    <w:t>自来水</w:t>
                  </w:r>
                  <w:r>
                    <w:rPr>
                      <w:rFonts w:hint="default" w:ascii="Times New Roman" w:hAnsi="Times New Roman" w:cs="Times New Roman"/>
                      <w:color w:val="auto"/>
                      <w:sz w:val="21"/>
                      <w:szCs w:val="21"/>
                      <w:vertAlign w:val="baseline"/>
                      <w:lang w:val="en-US" w:eastAsia="zh-CN"/>
                    </w:rPr>
                    <w:t>；洗砂用水从项目</w:t>
                  </w:r>
                  <w:r>
                    <w:rPr>
                      <w:rFonts w:hint="default" w:ascii="Times New Roman" w:hAnsi="Times New Roman" w:cs="Times New Roman"/>
                      <w:color w:val="auto"/>
                      <w:sz w:val="21"/>
                      <w:szCs w:val="21"/>
                      <w:shd w:val="clear"/>
                      <w:vertAlign w:val="baseline"/>
                      <w:lang w:val="en-US" w:eastAsia="zh-CN"/>
                    </w:rPr>
                    <w:t>北侧大田坡坝塘抽取至储水罐使用</w:t>
                  </w:r>
                  <w:r>
                    <w:rPr>
                      <w:rFonts w:hint="eastAsia" w:cs="Times New Roman"/>
                      <w:color w:val="auto"/>
                      <w:sz w:val="21"/>
                      <w:szCs w:val="21"/>
                      <w:vertAlign w:val="baseline"/>
                      <w:lang w:val="en-US" w:eastAsia="zh-CN"/>
                    </w:rPr>
                    <w:t>。</w:t>
                  </w:r>
                </w:p>
              </w:tc>
              <w:tc>
                <w:tcPr>
                  <w:tcW w:w="703" w:type="dxa"/>
                  <w:vAlign w:val="center"/>
                </w:tcPr>
                <w:p w14:paraId="1F2D8B0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249D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55423FF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Align w:val="center"/>
                </w:tcPr>
                <w:p w14:paraId="1E8E45B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排水</w:t>
                  </w:r>
                </w:p>
              </w:tc>
              <w:tc>
                <w:tcPr>
                  <w:tcW w:w="5911" w:type="dxa"/>
                  <w:gridSpan w:val="4"/>
                  <w:vAlign w:val="center"/>
                </w:tcPr>
                <w:p w14:paraId="1270489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洗砂废水经沉淀池沉淀后，进入清水循环池，回用于生产；生活污水排入化粪池，定期使用吸粪车清</w:t>
                  </w:r>
                  <w:r>
                    <w:rPr>
                      <w:rFonts w:hint="eastAsia" w:cs="Times New Roman"/>
                      <w:color w:val="auto"/>
                      <w:sz w:val="21"/>
                      <w:szCs w:val="21"/>
                      <w:vertAlign w:val="baseline"/>
                      <w:lang w:val="en-US" w:eastAsia="zh-CN"/>
                    </w:rPr>
                    <w:t>运至华宁县污水处理厂处理</w:t>
                  </w:r>
                  <w:r>
                    <w:rPr>
                      <w:rFonts w:hint="default" w:ascii="Times New Roman" w:hAnsi="Times New Roman" w:cs="Times New Roman"/>
                      <w:color w:val="auto"/>
                      <w:sz w:val="21"/>
                      <w:szCs w:val="21"/>
                      <w:vertAlign w:val="baseline"/>
                      <w:lang w:val="en-US" w:eastAsia="zh-CN"/>
                    </w:rPr>
                    <w:t>。</w:t>
                  </w:r>
                </w:p>
              </w:tc>
              <w:tc>
                <w:tcPr>
                  <w:tcW w:w="703" w:type="dxa"/>
                  <w:vAlign w:val="center"/>
                </w:tcPr>
                <w:p w14:paraId="7FB7D97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55FA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7CBF6AE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Align w:val="center"/>
                </w:tcPr>
                <w:p w14:paraId="4F6B72B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供电</w:t>
                  </w:r>
                </w:p>
              </w:tc>
              <w:tc>
                <w:tcPr>
                  <w:tcW w:w="5911" w:type="dxa"/>
                  <w:gridSpan w:val="4"/>
                  <w:vAlign w:val="center"/>
                </w:tcPr>
                <w:p w14:paraId="68A4ED9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从周边已有供电系统接入</w:t>
                  </w:r>
                  <w:r>
                    <w:rPr>
                      <w:rFonts w:hint="eastAsia" w:cs="Times New Roman"/>
                      <w:color w:val="auto"/>
                      <w:sz w:val="21"/>
                      <w:szCs w:val="21"/>
                      <w:vertAlign w:val="baseline"/>
                      <w:lang w:val="en-US" w:eastAsia="zh-CN"/>
                    </w:rPr>
                    <w:t>。</w:t>
                  </w:r>
                </w:p>
              </w:tc>
              <w:tc>
                <w:tcPr>
                  <w:tcW w:w="703" w:type="dxa"/>
                  <w:vAlign w:val="center"/>
                </w:tcPr>
                <w:p w14:paraId="4AADE66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依托</w:t>
                  </w:r>
                </w:p>
              </w:tc>
            </w:tr>
            <w:tr w14:paraId="6F9B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restart"/>
                  <w:vAlign w:val="center"/>
                </w:tcPr>
                <w:p w14:paraId="5E65E74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辅助</w:t>
                  </w:r>
                </w:p>
                <w:p w14:paraId="483A279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工程</w:t>
                  </w:r>
                </w:p>
              </w:tc>
              <w:tc>
                <w:tcPr>
                  <w:tcW w:w="1600" w:type="dxa"/>
                  <w:gridSpan w:val="2"/>
                  <w:vAlign w:val="center"/>
                </w:tcPr>
                <w:p w14:paraId="0DA6789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办公室</w:t>
                  </w:r>
                </w:p>
              </w:tc>
              <w:tc>
                <w:tcPr>
                  <w:tcW w:w="5911" w:type="dxa"/>
                  <w:gridSpan w:val="4"/>
                  <w:vMerge w:val="restart"/>
                  <w:vAlign w:val="center"/>
                </w:tcPr>
                <w:p w14:paraId="63179E2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依托原法果红砖厂既有的办公室、卫生间、及宿舍，位于厂区东南侧，占地面积500m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p>
              </w:tc>
              <w:tc>
                <w:tcPr>
                  <w:tcW w:w="703" w:type="dxa"/>
                  <w:vMerge w:val="restart"/>
                  <w:vAlign w:val="center"/>
                </w:tcPr>
                <w:p w14:paraId="070E249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依托</w:t>
                  </w:r>
                </w:p>
              </w:tc>
            </w:tr>
            <w:tr w14:paraId="4F21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1A582F9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Align w:val="center"/>
                </w:tcPr>
                <w:p w14:paraId="0ECD53C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卫生间</w:t>
                  </w:r>
                </w:p>
              </w:tc>
              <w:tc>
                <w:tcPr>
                  <w:tcW w:w="5911" w:type="dxa"/>
                  <w:gridSpan w:val="4"/>
                  <w:vMerge w:val="continue"/>
                  <w:vAlign w:val="center"/>
                </w:tcPr>
                <w:p w14:paraId="1A5A4BB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03" w:type="dxa"/>
                  <w:vMerge w:val="continue"/>
                  <w:vAlign w:val="center"/>
                </w:tcPr>
                <w:p w14:paraId="1FECBAD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3B40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0DCB92B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00" w:type="dxa"/>
                  <w:gridSpan w:val="2"/>
                  <w:vAlign w:val="center"/>
                </w:tcPr>
                <w:p w14:paraId="19A2DFB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宿舍</w:t>
                  </w:r>
                </w:p>
              </w:tc>
              <w:tc>
                <w:tcPr>
                  <w:tcW w:w="5911" w:type="dxa"/>
                  <w:gridSpan w:val="4"/>
                  <w:vMerge w:val="continue"/>
                  <w:vAlign w:val="center"/>
                </w:tcPr>
                <w:p w14:paraId="1A38D85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03" w:type="dxa"/>
                  <w:vMerge w:val="continue"/>
                  <w:vAlign w:val="center"/>
                </w:tcPr>
                <w:p w14:paraId="2FA80D6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726F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97" w:type="dxa"/>
                  <w:vMerge w:val="restart"/>
                  <w:vAlign w:val="center"/>
                </w:tcPr>
                <w:p w14:paraId="3CE9ECB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环保</w:t>
                  </w:r>
                </w:p>
                <w:p w14:paraId="0622089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工程</w:t>
                  </w:r>
                </w:p>
              </w:tc>
              <w:tc>
                <w:tcPr>
                  <w:tcW w:w="426" w:type="dxa"/>
                  <w:vMerge w:val="restart"/>
                  <w:vAlign w:val="center"/>
                </w:tcPr>
                <w:p w14:paraId="47A49E6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运营期</w:t>
                  </w:r>
                </w:p>
              </w:tc>
              <w:tc>
                <w:tcPr>
                  <w:tcW w:w="1174" w:type="dxa"/>
                  <w:vMerge w:val="restart"/>
                  <w:vAlign w:val="center"/>
                </w:tcPr>
                <w:p w14:paraId="66A9B47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1374" w:type="dxa"/>
                  <w:gridSpan w:val="3"/>
                  <w:vAlign w:val="center"/>
                </w:tcPr>
                <w:p w14:paraId="5BB63A67">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原料装卸</w:t>
                  </w:r>
                </w:p>
                <w:p w14:paraId="1835CFBC">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、堆存</w:t>
                  </w:r>
                </w:p>
              </w:tc>
              <w:tc>
                <w:tcPr>
                  <w:tcW w:w="4537" w:type="dxa"/>
                  <w:vAlign w:val="center"/>
                </w:tcPr>
                <w:p w14:paraId="4A6C0AE6">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搭建彩钢瓦大棚堆存，占地面积为</w:t>
                  </w:r>
                  <w:r>
                    <w:rPr>
                      <w:rFonts w:hint="eastAsia" w:ascii="Times New Roman" w:hAnsi="Times New Roman" w:cs="Times New Roman"/>
                      <w:b w:val="0"/>
                      <w:bCs w:val="0"/>
                      <w:color w:val="auto"/>
                      <w:sz w:val="21"/>
                      <w:szCs w:val="21"/>
                      <w:vertAlign w:val="baseline"/>
                      <w:lang w:val="en-US" w:eastAsia="zh-CN"/>
                    </w:rPr>
                    <w:t>4</w:t>
                  </w:r>
                  <w:r>
                    <w:rPr>
                      <w:rFonts w:hint="default" w:ascii="Times New Roman" w:hAnsi="Times New Roman" w:cs="Times New Roman"/>
                      <w:b w:val="0"/>
                      <w:bCs w:val="0"/>
                      <w:color w:val="auto"/>
                      <w:sz w:val="21"/>
                      <w:szCs w:val="21"/>
                      <w:vertAlign w:val="baseline"/>
                      <w:lang w:val="en-US" w:eastAsia="zh-CN"/>
                    </w:rPr>
                    <w:t>00m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，并设置三面围挡且洒水降尘</w:t>
                  </w:r>
                  <w:r>
                    <w:rPr>
                      <w:rFonts w:hint="eastAsia" w:ascii="Times New Roman" w:hAnsi="Times New Roman" w:cs="Times New Roman"/>
                      <w:b w:val="0"/>
                      <w:bCs w:val="0"/>
                      <w:color w:val="auto"/>
                      <w:sz w:val="21"/>
                      <w:szCs w:val="21"/>
                      <w:vertAlign w:val="baseline"/>
                      <w:lang w:val="en-US" w:eastAsia="zh-CN"/>
                    </w:rPr>
                    <w:t>，卸装采取湿式作业</w:t>
                  </w:r>
                  <w:r>
                    <w:rPr>
                      <w:rFonts w:hint="default" w:ascii="Times New Roman" w:hAnsi="Times New Roman" w:cs="Times New Roman"/>
                      <w:b w:val="0"/>
                      <w:bCs w:val="0"/>
                      <w:color w:val="auto"/>
                      <w:sz w:val="21"/>
                      <w:szCs w:val="21"/>
                      <w:vertAlign w:val="baseline"/>
                      <w:lang w:val="en-US" w:eastAsia="zh-CN"/>
                    </w:rPr>
                    <w:t>。</w:t>
                  </w:r>
                </w:p>
              </w:tc>
              <w:tc>
                <w:tcPr>
                  <w:tcW w:w="703" w:type="dxa"/>
                  <w:vAlign w:val="center"/>
                </w:tcPr>
                <w:p w14:paraId="7F52F2A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7E8A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69701D9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531CDDD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4CD251E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4097F168">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成品装卸</w:t>
                  </w:r>
                </w:p>
                <w:p w14:paraId="07E47DAC">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堆存</w:t>
                  </w:r>
                </w:p>
              </w:tc>
              <w:tc>
                <w:tcPr>
                  <w:tcW w:w="4537" w:type="dxa"/>
                  <w:vAlign w:val="center"/>
                </w:tcPr>
                <w:p w14:paraId="6006D8B7">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搭建彩钢瓦大棚堆存，占地面积为</w:t>
                  </w:r>
                  <w:r>
                    <w:rPr>
                      <w:rFonts w:hint="eastAsia" w:ascii="Times New Roman" w:hAnsi="Times New Roman" w:cs="Times New Roman"/>
                      <w:b w:val="0"/>
                      <w:bCs w:val="0"/>
                      <w:color w:val="auto"/>
                      <w:sz w:val="21"/>
                      <w:szCs w:val="21"/>
                      <w:vertAlign w:val="baseline"/>
                      <w:lang w:val="en-US" w:eastAsia="zh-CN"/>
                    </w:rPr>
                    <w:t>5</w:t>
                  </w:r>
                  <w:r>
                    <w:rPr>
                      <w:rFonts w:hint="default" w:ascii="Times New Roman" w:hAnsi="Times New Roman" w:cs="Times New Roman"/>
                      <w:b w:val="0"/>
                      <w:bCs w:val="0"/>
                      <w:color w:val="auto"/>
                      <w:sz w:val="21"/>
                      <w:szCs w:val="21"/>
                      <w:vertAlign w:val="baseline"/>
                      <w:lang w:val="en-US" w:eastAsia="zh-CN"/>
                    </w:rPr>
                    <w:t>00m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，并设置三面围挡且洒水降尘。</w:t>
                  </w:r>
                </w:p>
              </w:tc>
              <w:tc>
                <w:tcPr>
                  <w:tcW w:w="703" w:type="dxa"/>
                  <w:vAlign w:val="center"/>
                </w:tcPr>
                <w:p w14:paraId="7ADE13A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1514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97" w:type="dxa"/>
                  <w:vMerge w:val="continue"/>
                  <w:vAlign w:val="center"/>
                </w:tcPr>
                <w:p w14:paraId="0D17F38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6F256CA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0A33B37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Merge w:val="restart"/>
                  <w:vAlign w:val="center"/>
                </w:tcPr>
                <w:p w14:paraId="0A4ED377">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物料运输</w:t>
                  </w:r>
                </w:p>
              </w:tc>
              <w:tc>
                <w:tcPr>
                  <w:tcW w:w="4537" w:type="dxa"/>
                  <w:vAlign w:val="center"/>
                </w:tcPr>
                <w:p w14:paraId="4DE16E0F">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val="0"/>
                      <w:bCs w:val="0"/>
                      <w:color w:val="auto"/>
                      <w:kern w:val="0"/>
                      <w:sz w:val="21"/>
                      <w:szCs w:val="21"/>
                      <w:lang w:val="en-US" w:eastAsia="zh-CN"/>
                    </w:rPr>
                    <w:t>厂外道路运输：</w:t>
                  </w:r>
                  <w:r>
                    <w:rPr>
                      <w:rFonts w:hint="default" w:ascii="Times New Roman" w:hAnsi="Times New Roman" w:eastAsia="宋体" w:cs="Times New Roman"/>
                      <w:b w:val="0"/>
                      <w:bCs w:val="0"/>
                      <w:color w:val="auto"/>
                      <w:kern w:val="0"/>
                      <w:sz w:val="21"/>
                      <w:szCs w:val="21"/>
                    </w:rPr>
                    <w:t>运输车辆加盖苫布、控制车速</w:t>
                  </w:r>
                  <w:r>
                    <w:rPr>
                      <w:rFonts w:hint="eastAsia" w:ascii="Times New Roman" w:hAnsi="Times New Roman" w:cs="Times New Roman"/>
                      <w:b w:val="0"/>
                      <w:bCs w:val="0"/>
                      <w:color w:val="auto"/>
                      <w:kern w:val="0"/>
                      <w:sz w:val="21"/>
                      <w:szCs w:val="21"/>
                      <w:lang w:val="en-US" w:eastAsia="zh-CN"/>
                    </w:rPr>
                    <w:t>定期清扫洒水</w:t>
                  </w:r>
                  <w:r>
                    <w:rPr>
                      <w:rFonts w:hint="eastAsia" w:cs="Times New Roman"/>
                      <w:b w:val="0"/>
                      <w:bCs w:val="0"/>
                      <w:color w:val="auto"/>
                      <w:kern w:val="0"/>
                      <w:sz w:val="21"/>
                      <w:szCs w:val="21"/>
                      <w:lang w:val="en-US" w:eastAsia="zh-CN"/>
                    </w:rPr>
                    <w:t>、对出场车辆进行清洗。</w:t>
                  </w:r>
                </w:p>
              </w:tc>
              <w:tc>
                <w:tcPr>
                  <w:tcW w:w="703" w:type="dxa"/>
                  <w:vMerge w:val="restart"/>
                  <w:vAlign w:val="center"/>
                </w:tcPr>
                <w:p w14:paraId="69B1B42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3130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97" w:type="dxa"/>
                  <w:vMerge w:val="continue"/>
                  <w:vAlign w:val="center"/>
                </w:tcPr>
                <w:p w14:paraId="3CE393DC">
                  <w:pPr>
                    <w:pStyle w:val="42"/>
                    <w:spacing w:line="240" w:lineRule="auto"/>
                    <w:ind w:left="0" w:leftChars="0" w:firstLine="0" w:firstLineChars="0"/>
                    <w:jc w:val="center"/>
                    <w:rPr>
                      <w:rFonts w:hint="default" w:ascii="Times New Roman" w:hAnsi="Times New Roman" w:cs="Times New Roman"/>
                      <w:color w:val="auto"/>
                    </w:rPr>
                  </w:pPr>
                </w:p>
              </w:tc>
              <w:tc>
                <w:tcPr>
                  <w:tcW w:w="426" w:type="dxa"/>
                  <w:vMerge w:val="continue"/>
                  <w:vAlign w:val="center"/>
                </w:tcPr>
                <w:p w14:paraId="40516ED2">
                  <w:pPr>
                    <w:pStyle w:val="42"/>
                    <w:spacing w:line="240" w:lineRule="auto"/>
                    <w:ind w:left="0" w:leftChars="0" w:firstLine="0" w:firstLineChars="0"/>
                    <w:jc w:val="center"/>
                    <w:rPr>
                      <w:rFonts w:hint="default" w:ascii="Times New Roman" w:hAnsi="Times New Roman" w:cs="Times New Roman"/>
                      <w:color w:val="auto"/>
                    </w:rPr>
                  </w:pPr>
                </w:p>
              </w:tc>
              <w:tc>
                <w:tcPr>
                  <w:tcW w:w="1174" w:type="dxa"/>
                  <w:vMerge w:val="continue"/>
                  <w:vAlign w:val="center"/>
                </w:tcPr>
                <w:p w14:paraId="0FDE5568">
                  <w:pPr>
                    <w:pStyle w:val="42"/>
                    <w:spacing w:line="240" w:lineRule="auto"/>
                    <w:ind w:left="0" w:leftChars="0" w:firstLine="0" w:firstLineChars="0"/>
                    <w:jc w:val="center"/>
                    <w:rPr>
                      <w:rFonts w:hint="default" w:ascii="Times New Roman" w:hAnsi="Times New Roman" w:cs="Times New Roman"/>
                      <w:color w:val="auto"/>
                    </w:rPr>
                  </w:pPr>
                </w:p>
              </w:tc>
              <w:tc>
                <w:tcPr>
                  <w:tcW w:w="1374" w:type="dxa"/>
                  <w:gridSpan w:val="3"/>
                  <w:vMerge w:val="continue"/>
                  <w:vAlign w:val="center"/>
                </w:tcPr>
                <w:p w14:paraId="3FB668AB">
                  <w:pPr>
                    <w:pStyle w:val="42"/>
                    <w:spacing w:line="240" w:lineRule="auto"/>
                    <w:ind w:left="0" w:leftChars="0" w:firstLine="0" w:firstLineChars="0"/>
                    <w:jc w:val="center"/>
                    <w:rPr>
                      <w:rFonts w:hint="default" w:ascii="Times New Roman" w:hAnsi="Times New Roman" w:cs="Times New Roman"/>
                      <w:color w:val="auto"/>
                    </w:rPr>
                  </w:pPr>
                </w:p>
              </w:tc>
              <w:tc>
                <w:tcPr>
                  <w:tcW w:w="4537" w:type="dxa"/>
                  <w:vAlign w:val="center"/>
                </w:tcPr>
                <w:p w14:paraId="70E1616A">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厂内道路运输：</w:t>
                  </w:r>
                  <w:r>
                    <w:rPr>
                      <w:rFonts w:hint="default" w:ascii="Times New Roman" w:hAnsi="Times New Roman" w:eastAsia="宋体" w:cs="Times New Roman"/>
                      <w:b w:val="0"/>
                      <w:bCs w:val="0"/>
                      <w:color w:val="auto"/>
                      <w:kern w:val="0"/>
                      <w:sz w:val="21"/>
                      <w:szCs w:val="21"/>
                    </w:rPr>
                    <w:t>道路洒水抑尘</w:t>
                  </w:r>
                  <w:r>
                    <w:rPr>
                      <w:rFonts w:hint="default" w:ascii="Times New Roman" w:hAnsi="Times New Roman" w:cs="Times New Roman"/>
                      <w:b w:val="0"/>
                      <w:bCs w:val="0"/>
                      <w:color w:val="auto"/>
                      <w:kern w:val="0"/>
                      <w:sz w:val="21"/>
                      <w:szCs w:val="21"/>
                      <w:lang w:eastAsia="zh-CN"/>
                    </w:rPr>
                    <w:t>。</w:t>
                  </w:r>
                </w:p>
              </w:tc>
              <w:tc>
                <w:tcPr>
                  <w:tcW w:w="703" w:type="dxa"/>
                  <w:vMerge w:val="continue"/>
                  <w:vAlign w:val="center"/>
                </w:tcPr>
                <w:p w14:paraId="12FABBB0">
                  <w:pPr>
                    <w:pStyle w:val="4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rPr>
                  </w:pPr>
                </w:p>
              </w:tc>
            </w:tr>
            <w:tr w14:paraId="4135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748044A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642AFF6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1D6D73B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119C8348">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食堂油烟</w:t>
                  </w:r>
                </w:p>
              </w:tc>
              <w:tc>
                <w:tcPr>
                  <w:tcW w:w="4537" w:type="dxa"/>
                  <w:vAlign w:val="center"/>
                </w:tcPr>
                <w:p w14:paraId="4D3007E3">
                  <w:pPr>
                    <w:pStyle w:val="42"/>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油烟净化装置处理后排放。</w:t>
                  </w:r>
                </w:p>
              </w:tc>
              <w:tc>
                <w:tcPr>
                  <w:tcW w:w="703" w:type="dxa"/>
                  <w:vAlign w:val="center"/>
                </w:tcPr>
                <w:p w14:paraId="0807069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5B9C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4DF9385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1384E2A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64D76B8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428A0793">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燃油废气</w:t>
                  </w:r>
                </w:p>
              </w:tc>
              <w:tc>
                <w:tcPr>
                  <w:tcW w:w="4537" w:type="dxa"/>
                  <w:vAlign w:val="center"/>
                </w:tcPr>
                <w:p w14:paraId="3E30EE08">
                  <w:pPr>
                    <w:pStyle w:val="42"/>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车辆、设备定期维护，使用标准燃油。</w:t>
                  </w:r>
                </w:p>
              </w:tc>
              <w:tc>
                <w:tcPr>
                  <w:tcW w:w="703" w:type="dxa"/>
                  <w:shd w:val="clear" w:color="auto" w:fill="auto"/>
                  <w:vAlign w:val="center"/>
                </w:tcPr>
                <w:p w14:paraId="33D94B10">
                  <w:p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新建</w:t>
                  </w:r>
                </w:p>
              </w:tc>
            </w:tr>
            <w:tr w14:paraId="2BD6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897" w:type="dxa"/>
                  <w:vMerge w:val="continue"/>
                  <w:vAlign w:val="center"/>
                </w:tcPr>
                <w:p w14:paraId="45497FA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64A7C48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restart"/>
                  <w:vAlign w:val="center"/>
                </w:tcPr>
                <w:p w14:paraId="595FE94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w:t>
                  </w:r>
                </w:p>
              </w:tc>
              <w:tc>
                <w:tcPr>
                  <w:tcW w:w="1374" w:type="dxa"/>
                  <w:gridSpan w:val="3"/>
                  <w:vAlign w:val="center"/>
                </w:tcPr>
                <w:p w14:paraId="3047872E">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生活污水</w:t>
                  </w:r>
                </w:p>
              </w:tc>
              <w:tc>
                <w:tcPr>
                  <w:tcW w:w="4537" w:type="dxa"/>
                  <w:vAlign w:val="center"/>
                </w:tcPr>
                <w:p w14:paraId="291E5120">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新建一个</w:t>
                  </w:r>
                  <w:r>
                    <w:rPr>
                      <w:rFonts w:hint="default" w:ascii="Times New Roman" w:hAnsi="Times New Roman" w:cs="Times New Roman"/>
                      <w:color w:val="auto"/>
                      <w:sz w:val="21"/>
                      <w:szCs w:val="21"/>
                    </w:rPr>
                    <w:t>隔油池</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食堂废水排入隔油池处理后，排入</w:t>
                  </w:r>
                  <w:r>
                    <w:rPr>
                      <w:rFonts w:hint="default" w:ascii="Times New Roman" w:hAnsi="Times New Roman" w:cs="Times New Roman"/>
                      <w:color w:val="auto"/>
                      <w:sz w:val="21"/>
                      <w:szCs w:val="21"/>
                    </w:rPr>
                    <w:t>化粪池</w:t>
                  </w:r>
                  <w:r>
                    <w:rPr>
                      <w:rFonts w:hint="default" w:ascii="Times New Roman" w:hAnsi="Times New Roman" w:cs="Times New Roman"/>
                      <w:color w:val="auto"/>
                      <w:sz w:val="21"/>
                      <w:szCs w:val="21"/>
                      <w:lang w:val="en-US" w:eastAsia="zh-CN"/>
                    </w:rPr>
                    <w:t>中，其他生活污水直接排入原法果红砖厂化粪池中（3.0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vertAlign w:val="baseline"/>
                      <w:lang w:val="en-US" w:eastAsia="zh-CN"/>
                    </w:rPr>
                    <w:t>定期使用吸粪车清运</w:t>
                  </w:r>
                  <w:r>
                    <w:rPr>
                      <w:rFonts w:hint="eastAsia" w:cs="Times New Roman"/>
                      <w:color w:val="auto"/>
                      <w:sz w:val="21"/>
                      <w:szCs w:val="21"/>
                      <w:vertAlign w:val="baseline"/>
                      <w:lang w:val="en-US" w:eastAsia="zh-CN"/>
                    </w:rPr>
                    <w:t>至华宁县污水处理厂处理</w:t>
                  </w:r>
                  <w:r>
                    <w:rPr>
                      <w:rFonts w:hint="default" w:ascii="Times New Roman" w:hAnsi="Times New Roman" w:cs="Times New Roman"/>
                      <w:color w:val="auto"/>
                      <w:sz w:val="21"/>
                      <w:szCs w:val="21"/>
                      <w:vertAlign w:val="baseline"/>
                      <w:lang w:val="en-US" w:eastAsia="zh-CN"/>
                    </w:rPr>
                    <w:t>。</w:t>
                  </w:r>
                </w:p>
              </w:tc>
              <w:tc>
                <w:tcPr>
                  <w:tcW w:w="703" w:type="dxa"/>
                  <w:shd w:val="clear" w:color="auto" w:fill="auto"/>
                  <w:vAlign w:val="center"/>
                </w:tcPr>
                <w:p w14:paraId="41FAF372">
                  <w:p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依托</w:t>
                  </w:r>
                </w:p>
              </w:tc>
            </w:tr>
            <w:tr w14:paraId="10D8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7" w:type="dxa"/>
                  <w:vMerge w:val="continue"/>
                  <w:vAlign w:val="center"/>
                </w:tcPr>
                <w:p w14:paraId="578F554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223D539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586AE6D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67CED958">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车辆清洗废水</w:t>
                  </w:r>
                </w:p>
              </w:tc>
              <w:tc>
                <w:tcPr>
                  <w:tcW w:w="4537" w:type="dxa"/>
                  <w:vAlign w:val="center"/>
                </w:tcPr>
                <w:p w14:paraId="1E5C1AB4">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出场车辆清洗废水，经沉淀（5m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）后，回用于车辆清洗。</w:t>
                  </w:r>
                </w:p>
              </w:tc>
              <w:tc>
                <w:tcPr>
                  <w:tcW w:w="703" w:type="dxa"/>
                  <w:shd w:val="clear" w:color="auto" w:fill="auto"/>
                  <w:vAlign w:val="center"/>
                </w:tcPr>
                <w:p w14:paraId="1EDD5E8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新建</w:t>
                  </w:r>
                </w:p>
              </w:tc>
            </w:tr>
            <w:tr w14:paraId="4F64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Merge w:val="continue"/>
                  <w:vAlign w:val="center"/>
                </w:tcPr>
                <w:p w14:paraId="0367E3E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11F2960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719C482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63540D7A">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生产废水</w:t>
                  </w:r>
                </w:p>
              </w:tc>
              <w:tc>
                <w:tcPr>
                  <w:tcW w:w="4537" w:type="dxa"/>
                  <w:vAlign w:val="center"/>
                </w:tcPr>
                <w:p w14:paraId="487B1C7B">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进入沉淀池（120m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），沉淀后上清液进入清水循环池（240m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），回用于洗砂。</w:t>
                  </w:r>
                </w:p>
              </w:tc>
              <w:tc>
                <w:tcPr>
                  <w:tcW w:w="703" w:type="dxa"/>
                  <w:shd w:val="clear" w:color="auto" w:fill="auto"/>
                  <w:vAlign w:val="center"/>
                </w:tcPr>
                <w:p w14:paraId="42EF4B1D">
                  <w:p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新建</w:t>
                  </w:r>
                </w:p>
              </w:tc>
            </w:tr>
            <w:tr w14:paraId="18FE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897" w:type="dxa"/>
                  <w:vMerge w:val="continue"/>
                  <w:vAlign w:val="center"/>
                </w:tcPr>
                <w:p w14:paraId="45C2989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0649D87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4E85FA5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1E68EADD">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降尘</w:t>
                  </w:r>
                  <w:r>
                    <w:rPr>
                      <w:rFonts w:hint="eastAsia" w:ascii="Times New Roman" w:hAnsi="Times New Roman" w:cs="Times New Roman"/>
                      <w:b w:val="0"/>
                      <w:bCs w:val="0"/>
                      <w:color w:val="auto"/>
                      <w:sz w:val="21"/>
                      <w:szCs w:val="21"/>
                      <w:vertAlign w:val="baseline"/>
                      <w:lang w:val="en-US" w:eastAsia="zh-CN"/>
                    </w:rPr>
                    <w:t>用水</w:t>
                  </w:r>
                </w:p>
              </w:tc>
              <w:tc>
                <w:tcPr>
                  <w:tcW w:w="4537" w:type="dxa"/>
                  <w:vAlign w:val="center"/>
                </w:tcPr>
                <w:p w14:paraId="4BDE5CDE">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自然蒸发，不外排。</w:t>
                  </w:r>
                </w:p>
              </w:tc>
              <w:tc>
                <w:tcPr>
                  <w:tcW w:w="703" w:type="dxa"/>
                  <w:shd w:val="clear" w:color="auto" w:fill="auto"/>
                  <w:vAlign w:val="center"/>
                </w:tcPr>
                <w:p w14:paraId="0AFECE9D">
                  <w:p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新建</w:t>
                  </w:r>
                </w:p>
              </w:tc>
            </w:tr>
            <w:tr w14:paraId="3E3A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7D60D84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4F1E2A8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Align w:val="center"/>
                </w:tcPr>
                <w:p w14:paraId="4340AFE1">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初期雨水</w:t>
                  </w:r>
                </w:p>
              </w:tc>
              <w:tc>
                <w:tcPr>
                  <w:tcW w:w="5911" w:type="dxa"/>
                  <w:gridSpan w:val="4"/>
                  <w:vAlign w:val="center"/>
                </w:tcPr>
                <w:p w14:paraId="45C3E2C6">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在厂区最低处建设一个初期雨水收集池（130m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），初期雨水经收集后，回用于洗砂。</w:t>
                  </w:r>
                </w:p>
              </w:tc>
              <w:tc>
                <w:tcPr>
                  <w:tcW w:w="703" w:type="dxa"/>
                  <w:shd w:val="clear" w:color="auto" w:fill="auto"/>
                  <w:vAlign w:val="center"/>
                </w:tcPr>
                <w:p w14:paraId="33CAE3F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新建</w:t>
                  </w:r>
                </w:p>
              </w:tc>
            </w:tr>
            <w:tr w14:paraId="00AC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2CE8AA6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12B4C7A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Align w:val="center"/>
                </w:tcPr>
                <w:p w14:paraId="5B42515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噪声</w:t>
                  </w:r>
                </w:p>
              </w:tc>
              <w:tc>
                <w:tcPr>
                  <w:tcW w:w="5911" w:type="dxa"/>
                  <w:gridSpan w:val="4"/>
                  <w:vAlign w:val="center"/>
                </w:tcPr>
                <w:p w14:paraId="4DD8067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采用低噪音设备、设备基础减振、定期维护设备，合理布局等措施。</w:t>
                  </w:r>
                </w:p>
              </w:tc>
              <w:tc>
                <w:tcPr>
                  <w:tcW w:w="703" w:type="dxa"/>
                  <w:vAlign w:val="center"/>
                </w:tcPr>
                <w:p w14:paraId="5A2081E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7A6B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Merge w:val="continue"/>
                  <w:vAlign w:val="center"/>
                </w:tcPr>
                <w:p w14:paraId="6A98FA6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105A857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restart"/>
                  <w:vAlign w:val="center"/>
                </w:tcPr>
                <w:p w14:paraId="70B3547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1374" w:type="dxa"/>
                  <w:gridSpan w:val="3"/>
                  <w:vAlign w:val="center"/>
                </w:tcPr>
                <w:p w14:paraId="71AD48E4">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生活垃圾</w:t>
                  </w:r>
                </w:p>
              </w:tc>
              <w:tc>
                <w:tcPr>
                  <w:tcW w:w="4537" w:type="dxa"/>
                  <w:vAlign w:val="center"/>
                </w:tcPr>
                <w:p w14:paraId="34EF911C">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垃圾桶收集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运送至</w:t>
                  </w:r>
                  <w:r>
                    <w:rPr>
                      <w:rFonts w:hint="eastAsia" w:cs="Times New Roman"/>
                      <w:color w:val="auto"/>
                      <w:sz w:val="21"/>
                      <w:szCs w:val="21"/>
                      <w:lang w:val="en-US" w:eastAsia="zh-CN"/>
                    </w:rPr>
                    <w:t>法果村</w:t>
                  </w:r>
                  <w:r>
                    <w:rPr>
                      <w:rFonts w:hint="default" w:ascii="Times New Roman" w:hAnsi="Times New Roman" w:cs="Times New Roman"/>
                      <w:color w:val="auto"/>
                      <w:sz w:val="21"/>
                      <w:szCs w:val="21"/>
                      <w:lang w:val="en-US" w:eastAsia="zh-CN"/>
                    </w:rPr>
                    <w:t>生活垃圾处置点处置。</w:t>
                  </w:r>
                </w:p>
              </w:tc>
              <w:tc>
                <w:tcPr>
                  <w:tcW w:w="703" w:type="dxa"/>
                  <w:vAlign w:val="center"/>
                </w:tcPr>
                <w:p w14:paraId="27C155E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72C0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72FE18D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655DF14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3319F79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4BA93007">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洗砂底泥</w:t>
                  </w:r>
                </w:p>
              </w:tc>
              <w:tc>
                <w:tcPr>
                  <w:tcW w:w="4537" w:type="dxa"/>
                  <w:vMerge w:val="restart"/>
                  <w:vAlign w:val="center"/>
                </w:tcPr>
                <w:p w14:paraId="6710AE85">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通过压滤机压滤后</w:t>
                  </w:r>
                  <w:r>
                    <w:rPr>
                      <w:rFonts w:hint="eastAsia" w:cs="Times New Roman"/>
                      <w:b w:val="0"/>
                      <w:bCs w:val="0"/>
                      <w:color w:val="auto"/>
                      <w:sz w:val="21"/>
                      <w:szCs w:val="21"/>
                      <w:highlight w:val="none"/>
                      <w:vertAlign w:val="baseline"/>
                      <w:lang w:val="en-US" w:eastAsia="zh-CN"/>
                    </w:rPr>
                    <w:t>（含水率≤40%），泥饼</w:t>
                  </w:r>
                  <w:r>
                    <w:rPr>
                      <w:rFonts w:hint="default" w:ascii="Times New Roman" w:hAnsi="Times New Roman" w:cs="Times New Roman"/>
                      <w:b w:val="0"/>
                      <w:bCs w:val="0"/>
                      <w:color w:val="auto"/>
                      <w:sz w:val="21"/>
                      <w:szCs w:val="21"/>
                      <w:highlight w:val="none"/>
                      <w:vertAlign w:val="baseline"/>
                      <w:lang w:val="en-US" w:eastAsia="zh-CN"/>
                    </w:rPr>
                    <w:t>外运至砖厂制砖</w:t>
                  </w:r>
                  <w:r>
                    <w:rPr>
                      <w:rFonts w:hint="eastAsia" w:cs="Times New Roman"/>
                      <w:b w:val="0"/>
                      <w:bCs w:val="0"/>
                      <w:color w:val="auto"/>
                      <w:sz w:val="21"/>
                      <w:szCs w:val="21"/>
                      <w:highlight w:val="none"/>
                      <w:vertAlign w:val="baseline"/>
                      <w:lang w:val="en-US" w:eastAsia="zh-CN"/>
                    </w:rPr>
                    <w:t>；对砖厂消纳不完及在砖厂停产期间产生的泥饼，运至珠峰采石场用于露天采空区土地复垦</w:t>
                  </w:r>
                  <w:r>
                    <w:rPr>
                      <w:rFonts w:hint="default" w:ascii="Times New Roman" w:hAnsi="Times New Roman" w:cs="Times New Roman"/>
                      <w:b w:val="0"/>
                      <w:bCs w:val="0"/>
                      <w:color w:val="auto"/>
                      <w:sz w:val="21"/>
                      <w:szCs w:val="21"/>
                      <w:highlight w:val="none"/>
                      <w:vertAlign w:val="baseline"/>
                      <w:lang w:val="en-US" w:eastAsia="zh-CN"/>
                    </w:rPr>
                    <w:t>。</w:t>
                  </w:r>
                </w:p>
              </w:tc>
              <w:tc>
                <w:tcPr>
                  <w:tcW w:w="703" w:type="dxa"/>
                  <w:vAlign w:val="center"/>
                </w:tcPr>
                <w:p w14:paraId="5DA861C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59E5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48D5C48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121D072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1A54329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567591AB">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沉淀池底泥</w:t>
                  </w:r>
                </w:p>
              </w:tc>
              <w:tc>
                <w:tcPr>
                  <w:tcW w:w="4537" w:type="dxa"/>
                  <w:vMerge w:val="continue"/>
                  <w:vAlign w:val="center"/>
                </w:tcPr>
                <w:p w14:paraId="5A9A2508">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p>
              </w:tc>
              <w:tc>
                <w:tcPr>
                  <w:tcW w:w="703" w:type="dxa"/>
                  <w:vAlign w:val="center"/>
                </w:tcPr>
                <w:p w14:paraId="4727E2E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新建</w:t>
                  </w:r>
                </w:p>
              </w:tc>
            </w:tr>
            <w:tr w14:paraId="0539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10E5DA6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7E57D17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53EFEDF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74453FDD">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化粪池污泥</w:t>
                  </w:r>
                </w:p>
              </w:tc>
              <w:tc>
                <w:tcPr>
                  <w:tcW w:w="4537" w:type="dxa"/>
                  <w:vAlign w:val="center"/>
                </w:tcPr>
                <w:p w14:paraId="033FFB61">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委托当地环卫部门定期清掏。</w:t>
                  </w:r>
                </w:p>
              </w:tc>
              <w:tc>
                <w:tcPr>
                  <w:tcW w:w="703" w:type="dxa"/>
                  <w:vAlign w:val="center"/>
                </w:tcPr>
                <w:p w14:paraId="7216360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4CB3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3AAA6E2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6EB170E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Merge w:val="continue"/>
                  <w:vAlign w:val="center"/>
                </w:tcPr>
                <w:p w14:paraId="73B41D5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374" w:type="dxa"/>
                  <w:gridSpan w:val="3"/>
                  <w:vAlign w:val="center"/>
                </w:tcPr>
                <w:p w14:paraId="07E1272B">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4537" w:type="dxa"/>
                  <w:vAlign w:val="center"/>
                </w:tcPr>
                <w:p w14:paraId="38BB6801">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设置危废暂存间（5m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废润滑油</w:t>
                  </w:r>
                  <w:r>
                    <w:rPr>
                      <w:rFonts w:hint="default" w:ascii="Times New Roman" w:hAnsi="Times New Roman" w:cs="Times New Roman"/>
                      <w:b w:val="0"/>
                      <w:bCs w:val="0"/>
                      <w:color w:val="auto"/>
                      <w:sz w:val="21"/>
                      <w:szCs w:val="21"/>
                      <w:vertAlign w:val="baseline"/>
                      <w:lang w:val="en-US" w:eastAsia="zh-CN"/>
                    </w:rPr>
                    <w:t>用桶收集，存放于危废暂存间，</w:t>
                  </w:r>
                  <w:r>
                    <w:rPr>
                      <w:rFonts w:hint="eastAsia" w:cs="Times New Roman"/>
                      <w:b w:val="0"/>
                      <w:bCs w:val="0"/>
                      <w:color w:val="auto"/>
                      <w:sz w:val="21"/>
                      <w:szCs w:val="21"/>
                      <w:vertAlign w:val="baseline"/>
                      <w:lang w:val="en-US" w:eastAsia="zh-CN"/>
                    </w:rPr>
                    <w:t>废润滑油桶暂存于危废暂存间，</w:t>
                  </w:r>
                  <w:r>
                    <w:rPr>
                      <w:rFonts w:hint="default" w:ascii="Times New Roman" w:hAnsi="Times New Roman" w:cs="Times New Roman"/>
                      <w:b w:val="0"/>
                      <w:bCs w:val="0"/>
                      <w:color w:val="auto"/>
                      <w:sz w:val="21"/>
                      <w:szCs w:val="21"/>
                      <w:vertAlign w:val="baseline"/>
                      <w:lang w:val="en-US" w:eastAsia="zh-CN"/>
                    </w:rPr>
                    <w:t>委托有资质的单位定期处置。</w:t>
                  </w:r>
                </w:p>
              </w:tc>
              <w:tc>
                <w:tcPr>
                  <w:tcW w:w="703" w:type="dxa"/>
                  <w:vAlign w:val="center"/>
                </w:tcPr>
                <w:p w14:paraId="4BEA830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w:t>
                  </w:r>
                </w:p>
              </w:tc>
            </w:tr>
            <w:tr w14:paraId="2F0E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vAlign w:val="center"/>
                </w:tcPr>
                <w:p w14:paraId="1F71653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426" w:type="dxa"/>
                  <w:vMerge w:val="continue"/>
                  <w:vAlign w:val="center"/>
                </w:tcPr>
                <w:p w14:paraId="0DC7CFA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174" w:type="dxa"/>
                  <w:vAlign w:val="center"/>
                </w:tcPr>
                <w:p w14:paraId="0CC9F9EC">
                  <w:p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环境</w:t>
                  </w:r>
                </w:p>
                <w:p w14:paraId="2FCB907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风险</w:t>
                  </w:r>
                </w:p>
              </w:tc>
              <w:tc>
                <w:tcPr>
                  <w:tcW w:w="5911" w:type="dxa"/>
                  <w:gridSpan w:val="4"/>
                  <w:vAlign w:val="center"/>
                </w:tcPr>
                <w:p w14:paraId="1557187F">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制定应急预案，并定期演练。</w:t>
                  </w:r>
                </w:p>
              </w:tc>
              <w:tc>
                <w:tcPr>
                  <w:tcW w:w="703" w:type="dxa"/>
                  <w:vAlign w:val="center"/>
                </w:tcPr>
                <w:p w14:paraId="5877065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bl>
          <w:p w14:paraId="5FF83382">
            <w:pPr>
              <w:ind w:left="0" w:leftChars="0" w:firstLine="0" w:firstLineChars="0"/>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3产品方案</w:t>
            </w:r>
          </w:p>
          <w:p w14:paraId="61D4715A">
            <w:pPr>
              <w:pStyle w:val="27"/>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lang w:val="en-US" w:eastAsia="zh-CN"/>
              </w:rPr>
              <w:t>本项目年处理尾料为</w:t>
            </w:r>
            <w:r>
              <w:rPr>
                <w:rFonts w:hint="eastAsia" w:ascii="Times New Roman" w:cs="Times New Roman"/>
                <w:b w:val="0"/>
                <w:bCs w:val="0"/>
                <w:color w:val="auto"/>
                <w:lang w:val="en-US" w:eastAsia="zh-CN"/>
              </w:rPr>
              <w:t>10</w:t>
            </w:r>
            <w:r>
              <w:rPr>
                <w:rFonts w:hint="default" w:ascii="Times New Roman" w:hAnsi="Times New Roman" w:cs="Times New Roman"/>
                <w:b w:val="0"/>
                <w:bCs w:val="0"/>
                <w:color w:val="auto"/>
                <w:lang w:val="en-US" w:eastAsia="zh-CN"/>
              </w:rPr>
              <w:t>万吨，年产品量为9万吨。</w:t>
            </w:r>
          </w:p>
          <w:p w14:paraId="0BC8945A">
            <w:pPr>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lang w:val="en-US" w:eastAsia="zh-CN"/>
              </w:rPr>
              <w:t>表2-2尾料加工生产线产品方案一览表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3732"/>
              <w:gridCol w:w="3230"/>
            </w:tblGrid>
            <w:tr w14:paraId="198D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vAlign w:val="center"/>
                </w:tcPr>
                <w:p w14:paraId="1099EF0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050" w:type="pct"/>
                  <w:vAlign w:val="center"/>
                </w:tcPr>
                <w:p w14:paraId="2A12832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产品名称</w:t>
                  </w:r>
                </w:p>
              </w:tc>
              <w:tc>
                <w:tcPr>
                  <w:tcW w:w="1774" w:type="pct"/>
                  <w:vAlign w:val="center"/>
                </w:tcPr>
                <w:p w14:paraId="7D3C573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年产量（万吨）</w:t>
                  </w:r>
                </w:p>
              </w:tc>
            </w:tr>
            <w:tr w14:paraId="04C7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vAlign w:val="center"/>
                </w:tcPr>
                <w:p w14:paraId="5799644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050" w:type="pct"/>
                  <w:vAlign w:val="center"/>
                </w:tcPr>
                <w:p w14:paraId="752F856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＞18mm骨料</w:t>
                  </w:r>
                </w:p>
              </w:tc>
              <w:tc>
                <w:tcPr>
                  <w:tcW w:w="1774" w:type="pct"/>
                  <w:vMerge w:val="restart"/>
                  <w:vAlign w:val="center"/>
                </w:tcPr>
                <w:p w14:paraId="5576366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r>
            <w:tr w14:paraId="7114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vAlign w:val="center"/>
                </w:tcPr>
                <w:p w14:paraId="7A847BF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050" w:type="pct"/>
                  <w:vAlign w:val="center"/>
                </w:tcPr>
                <w:p w14:paraId="781598D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8-18mm骨料</w:t>
                  </w:r>
                </w:p>
              </w:tc>
              <w:tc>
                <w:tcPr>
                  <w:tcW w:w="1774" w:type="pct"/>
                  <w:vMerge w:val="continue"/>
                  <w:vAlign w:val="center"/>
                </w:tcPr>
                <w:p w14:paraId="484B55A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1593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vAlign w:val="center"/>
                </w:tcPr>
                <w:p w14:paraId="005D120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2050" w:type="pct"/>
                  <w:vAlign w:val="center"/>
                </w:tcPr>
                <w:p w14:paraId="76DD8B5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3.5-8mm骨料</w:t>
                  </w:r>
                </w:p>
              </w:tc>
              <w:tc>
                <w:tcPr>
                  <w:tcW w:w="1774" w:type="pct"/>
                  <w:vMerge w:val="continue"/>
                  <w:vAlign w:val="center"/>
                </w:tcPr>
                <w:p w14:paraId="30DEA44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2521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vAlign w:val="center"/>
                </w:tcPr>
                <w:p w14:paraId="22A4772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050" w:type="pct"/>
                  <w:vAlign w:val="center"/>
                </w:tcPr>
                <w:p w14:paraId="49ADFCB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＜3.5mm骨料</w:t>
                  </w:r>
                </w:p>
              </w:tc>
              <w:tc>
                <w:tcPr>
                  <w:tcW w:w="1774" w:type="pct"/>
                  <w:vMerge w:val="continue"/>
                  <w:vAlign w:val="center"/>
                </w:tcPr>
                <w:p w14:paraId="4E570E3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5B4E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189A10F5">
                  <w:pPr>
                    <w:pStyle w:val="6"/>
                    <w:spacing w:line="240" w:lineRule="auto"/>
                    <w:ind w:left="0" w:leftChars="0" w:firstLine="0" w:firstLineChars="0"/>
                    <w:rPr>
                      <w:rFonts w:hint="eastAsia"/>
                      <w:color w:val="auto"/>
                      <w:sz w:val="21"/>
                      <w:szCs w:val="21"/>
                      <w:lang w:val="en-US" w:eastAsia="zh-CN"/>
                    </w:rPr>
                  </w:pPr>
                  <w:r>
                    <w:rPr>
                      <w:rFonts w:hint="eastAsia" w:ascii="Times New Roman" w:hAnsi="Times New Roman" w:cs="Times New Roman"/>
                      <w:color w:val="auto"/>
                      <w:sz w:val="21"/>
                      <w:szCs w:val="21"/>
                      <w:vertAlign w:val="baseline"/>
                      <w:lang w:val="en-US" w:eastAsia="zh-CN"/>
                    </w:rPr>
                    <w:t>备注：</w:t>
                  </w:r>
                  <w:r>
                    <w:rPr>
                      <w:rFonts w:hint="eastAsia"/>
                      <w:color w:val="auto"/>
                      <w:sz w:val="21"/>
                      <w:szCs w:val="21"/>
                      <w:lang w:val="en-US" w:eastAsia="zh-CN"/>
                    </w:rPr>
                    <w:t>1、因项目不设置雷蒙磨，各产品粒径占比，主要取决于原料。</w:t>
                  </w:r>
                </w:p>
                <w:p w14:paraId="6F34D075">
                  <w:pPr>
                    <w:pStyle w:val="6"/>
                    <w:spacing w:line="240" w:lineRule="auto"/>
                    <w:ind w:firstLine="630" w:firstLineChars="300"/>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r>
                    <w:rPr>
                      <w:rFonts w:hint="eastAsia" w:cs="Times New Roman"/>
                      <w:color w:val="auto"/>
                      <w:sz w:val="21"/>
                      <w:szCs w:val="21"/>
                      <w:vertAlign w:val="baseline"/>
                      <w:lang w:val="en-US" w:eastAsia="zh-CN"/>
                    </w:rPr>
                    <w:t>原料含水率3%，</w:t>
                  </w:r>
                  <w:r>
                    <w:rPr>
                      <w:rFonts w:hint="eastAsia" w:ascii="Times New Roman" w:hAnsi="Times New Roman" w:cs="Times New Roman"/>
                      <w:color w:val="auto"/>
                      <w:sz w:val="21"/>
                      <w:szCs w:val="21"/>
                      <w:vertAlign w:val="baseline"/>
                      <w:lang w:val="en-US" w:eastAsia="zh-CN"/>
                    </w:rPr>
                    <w:t>产量</w:t>
                  </w:r>
                  <w:r>
                    <w:rPr>
                      <w:rFonts w:hint="eastAsia" w:cs="Times New Roman"/>
                      <w:color w:val="auto"/>
                      <w:sz w:val="21"/>
                      <w:szCs w:val="21"/>
                      <w:vertAlign w:val="baseline"/>
                      <w:lang w:val="en-US" w:eastAsia="zh-CN"/>
                    </w:rPr>
                    <w:t>含水率8%</w:t>
                  </w:r>
                  <w:r>
                    <w:rPr>
                      <w:rFonts w:hint="eastAsia" w:ascii="Times New Roman" w:hAnsi="Times New Roman" w:cs="Times New Roman"/>
                      <w:color w:val="auto"/>
                      <w:sz w:val="21"/>
                      <w:szCs w:val="21"/>
                      <w:vertAlign w:val="baseline"/>
                      <w:lang w:val="en-US" w:eastAsia="zh-CN"/>
                    </w:rPr>
                    <w:t>。</w:t>
                  </w:r>
                </w:p>
              </w:tc>
            </w:tr>
          </w:tbl>
          <w:p w14:paraId="21234EC1">
            <w:pPr>
              <w:ind w:left="0" w:leftChars="0" w:firstLine="0" w:firstLineChars="0"/>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4主要生产设备</w:t>
            </w:r>
          </w:p>
          <w:p w14:paraId="30FDDD1E">
            <w:pPr>
              <w:pStyle w:val="27"/>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项目主要购置设备变压器、洗石机、洗砂机、振动筛、皮带运输机、脱水筛、压滤机、纯电装载机、清水泵及渣浆泵、储水罐。项目生产设备设置情况见下表。</w:t>
            </w:r>
          </w:p>
          <w:p w14:paraId="35FB2D89">
            <w:pPr>
              <w:pStyle w:val="27"/>
              <w:jc w:val="center"/>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sz w:val="21"/>
                <w:szCs w:val="21"/>
                <w:lang w:val="en-US" w:eastAsia="zh-CN"/>
              </w:rPr>
              <w:t>表2-3主要生产设备一览表</w:t>
            </w:r>
          </w:p>
          <w:tbl>
            <w:tblPr>
              <w:tblStyle w:val="17"/>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835"/>
              <w:gridCol w:w="1455"/>
              <w:gridCol w:w="1170"/>
              <w:gridCol w:w="2535"/>
            </w:tblGrid>
            <w:tr w14:paraId="3826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4AAE0A54">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序号</w:t>
                  </w:r>
                </w:p>
              </w:tc>
              <w:tc>
                <w:tcPr>
                  <w:tcW w:w="2835" w:type="dxa"/>
                  <w:vAlign w:val="center"/>
                </w:tcPr>
                <w:p w14:paraId="12250109">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设备名称</w:t>
                  </w:r>
                </w:p>
              </w:tc>
              <w:tc>
                <w:tcPr>
                  <w:tcW w:w="1455" w:type="dxa"/>
                  <w:vAlign w:val="center"/>
                </w:tcPr>
                <w:p w14:paraId="0F959BED">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规格</w:t>
                  </w:r>
                </w:p>
              </w:tc>
              <w:tc>
                <w:tcPr>
                  <w:tcW w:w="1170" w:type="dxa"/>
                  <w:vAlign w:val="center"/>
                </w:tcPr>
                <w:p w14:paraId="449E7144">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数量</w:t>
                  </w:r>
                </w:p>
              </w:tc>
              <w:tc>
                <w:tcPr>
                  <w:tcW w:w="2535" w:type="dxa"/>
                  <w:vAlign w:val="center"/>
                </w:tcPr>
                <w:p w14:paraId="74D8C779">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备注</w:t>
                  </w:r>
                </w:p>
              </w:tc>
            </w:tr>
            <w:tr w14:paraId="6A7A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7CF80C85">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2835" w:type="dxa"/>
                  <w:vAlign w:val="center"/>
                </w:tcPr>
                <w:p w14:paraId="19722CA5">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变压器及相应线路进出补偿</w:t>
                  </w:r>
                </w:p>
              </w:tc>
              <w:tc>
                <w:tcPr>
                  <w:tcW w:w="1455" w:type="dxa"/>
                  <w:vAlign w:val="center"/>
                </w:tcPr>
                <w:p w14:paraId="2E1C2168">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500kV</w:t>
                  </w:r>
                </w:p>
              </w:tc>
              <w:tc>
                <w:tcPr>
                  <w:tcW w:w="1170" w:type="dxa"/>
                  <w:vAlign w:val="center"/>
                </w:tcPr>
                <w:p w14:paraId="09695167">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台</w:t>
                  </w:r>
                </w:p>
              </w:tc>
              <w:tc>
                <w:tcPr>
                  <w:tcW w:w="2535" w:type="dxa"/>
                  <w:vAlign w:val="center"/>
                </w:tcPr>
                <w:p w14:paraId="5A505A60">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49C0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7A52A67D">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p>
              </w:tc>
              <w:tc>
                <w:tcPr>
                  <w:tcW w:w="2835" w:type="dxa"/>
                  <w:vAlign w:val="center"/>
                </w:tcPr>
                <w:p w14:paraId="0A686C17">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双轴洗石机</w:t>
                  </w:r>
                </w:p>
              </w:tc>
              <w:tc>
                <w:tcPr>
                  <w:tcW w:w="1455" w:type="dxa"/>
                  <w:vAlign w:val="center"/>
                </w:tcPr>
                <w:p w14:paraId="147CAA05">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2.6X11</w:t>
                  </w:r>
                </w:p>
              </w:tc>
              <w:tc>
                <w:tcPr>
                  <w:tcW w:w="1170" w:type="dxa"/>
                  <w:vAlign w:val="center"/>
                </w:tcPr>
                <w:p w14:paraId="4F983757">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台</w:t>
                  </w:r>
                </w:p>
              </w:tc>
              <w:tc>
                <w:tcPr>
                  <w:tcW w:w="2535" w:type="dxa"/>
                  <w:vAlign w:val="center"/>
                </w:tcPr>
                <w:p w14:paraId="72A49936">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2690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19A448B5">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w:t>
                  </w:r>
                </w:p>
              </w:tc>
              <w:tc>
                <w:tcPr>
                  <w:tcW w:w="2835" w:type="dxa"/>
                  <w:vAlign w:val="center"/>
                </w:tcPr>
                <w:p w14:paraId="11EEAA72">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双轴洗</w:t>
                  </w:r>
                  <w:r>
                    <w:rPr>
                      <w:rFonts w:hint="eastAsia" w:cs="Times New Roman"/>
                      <w:b w:val="0"/>
                      <w:bCs w:val="0"/>
                      <w:color w:val="auto"/>
                      <w:sz w:val="21"/>
                      <w:szCs w:val="21"/>
                      <w:vertAlign w:val="baseline"/>
                      <w:lang w:val="en-US" w:eastAsia="zh-CN"/>
                    </w:rPr>
                    <w:t>砂</w:t>
                  </w:r>
                  <w:r>
                    <w:rPr>
                      <w:rFonts w:hint="default" w:ascii="Times New Roman" w:hAnsi="Times New Roman" w:cs="Times New Roman"/>
                      <w:b w:val="0"/>
                      <w:bCs w:val="0"/>
                      <w:color w:val="auto"/>
                      <w:sz w:val="21"/>
                      <w:szCs w:val="21"/>
                      <w:vertAlign w:val="baseline"/>
                      <w:lang w:val="en-US" w:eastAsia="zh-CN"/>
                    </w:rPr>
                    <w:t>机</w:t>
                  </w:r>
                </w:p>
              </w:tc>
              <w:tc>
                <w:tcPr>
                  <w:tcW w:w="1455" w:type="dxa"/>
                  <w:vAlign w:val="center"/>
                </w:tcPr>
                <w:p w14:paraId="4E3F2625">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2.5X11</w:t>
                  </w:r>
                </w:p>
              </w:tc>
              <w:tc>
                <w:tcPr>
                  <w:tcW w:w="1170" w:type="dxa"/>
                  <w:vAlign w:val="center"/>
                </w:tcPr>
                <w:p w14:paraId="0A4A082C">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台</w:t>
                  </w:r>
                </w:p>
              </w:tc>
              <w:tc>
                <w:tcPr>
                  <w:tcW w:w="2535" w:type="dxa"/>
                  <w:vAlign w:val="center"/>
                </w:tcPr>
                <w:p w14:paraId="435027B1">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13E7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2EE199FE">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w:t>
                  </w:r>
                </w:p>
              </w:tc>
              <w:tc>
                <w:tcPr>
                  <w:tcW w:w="2835" w:type="dxa"/>
                  <w:vAlign w:val="center"/>
                </w:tcPr>
                <w:p w14:paraId="4F087D98">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单轴洗</w:t>
                  </w:r>
                  <w:r>
                    <w:rPr>
                      <w:rFonts w:hint="eastAsia" w:cs="Times New Roman"/>
                      <w:b w:val="0"/>
                      <w:bCs w:val="0"/>
                      <w:color w:val="auto"/>
                      <w:sz w:val="21"/>
                      <w:szCs w:val="21"/>
                      <w:vertAlign w:val="baseline"/>
                      <w:lang w:val="en-US" w:eastAsia="zh-CN"/>
                    </w:rPr>
                    <w:t>砂</w:t>
                  </w:r>
                  <w:r>
                    <w:rPr>
                      <w:rFonts w:hint="default" w:ascii="Times New Roman" w:hAnsi="Times New Roman" w:cs="Times New Roman"/>
                      <w:b w:val="0"/>
                      <w:bCs w:val="0"/>
                      <w:color w:val="auto"/>
                      <w:sz w:val="21"/>
                      <w:szCs w:val="21"/>
                      <w:vertAlign w:val="baseline"/>
                      <w:lang w:val="en-US" w:eastAsia="zh-CN"/>
                    </w:rPr>
                    <w:t>机</w:t>
                  </w:r>
                </w:p>
              </w:tc>
              <w:tc>
                <w:tcPr>
                  <w:tcW w:w="1455" w:type="dxa"/>
                  <w:vAlign w:val="center"/>
                </w:tcPr>
                <w:p w14:paraId="71CD3582">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2.5X10</w:t>
                  </w:r>
                </w:p>
              </w:tc>
              <w:tc>
                <w:tcPr>
                  <w:tcW w:w="1170" w:type="dxa"/>
                  <w:vAlign w:val="center"/>
                </w:tcPr>
                <w:p w14:paraId="7183FACA">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台</w:t>
                  </w:r>
                </w:p>
              </w:tc>
              <w:tc>
                <w:tcPr>
                  <w:tcW w:w="2535" w:type="dxa"/>
                  <w:vAlign w:val="center"/>
                </w:tcPr>
                <w:p w14:paraId="5704B746">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0450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15AA05AA">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w:t>
                  </w:r>
                </w:p>
              </w:tc>
              <w:tc>
                <w:tcPr>
                  <w:tcW w:w="2835" w:type="dxa"/>
                  <w:vAlign w:val="center"/>
                </w:tcPr>
                <w:p w14:paraId="319275D8">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振动筛</w:t>
                  </w:r>
                </w:p>
              </w:tc>
              <w:tc>
                <w:tcPr>
                  <w:tcW w:w="1455" w:type="dxa"/>
                  <w:vAlign w:val="center"/>
                </w:tcPr>
                <w:p w14:paraId="62FFD799">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2470</w:t>
                  </w:r>
                </w:p>
              </w:tc>
              <w:tc>
                <w:tcPr>
                  <w:tcW w:w="1170" w:type="dxa"/>
                  <w:vAlign w:val="center"/>
                </w:tcPr>
                <w:p w14:paraId="337BD464">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台</w:t>
                  </w:r>
                </w:p>
              </w:tc>
              <w:tc>
                <w:tcPr>
                  <w:tcW w:w="2535" w:type="dxa"/>
                  <w:vAlign w:val="center"/>
                </w:tcPr>
                <w:p w14:paraId="43A27D68">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7AFC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003A8EF9">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w:t>
                  </w:r>
                </w:p>
              </w:tc>
              <w:tc>
                <w:tcPr>
                  <w:tcW w:w="2835" w:type="dxa"/>
                  <w:vAlign w:val="center"/>
                </w:tcPr>
                <w:p w14:paraId="6CE560AD">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皮带运输机</w:t>
                  </w:r>
                </w:p>
              </w:tc>
              <w:tc>
                <w:tcPr>
                  <w:tcW w:w="1455" w:type="dxa"/>
                  <w:vAlign w:val="center"/>
                </w:tcPr>
                <w:p w14:paraId="3ECDAF74">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15-30</w:t>
                  </w:r>
                  <w:r>
                    <w:rPr>
                      <w:rFonts w:hint="default" w:ascii="Times New Roman" w:hAnsi="Times New Roman" w:cs="Times New Roman"/>
                      <w:b w:val="0"/>
                      <w:bCs w:val="0"/>
                      <w:color w:val="auto"/>
                      <w:sz w:val="21"/>
                      <w:szCs w:val="21"/>
                      <w:vertAlign w:val="baseline"/>
                      <w:lang w:val="en-US" w:eastAsia="zh-CN"/>
                    </w:rPr>
                    <w:t>米</w:t>
                  </w:r>
                </w:p>
              </w:tc>
              <w:tc>
                <w:tcPr>
                  <w:tcW w:w="1170" w:type="dxa"/>
                  <w:vAlign w:val="center"/>
                </w:tcPr>
                <w:p w14:paraId="5B5119D1">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条</w:t>
                  </w:r>
                </w:p>
              </w:tc>
              <w:tc>
                <w:tcPr>
                  <w:tcW w:w="2535" w:type="dxa"/>
                  <w:vAlign w:val="center"/>
                </w:tcPr>
                <w:p w14:paraId="431B823E">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59BC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0168D99F">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w:t>
                  </w:r>
                </w:p>
              </w:tc>
              <w:tc>
                <w:tcPr>
                  <w:tcW w:w="2835" w:type="dxa"/>
                  <w:vAlign w:val="center"/>
                </w:tcPr>
                <w:p w14:paraId="748EBAC3">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脱水筛</w:t>
                  </w:r>
                </w:p>
              </w:tc>
              <w:tc>
                <w:tcPr>
                  <w:tcW w:w="1455" w:type="dxa"/>
                  <w:vAlign w:val="center"/>
                </w:tcPr>
                <w:p w14:paraId="37B355AB">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2.2X5</w:t>
                  </w:r>
                </w:p>
              </w:tc>
              <w:tc>
                <w:tcPr>
                  <w:tcW w:w="1170" w:type="dxa"/>
                  <w:vAlign w:val="center"/>
                </w:tcPr>
                <w:p w14:paraId="000ED538">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台</w:t>
                  </w:r>
                </w:p>
              </w:tc>
              <w:tc>
                <w:tcPr>
                  <w:tcW w:w="2535" w:type="dxa"/>
                  <w:vAlign w:val="center"/>
                </w:tcPr>
                <w:p w14:paraId="3F018A22">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3973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080" w:type="dxa"/>
                  <w:vAlign w:val="center"/>
                </w:tcPr>
                <w:p w14:paraId="2B853AE8">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w:t>
                  </w:r>
                </w:p>
              </w:tc>
              <w:tc>
                <w:tcPr>
                  <w:tcW w:w="2835" w:type="dxa"/>
                  <w:vAlign w:val="center"/>
                </w:tcPr>
                <w:p w14:paraId="6682EFE9">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压滤机</w:t>
                  </w:r>
                </w:p>
              </w:tc>
              <w:tc>
                <w:tcPr>
                  <w:tcW w:w="1455" w:type="dxa"/>
                  <w:vAlign w:val="center"/>
                </w:tcPr>
                <w:p w14:paraId="635DE02D">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250m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vertAlign w:val="baseline"/>
                      <w:lang w:val="en-US" w:eastAsia="zh-CN"/>
                    </w:rPr>
                    <w:t>/台，合计</w:t>
                  </w:r>
                  <w:r>
                    <w:rPr>
                      <w:rFonts w:hint="default" w:ascii="Times New Roman" w:hAnsi="Times New Roman" w:cs="Times New Roman"/>
                      <w:b w:val="0"/>
                      <w:bCs w:val="0"/>
                      <w:color w:val="auto"/>
                      <w:sz w:val="21"/>
                      <w:szCs w:val="21"/>
                      <w:vertAlign w:val="baseline"/>
                      <w:lang w:val="en-US" w:eastAsia="zh-CN"/>
                    </w:rPr>
                    <w:t>1250</w:t>
                  </w:r>
                  <w:r>
                    <w:rPr>
                      <w:rFonts w:hint="eastAsia"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1170" w:type="dxa"/>
                  <w:vAlign w:val="center"/>
                </w:tcPr>
                <w:p w14:paraId="0A226993">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台</w:t>
                  </w:r>
                </w:p>
              </w:tc>
              <w:tc>
                <w:tcPr>
                  <w:tcW w:w="2535" w:type="dxa"/>
                  <w:vAlign w:val="center"/>
                </w:tcPr>
                <w:p w14:paraId="6F9C2CC6">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理论含水率最低可降至约30%，根据泥饼处置去向，运营期设计压滤泥饼含水率40%</w:t>
                  </w:r>
                </w:p>
              </w:tc>
            </w:tr>
            <w:tr w14:paraId="667F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0CFD8E3E">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9</w:t>
                  </w:r>
                </w:p>
              </w:tc>
              <w:tc>
                <w:tcPr>
                  <w:tcW w:w="2835" w:type="dxa"/>
                  <w:vAlign w:val="center"/>
                </w:tcPr>
                <w:p w14:paraId="74900364">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纯电装载机</w:t>
                  </w:r>
                </w:p>
              </w:tc>
              <w:tc>
                <w:tcPr>
                  <w:tcW w:w="1455" w:type="dxa"/>
                  <w:vAlign w:val="center"/>
                </w:tcPr>
                <w:p w14:paraId="716EE066">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1170" w:type="dxa"/>
                  <w:vAlign w:val="center"/>
                </w:tcPr>
                <w:p w14:paraId="2EAC725A">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台</w:t>
                  </w:r>
                </w:p>
              </w:tc>
              <w:tc>
                <w:tcPr>
                  <w:tcW w:w="2535" w:type="dxa"/>
                  <w:vAlign w:val="center"/>
                </w:tcPr>
                <w:p w14:paraId="1287E9E1">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4C80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3499B418">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c>
                <w:tcPr>
                  <w:tcW w:w="2835" w:type="dxa"/>
                  <w:vAlign w:val="center"/>
                </w:tcPr>
                <w:p w14:paraId="28073CEF">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清水泵及渣浆泵</w:t>
                  </w:r>
                </w:p>
              </w:tc>
              <w:tc>
                <w:tcPr>
                  <w:tcW w:w="1455" w:type="dxa"/>
                  <w:vAlign w:val="center"/>
                </w:tcPr>
                <w:p w14:paraId="2F61C45A">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1170" w:type="dxa"/>
                  <w:vAlign w:val="center"/>
                </w:tcPr>
                <w:p w14:paraId="61FAE425">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w:t>
                  </w:r>
                  <w:r>
                    <w:rPr>
                      <w:rFonts w:hint="eastAsia" w:cs="Times New Roman"/>
                      <w:b w:val="0"/>
                      <w:bCs w:val="0"/>
                      <w:color w:val="auto"/>
                      <w:sz w:val="21"/>
                      <w:szCs w:val="21"/>
                      <w:vertAlign w:val="baseline"/>
                      <w:lang w:val="en-US" w:eastAsia="zh-CN"/>
                    </w:rPr>
                    <w:t>台</w:t>
                  </w:r>
                </w:p>
              </w:tc>
              <w:tc>
                <w:tcPr>
                  <w:tcW w:w="2535" w:type="dxa"/>
                  <w:vAlign w:val="center"/>
                </w:tcPr>
                <w:p w14:paraId="43D411D0">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3775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14773C2C">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11</w:t>
                  </w:r>
                </w:p>
              </w:tc>
              <w:tc>
                <w:tcPr>
                  <w:tcW w:w="2835" w:type="dxa"/>
                  <w:vAlign w:val="center"/>
                </w:tcPr>
                <w:p w14:paraId="4FE1E35E">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搅拌桶</w:t>
                  </w:r>
                </w:p>
              </w:tc>
              <w:tc>
                <w:tcPr>
                  <w:tcW w:w="1455" w:type="dxa"/>
                  <w:vAlign w:val="center"/>
                </w:tcPr>
                <w:p w14:paraId="07CDC17C">
                  <w:pPr>
                    <w:spacing w:line="240" w:lineRule="auto"/>
                    <w:ind w:left="0" w:leftChars="0" w:firstLine="0" w:firstLineChars="0"/>
                    <w:jc w:val="center"/>
                    <w:rPr>
                      <w:rFonts w:hint="default" w:ascii="Times New Roman" w:hAnsi="Times New Roman" w:cs="Times New Roman"/>
                      <w:b w:val="0"/>
                      <w:bCs w:val="0"/>
                      <w:color w:val="auto"/>
                      <w:sz w:val="21"/>
                      <w:szCs w:val="21"/>
                      <w:vertAlign w:val="superscript"/>
                      <w:lang w:val="en-US" w:eastAsia="zh-CN"/>
                    </w:rPr>
                  </w:pPr>
                  <w:r>
                    <w:rPr>
                      <w:rFonts w:hint="default" w:ascii="Times New Roman" w:hAnsi="Times New Roman" w:cs="Times New Roman"/>
                      <w:b w:val="0"/>
                      <w:bCs w:val="0"/>
                      <w:color w:val="auto"/>
                      <w:sz w:val="21"/>
                      <w:szCs w:val="21"/>
                      <w:vertAlign w:val="baseline"/>
                      <w:lang w:val="en-US" w:eastAsia="zh-CN"/>
                    </w:rPr>
                    <w:t>2m</w:t>
                  </w:r>
                  <w:r>
                    <w:rPr>
                      <w:rFonts w:hint="default" w:ascii="Times New Roman" w:hAnsi="Times New Roman" w:cs="Times New Roman"/>
                      <w:b w:val="0"/>
                      <w:bCs w:val="0"/>
                      <w:color w:val="auto"/>
                      <w:sz w:val="21"/>
                      <w:szCs w:val="21"/>
                      <w:vertAlign w:val="superscript"/>
                      <w:lang w:val="en-US" w:eastAsia="zh-CN"/>
                    </w:rPr>
                    <w:t>3</w:t>
                  </w:r>
                </w:p>
              </w:tc>
              <w:tc>
                <w:tcPr>
                  <w:tcW w:w="1170" w:type="dxa"/>
                  <w:vAlign w:val="center"/>
                </w:tcPr>
                <w:p w14:paraId="1B78A306">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个</w:t>
                  </w:r>
                </w:p>
              </w:tc>
              <w:tc>
                <w:tcPr>
                  <w:tcW w:w="2535" w:type="dxa"/>
                  <w:vAlign w:val="center"/>
                </w:tcPr>
                <w:p w14:paraId="71D37900">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262A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63E8D0E4">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12</w:t>
                  </w:r>
                </w:p>
              </w:tc>
              <w:tc>
                <w:tcPr>
                  <w:tcW w:w="2835" w:type="dxa"/>
                  <w:vAlign w:val="center"/>
                </w:tcPr>
                <w:p w14:paraId="43FD023C">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沉淀池</w:t>
                  </w:r>
                  <w:r>
                    <w:rPr>
                      <w:rFonts w:hint="eastAsia" w:cs="Times New Roman"/>
                      <w:b w:val="0"/>
                      <w:bCs w:val="0"/>
                      <w:color w:val="auto"/>
                      <w:sz w:val="21"/>
                      <w:szCs w:val="21"/>
                      <w:vertAlign w:val="baseline"/>
                      <w:lang w:val="en-US" w:eastAsia="zh-CN"/>
                    </w:rPr>
                    <w:t>（锥形）</w:t>
                  </w:r>
                </w:p>
              </w:tc>
              <w:tc>
                <w:tcPr>
                  <w:tcW w:w="1455" w:type="dxa"/>
                  <w:vAlign w:val="center"/>
                </w:tcPr>
                <w:p w14:paraId="72E1850A">
                  <w:pPr>
                    <w:spacing w:line="240" w:lineRule="auto"/>
                    <w:ind w:left="0" w:leftChars="0" w:firstLine="0" w:firstLineChars="0"/>
                    <w:jc w:val="center"/>
                    <w:rPr>
                      <w:rFonts w:hint="default" w:ascii="Times New Roman" w:hAnsi="Times New Roman" w:cs="Times New Roman"/>
                      <w:b w:val="0"/>
                      <w:bCs w:val="0"/>
                      <w:color w:val="auto"/>
                      <w:sz w:val="21"/>
                      <w:szCs w:val="21"/>
                      <w:vertAlign w:val="superscript"/>
                      <w:lang w:val="en-US" w:eastAsia="zh-CN"/>
                    </w:rPr>
                  </w:pPr>
                  <w:r>
                    <w:rPr>
                      <w:rFonts w:hint="default" w:ascii="Times New Roman" w:hAnsi="Times New Roman" w:cs="Times New Roman"/>
                      <w:b w:val="0"/>
                      <w:bCs w:val="0"/>
                      <w:color w:val="auto"/>
                      <w:sz w:val="21"/>
                      <w:szCs w:val="21"/>
                      <w:vertAlign w:val="baseline"/>
                      <w:lang w:val="en-US" w:eastAsia="zh-CN"/>
                    </w:rPr>
                    <w:t>120m</w:t>
                  </w:r>
                  <w:r>
                    <w:rPr>
                      <w:rFonts w:hint="default" w:ascii="Times New Roman" w:hAnsi="Times New Roman" w:cs="Times New Roman"/>
                      <w:b w:val="0"/>
                      <w:bCs w:val="0"/>
                      <w:color w:val="auto"/>
                      <w:sz w:val="21"/>
                      <w:szCs w:val="21"/>
                      <w:vertAlign w:val="superscript"/>
                      <w:lang w:val="en-US" w:eastAsia="zh-CN"/>
                    </w:rPr>
                    <w:t>3</w:t>
                  </w:r>
                </w:p>
              </w:tc>
              <w:tc>
                <w:tcPr>
                  <w:tcW w:w="1170" w:type="dxa"/>
                  <w:vAlign w:val="center"/>
                </w:tcPr>
                <w:p w14:paraId="1C8EFB27">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个</w:t>
                  </w:r>
                </w:p>
              </w:tc>
              <w:tc>
                <w:tcPr>
                  <w:tcW w:w="2535" w:type="dxa"/>
                  <w:vAlign w:val="center"/>
                </w:tcPr>
                <w:p w14:paraId="17D7AFDE">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7E4E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Align w:val="center"/>
                </w:tcPr>
                <w:p w14:paraId="386D01E3">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13</w:t>
                  </w:r>
                </w:p>
              </w:tc>
              <w:tc>
                <w:tcPr>
                  <w:tcW w:w="2835" w:type="dxa"/>
                  <w:vAlign w:val="center"/>
                </w:tcPr>
                <w:p w14:paraId="7439D655">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清水循环池</w:t>
                  </w:r>
                </w:p>
              </w:tc>
              <w:tc>
                <w:tcPr>
                  <w:tcW w:w="1455" w:type="dxa"/>
                  <w:vAlign w:val="center"/>
                </w:tcPr>
                <w:p w14:paraId="62E791E3">
                  <w:pPr>
                    <w:spacing w:line="240" w:lineRule="auto"/>
                    <w:ind w:left="0" w:leftChars="0" w:firstLine="0" w:firstLineChars="0"/>
                    <w:jc w:val="center"/>
                    <w:rPr>
                      <w:rFonts w:hint="default" w:ascii="Times New Roman" w:hAnsi="Times New Roman" w:cs="Times New Roman"/>
                      <w:b w:val="0"/>
                      <w:bCs w:val="0"/>
                      <w:color w:val="auto"/>
                      <w:sz w:val="21"/>
                      <w:szCs w:val="21"/>
                      <w:vertAlign w:val="superscript"/>
                      <w:lang w:val="en-US" w:eastAsia="zh-CN"/>
                    </w:rPr>
                  </w:pPr>
                  <w:r>
                    <w:rPr>
                      <w:rFonts w:hint="default" w:ascii="Times New Roman" w:hAnsi="Times New Roman" w:cs="Times New Roman"/>
                      <w:b w:val="0"/>
                      <w:bCs w:val="0"/>
                      <w:color w:val="auto"/>
                      <w:sz w:val="21"/>
                      <w:szCs w:val="21"/>
                      <w:vertAlign w:val="baseline"/>
                      <w:lang w:val="en-US" w:eastAsia="zh-CN"/>
                    </w:rPr>
                    <w:t>240m</w:t>
                  </w:r>
                  <w:r>
                    <w:rPr>
                      <w:rFonts w:hint="default" w:ascii="Times New Roman" w:hAnsi="Times New Roman" w:cs="Times New Roman"/>
                      <w:b w:val="0"/>
                      <w:bCs w:val="0"/>
                      <w:color w:val="auto"/>
                      <w:sz w:val="21"/>
                      <w:szCs w:val="21"/>
                      <w:vertAlign w:val="superscript"/>
                      <w:lang w:val="en-US" w:eastAsia="zh-CN"/>
                    </w:rPr>
                    <w:t>3</w:t>
                  </w:r>
                </w:p>
              </w:tc>
              <w:tc>
                <w:tcPr>
                  <w:tcW w:w="1170" w:type="dxa"/>
                  <w:vAlign w:val="center"/>
                </w:tcPr>
                <w:p w14:paraId="0B5E12B9">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个</w:t>
                  </w:r>
                </w:p>
              </w:tc>
              <w:tc>
                <w:tcPr>
                  <w:tcW w:w="2535" w:type="dxa"/>
                  <w:vAlign w:val="center"/>
                </w:tcPr>
                <w:p w14:paraId="2D3DEFC1">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r w14:paraId="4054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0" w:type="dxa"/>
                  <w:vAlign w:val="center"/>
                </w:tcPr>
                <w:p w14:paraId="01EEDF7D">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14</w:t>
                  </w:r>
                </w:p>
              </w:tc>
              <w:tc>
                <w:tcPr>
                  <w:tcW w:w="2835" w:type="dxa"/>
                  <w:vAlign w:val="center"/>
                </w:tcPr>
                <w:p w14:paraId="3611808E">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储水罐</w:t>
                  </w:r>
                </w:p>
              </w:tc>
              <w:tc>
                <w:tcPr>
                  <w:tcW w:w="1455" w:type="dxa"/>
                  <w:vAlign w:val="center"/>
                </w:tcPr>
                <w:p w14:paraId="2279B791">
                  <w:pPr>
                    <w:spacing w:line="240" w:lineRule="auto"/>
                    <w:ind w:left="0" w:leftChars="0" w:firstLine="0" w:firstLineChars="0"/>
                    <w:jc w:val="center"/>
                    <w:rPr>
                      <w:rFonts w:hint="default" w:ascii="Times New Roman" w:hAnsi="Times New Roman" w:cs="Times New Roman"/>
                      <w:b w:val="0"/>
                      <w:bCs w:val="0"/>
                      <w:color w:val="auto"/>
                      <w:sz w:val="21"/>
                      <w:szCs w:val="21"/>
                      <w:vertAlign w:val="superscript"/>
                      <w:lang w:val="en-US" w:eastAsia="zh-CN"/>
                    </w:rPr>
                  </w:pPr>
                  <w:r>
                    <w:rPr>
                      <w:rFonts w:hint="default" w:ascii="Times New Roman" w:hAnsi="Times New Roman" w:cs="Times New Roman"/>
                      <w:b w:val="0"/>
                      <w:bCs w:val="0"/>
                      <w:color w:val="auto"/>
                      <w:sz w:val="21"/>
                      <w:szCs w:val="21"/>
                      <w:vertAlign w:val="baseline"/>
                      <w:lang w:val="en-US" w:eastAsia="zh-CN"/>
                    </w:rPr>
                    <w:t>容积共110m</w:t>
                  </w:r>
                  <w:r>
                    <w:rPr>
                      <w:rFonts w:hint="default" w:ascii="Times New Roman" w:hAnsi="Times New Roman" w:cs="Times New Roman"/>
                      <w:b w:val="0"/>
                      <w:bCs w:val="0"/>
                      <w:color w:val="auto"/>
                      <w:sz w:val="21"/>
                      <w:szCs w:val="21"/>
                      <w:vertAlign w:val="superscript"/>
                      <w:lang w:val="en-US" w:eastAsia="zh-CN"/>
                    </w:rPr>
                    <w:t>3</w:t>
                  </w:r>
                </w:p>
              </w:tc>
              <w:tc>
                <w:tcPr>
                  <w:tcW w:w="1170" w:type="dxa"/>
                  <w:vAlign w:val="center"/>
                </w:tcPr>
                <w:p w14:paraId="14B086AC">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w:t>
                  </w:r>
                  <w:r>
                    <w:rPr>
                      <w:rFonts w:hint="eastAsia" w:cs="Times New Roman"/>
                      <w:b w:val="0"/>
                      <w:bCs w:val="0"/>
                      <w:color w:val="auto"/>
                      <w:sz w:val="21"/>
                      <w:szCs w:val="21"/>
                      <w:vertAlign w:val="baseline"/>
                      <w:lang w:val="en-US" w:eastAsia="zh-CN"/>
                    </w:rPr>
                    <w:t>个</w:t>
                  </w:r>
                </w:p>
              </w:tc>
              <w:tc>
                <w:tcPr>
                  <w:tcW w:w="2535" w:type="dxa"/>
                  <w:vAlign w:val="center"/>
                </w:tcPr>
                <w:p w14:paraId="5D0E2B23">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r>
          </w:tbl>
          <w:p w14:paraId="7928486B">
            <w:pPr>
              <w:ind w:left="0" w:leftChars="0" w:firstLine="0" w:firstLineChars="0"/>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5原辅料消耗情况</w:t>
            </w:r>
          </w:p>
          <w:p w14:paraId="2F309491">
            <w:pPr>
              <w:ind w:left="0" w:leftChars="0" w:firstLine="480" w:firstLineChars="200"/>
              <w:jc w:val="both"/>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主要原辅料消耗情况见表2-4。</w:t>
            </w:r>
          </w:p>
          <w:p w14:paraId="7B0ACBF5">
            <w:pPr>
              <w:ind w:left="0" w:leftChars="0" w:firstLine="422" w:firstLineChars="20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表2-4主要原辅材料用量表</w:t>
            </w:r>
          </w:p>
          <w:tbl>
            <w:tblPr>
              <w:tblStyle w:val="17"/>
              <w:tblW w:w="9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945"/>
              <w:gridCol w:w="1305"/>
              <w:gridCol w:w="1560"/>
              <w:gridCol w:w="3163"/>
            </w:tblGrid>
            <w:tr w14:paraId="6127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3" w:type="dxa"/>
                  <w:gridSpan w:val="2"/>
                  <w:vAlign w:val="center"/>
                </w:tcPr>
                <w:p w14:paraId="1A413446">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原料名称及规格</w:t>
                  </w:r>
                </w:p>
              </w:tc>
              <w:tc>
                <w:tcPr>
                  <w:tcW w:w="1305" w:type="dxa"/>
                  <w:vAlign w:val="center"/>
                </w:tcPr>
                <w:p w14:paraId="4832EDCC">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消耗量</w:t>
                  </w:r>
                </w:p>
              </w:tc>
              <w:tc>
                <w:tcPr>
                  <w:tcW w:w="1560" w:type="dxa"/>
                  <w:vAlign w:val="center"/>
                </w:tcPr>
                <w:p w14:paraId="3697FBFC">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单位</w:t>
                  </w:r>
                </w:p>
              </w:tc>
              <w:tc>
                <w:tcPr>
                  <w:tcW w:w="3163" w:type="dxa"/>
                  <w:vAlign w:val="center"/>
                </w:tcPr>
                <w:p w14:paraId="74FD99BB">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来源</w:t>
                  </w:r>
                </w:p>
              </w:tc>
            </w:tr>
            <w:tr w14:paraId="6E85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5908A7B6">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原料</w:t>
                  </w:r>
                </w:p>
              </w:tc>
              <w:tc>
                <w:tcPr>
                  <w:tcW w:w="1945" w:type="dxa"/>
                  <w:vAlign w:val="center"/>
                </w:tcPr>
                <w:p w14:paraId="0EDAB974">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玉昆珠峰采石尾料</w:t>
                  </w:r>
                </w:p>
              </w:tc>
              <w:tc>
                <w:tcPr>
                  <w:tcW w:w="1305" w:type="dxa"/>
                  <w:vAlign w:val="center"/>
                </w:tcPr>
                <w:p w14:paraId="374F4A27">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10.0</w:t>
                  </w:r>
                </w:p>
              </w:tc>
              <w:tc>
                <w:tcPr>
                  <w:tcW w:w="1560" w:type="dxa"/>
                  <w:vAlign w:val="center"/>
                </w:tcPr>
                <w:p w14:paraId="647CC270">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万t/a</w:t>
                  </w:r>
                </w:p>
              </w:tc>
              <w:tc>
                <w:tcPr>
                  <w:tcW w:w="3163" w:type="dxa"/>
                  <w:vAlign w:val="center"/>
                </w:tcPr>
                <w:p w14:paraId="66D862CA">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云南绿色钢城玉昆项目配套冶炼石灰岩矿矿产资源开发利用项目</w:t>
                  </w:r>
                </w:p>
              </w:tc>
            </w:tr>
            <w:tr w14:paraId="7FD0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38" w:type="dxa"/>
                  <w:vMerge w:val="restart"/>
                  <w:vAlign w:val="center"/>
                </w:tcPr>
                <w:p w14:paraId="4F2383FB">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能源</w:t>
                  </w:r>
                </w:p>
              </w:tc>
              <w:tc>
                <w:tcPr>
                  <w:tcW w:w="1945" w:type="dxa"/>
                  <w:vAlign w:val="center"/>
                </w:tcPr>
                <w:p w14:paraId="276D643C">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电</w:t>
                  </w:r>
                </w:p>
              </w:tc>
              <w:tc>
                <w:tcPr>
                  <w:tcW w:w="1305" w:type="dxa"/>
                  <w:vAlign w:val="center"/>
                </w:tcPr>
                <w:p w14:paraId="1A0D69AC">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212.3</w:t>
                  </w:r>
                </w:p>
              </w:tc>
              <w:tc>
                <w:tcPr>
                  <w:tcW w:w="1560" w:type="dxa"/>
                  <w:vAlign w:val="center"/>
                </w:tcPr>
                <w:p w14:paraId="33837B81">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Cs/>
                      <w:color w:val="auto"/>
                      <w:kern w:val="0"/>
                      <w:sz w:val="21"/>
                      <w:szCs w:val="21"/>
                      <w:highlight w:val="none"/>
                    </w:rPr>
                    <w:t>万</w:t>
                  </w:r>
                  <w:r>
                    <w:rPr>
                      <w:rFonts w:hint="default" w:ascii="Times New Roman" w:hAnsi="Times New Roman" w:cs="Times New Roman"/>
                      <w:color w:val="auto"/>
                      <w:sz w:val="21"/>
                      <w:szCs w:val="21"/>
                      <w:highlight w:val="none"/>
                    </w:rPr>
                    <w:t>kW.h/a</w:t>
                  </w:r>
                </w:p>
              </w:tc>
              <w:tc>
                <w:tcPr>
                  <w:tcW w:w="3163" w:type="dxa"/>
                  <w:vAlign w:val="center"/>
                </w:tcPr>
                <w:p w14:paraId="079E2489">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就近供电系统</w:t>
                  </w:r>
                </w:p>
              </w:tc>
            </w:tr>
            <w:tr w14:paraId="2D92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38" w:type="dxa"/>
                  <w:vMerge w:val="continue"/>
                  <w:vAlign w:val="center"/>
                </w:tcPr>
                <w:p w14:paraId="32FEB736">
                  <w:pPr>
                    <w:spacing w:line="240" w:lineRule="auto"/>
                    <w:ind w:left="0" w:leftChars="0" w:firstLine="0" w:firstLineChars="0"/>
                    <w:jc w:val="center"/>
                    <w:rPr>
                      <w:rFonts w:hint="default" w:ascii="Times New Roman" w:hAnsi="Times New Roman" w:cs="Times New Roman"/>
                      <w:b w:val="0"/>
                      <w:bCs w:val="0"/>
                      <w:color w:val="auto"/>
                      <w:sz w:val="21"/>
                      <w:szCs w:val="21"/>
                      <w:highlight w:val="yellow"/>
                    </w:rPr>
                  </w:pPr>
                </w:p>
              </w:tc>
              <w:tc>
                <w:tcPr>
                  <w:tcW w:w="1945" w:type="dxa"/>
                  <w:vAlign w:val="center"/>
                </w:tcPr>
                <w:p w14:paraId="207234AE">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生活用水</w:t>
                  </w:r>
                </w:p>
              </w:tc>
              <w:tc>
                <w:tcPr>
                  <w:tcW w:w="1305" w:type="dxa"/>
                  <w:vAlign w:val="center"/>
                </w:tcPr>
                <w:p w14:paraId="7470A879">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480</w:t>
                  </w:r>
                </w:p>
              </w:tc>
              <w:tc>
                <w:tcPr>
                  <w:tcW w:w="1560" w:type="dxa"/>
                  <w:vAlign w:val="center"/>
                </w:tcPr>
                <w:p w14:paraId="0F5D5267">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tc>
              <w:tc>
                <w:tcPr>
                  <w:tcW w:w="3163" w:type="dxa"/>
                  <w:vAlign w:val="center"/>
                </w:tcPr>
                <w:p w14:paraId="09EF2A52">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外购矿泉水</w:t>
                  </w:r>
                </w:p>
              </w:tc>
            </w:tr>
            <w:tr w14:paraId="15C1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38" w:type="dxa"/>
                  <w:vMerge w:val="continue"/>
                  <w:vAlign w:val="center"/>
                </w:tcPr>
                <w:p w14:paraId="187AC7FD">
                  <w:pPr>
                    <w:spacing w:line="240" w:lineRule="auto"/>
                    <w:ind w:left="0" w:leftChars="0" w:firstLine="0" w:firstLineChars="0"/>
                    <w:jc w:val="center"/>
                    <w:rPr>
                      <w:rFonts w:hint="default" w:ascii="Times New Roman" w:hAnsi="Times New Roman" w:cs="Times New Roman"/>
                      <w:b w:val="0"/>
                      <w:bCs w:val="0"/>
                      <w:color w:val="auto"/>
                      <w:sz w:val="21"/>
                      <w:szCs w:val="21"/>
                      <w:highlight w:val="yellow"/>
                      <w:vertAlign w:val="baseline"/>
                      <w:lang w:val="en-US" w:eastAsia="zh-CN"/>
                    </w:rPr>
                  </w:pPr>
                </w:p>
              </w:tc>
              <w:tc>
                <w:tcPr>
                  <w:tcW w:w="1945" w:type="dxa"/>
                  <w:vAlign w:val="center"/>
                </w:tcPr>
                <w:p w14:paraId="5D5ED322">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生产用水</w:t>
                  </w:r>
                </w:p>
              </w:tc>
              <w:tc>
                <w:tcPr>
                  <w:tcW w:w="1305" w:type="dxa"/>
                  <w:vAlign w:val="center"/>
                </w:tcPr>
                <w:p w14:paraId="6CDBFD03">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16361.4</w:t>
                  </w:r>
                </w:p>
              </w:tc>
              <w:tc>
                <w:tcPr>
                  <w:tcW w:w="1560" w:type="dxa"/>
                  <w:vAlign w:val="center"/>
                </w:tcPr>
                <w:p w14:paraId="2D5B7F4E">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t/a</w:t>
                  </w:r>
                </w:p>
              </w:tc>
              <w:tc>
                <w:tcPr>
                  <w:tcW w:w="3163" w:type="dxa"/>
                  <w:vAlign w:val="center"/>
                </w:tcPr>
                <w:p w14:paraId="1719979E">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北侧大田坡坝塘抽取至储水罐使用</w:t>
                  </w:r>
                </w:p>
              </w:tc>
            </w:tr>
            <w:tr w14:paraId="5854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38" w:type="dxa"/>
                  <w:vAlign w:val="center"/>
                </w:tcPr>
                <w:p w14:paraId="3F198C61">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絮凝剂</w:t>
                  </w:r>
                </w:p>
              </w:tc>
              <w:tc>
                <w:tcPr>
                  <w:tcW w:w="1945" w:type="dxa"/>
                  <w:vAlign w:val="center"/>
                </w:tcPr>
                <w:p w14:paraId="55602027">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主要成分为PAM</w:t>
                  </w:r>
                </w:p>
              </w:tc>
              <w:tc>
                <w:tcPr>
                  <w:tcW w:w="1305" w:type="dxa"/>
                  <w:vAlign w:val="center"/>
                </w:tcPr>
                <w:p w14:paraId="15FE11B3">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5</w:t>
                  </w:r>
                </w:p>
              </w:tc>
              <w:tc>
                <w:tcPr>
                  <w:tcW w:w="1560" w:type="dxa"/>
                  <w:vAlign w:val="center"/>
                </w:tcPr>
                <w:p w14:paraId="299D94C4">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t/a</w:t>
                  </w:r>
                </w:p>
              </w:tc>
              <w:tc>
                <w:tcPr>
                  <w:tcW w:w="3163" w:type="dxa"/>
                  <w:vAlign w:val="center"/>
                </w:tcPr>
                <w:p w14:paraId="7D131E54">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外购</w:t>
                  </w:r>
                </w:p>
              </w:tc>
            </w:tr>
            <w:tr w14:paraId="1CD9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38" w:type="dxa"/>
                  <w:vAlign w:val="center"/>
                </w:tcPr>
                <w:p w14:paraId="580457AE">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润滑油</w:t>
                  </w:r>
                </w:p>
              </w:tc>
              <w:tc>
                <w:tcPr>
                  <w:tcW w:w="1945" w:type="dxa"/>
                  <w:vAlign w:val="center"/>
                </w:tcPr>
                <w:p w14:paraId="355F7F56">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1305" w:type="dxa"/>
                  <w:vAlign w:val="center"/>
                </w:tcPr>
                <w:p w14:paraId="76081223">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0.1</w:t>
                  </w:r>
                </w:p>
              </w:tc>
              <w:tc>
                <w:tcPr>
                  <w:tcW w:w="1560" w:type="dxa"/>
                  <w:vAlign w:val="center"/>
                </w:tcPr>
                <w:p w14:paraId="4E8F25C0">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t/a</w:t>
                  </w:r>
                </w:p>
              </w:tc>
              <w:tc>
                <w:tcPr>
                  <w:tcW w:w="3163" w:type="dxa"/>
                  <w:vAlign w:val="center"/>
                </w:tcPr>
                <w:p w14:paraId="28445E18">
                  <w:pPr>
                    <w:spacing w:line="240" w:lineRule="auto"/>
                    <w:ind w:left="0" w:leftChars="0" w:firstLine="0" w:firstLineChars="0"/>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即买即用，不储存</w:t>
                  </w:r>
                </w:p>
              </w:tc>
            </w:tr>
          </w:tbl>
          <w:p w14:paraId="196ED4DB">
            <w:pPr>
              <w:pStyle w:val="6"/>
              <w:ind w:left="0" w:leftChars="0" w:firstLine="0" w:firstLineChars="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5.1原辅料理化性质</w:t>
            </w:r>
          </w:p>
          <w:p w14:paraId="0D4E3472">
            <w:pPr>
              <w:pStyle w:val="6"/>
              <w:rPr>
                <w:rFonts w:hint="default" w:ascii="Times New Roman" w:hAnsi="Times New Roman" w:cs="Times New Roman"/>
                <w:color w:val="auto"/>
                <w:lang w:val="en-US" w:eastAsia="zh-CN"/>
              </w:rPr>
            </w:pPr>
            <w:r>
              <w:rPr>
                <w:rFonts w:hint="eastAsia" w:cs="Times New Roman"/>
                <w:color w:val="auto"/>
                <w:lang w:val="en-US" w:eastAsia="zh-CN"/>
              </w:rPr>
              <w:t>（1）原料</w:t>
            </w:r>
          </w:p>
          <w:p w14:paraId="4FBFA279">
            <w:pPr>
              <w:pStyle w:val="6"/>
              <w:rPr>
                <w:rFonts w:hint="default" w:ascii="Times New Roman" w:hAnsi="Times New Roman" w:cs="Times New Roman"/>
                <w:color w:val="auto"/>
                <w:szCs w:val="20"/>
                <w:lang w:val="en-US" w:eastAsia="zh-CN"/>
              </w:rPr>
            </w:pPr>
            <w:r>
              <w:rPr>
                <w:rFonts w:hint="default" w:ascii="Times New Roman" w:hAnsi="Times New Roman" w:cs="Times New Roman"/>
                <w:color w:val="auto"/>
                <w:lang w:val="en-US" w:eastAsia="zh-CN"/>
              </w:rPr>
              <w:t>玉昆珠峰采石场：</w:t>
            </w:r>
            <w:r>
              <w:rPr>
                <w:rFonts w:hint="eastAsia"/>
                <w:color w:val="auto"/>
                <w:lang w:val="en-US" w:eastAsia="zh-CN"/>
              </w:rPr>
              <w:t>云南绿色钢城玉昆项目配套冶炼用石灰岩矿矿产资源开发利用项目（简称玉昆珠峰采石场）位于玉溪市华宁县宁州镇平地村委会境内，该项目露天开采的矿石，通过破碎筛分生产石灰岩毛石、公分石、瓜子石、石粉等普通建筑材料，于2022年取得了玉溪市生态环境局华宁分局出具环评批复，详见附件9。项目与玉溪致鑫建材有限公司签订石料购销合同（附件7），购买公分石、公厘石、瓜子石、土夹石等尾料，能满足项目原料需求。</w:t>
            </w:r>
            <w:r>
              <w:rPr>
                <w:rFonts w:hint="default" w:ascii="Times New Roman" w:hAnsi="Times New Roman" w:cs="Times New Roman"/>
                <w:color w:val="auto"/>
                <w:szCs w:val="20"/>
                <w:lang w:val="en-US" w:eastAsia="zh-CN"/>
              </w:rPr>
              <w:t>玉昆珠峰采石场位于本项目东北侧，直线距离约1250m处；尾料运输距离约为</w:t>
            </w:r>
            <w:r>
              <w:rPr>
                <w:rFonts w:hint="eastAsia" w:cs="Times New Roman"/>
                <w:color w:val="auto"/>
                <w:szCs w:val="20"/>
                <w:lang w:val="en-US" w:eastAsia="zh-CN"/>
              </w:rPr>
              <w:t>2780</w:t>
            </w:r>
            <w:r>
              <w:rPr>
                <w:rFonts w:hint="default" w:ascii="Times New Roman" w:hAnsi="Times New Roman" w:cs="Times New Roman"/>
                <w:color w:val="auto"/>
                <w:szCs w:val="20"/>
                <w:lang w:val="en-US" w:eastAsia="zh-CN"/>
              </w:rPr>
              <w:t>m，不新修道路，沿用原有乡村道路进行运输，原有乡村道路名称为华咱路，为水泥硬化地面。</w:t>
            </w:r>
          </w:p>
          <w:p w14:paraId="0AAC8990">
            <w:pPr>
              <w:pStyle w:val="6"/>
              <w:rPr>
                <w:rFonts w:hint="default" w:ascii="Times New Roman" w:hAnsi="Times New Roman" w:cs="Times New Roman"/>
                <w:color w:val="auto"/>
                <w:szCs w:val="20"/>
                <w:lang w:val="en-US" w:eastAsia="zh-CN"/>
              </w:rPr>
            </w:pPr>
          </w:p>
          <w:p w14:paraId="563763F4">
            <w:pPr>
              <w:pStyle w:val="6"/>
              <w:rPr>
                <w:rFonts w:hint="default" w:ascii="Times New Roman" w:hAnsi="Times New Roman" w:cs="Times New Roman"/>
                <w:color w:val="auto"/>
                <w:szCs w:val="20"/>
                <w:lang w:val="en-US" w:eastAsia="zh-CN"/>
              </w:rPr>
            </w:pPr>
          </w:p>
          <w:p w14:paraId="7729C644">
            <w:pPr>
              <w:pStyle w:val="6"/>
              <w:rPr>
                <w:rFonts w:hint="default" w:ascii="Times New Roman" w:hAnsi="Times New Roman" w:cs="Times New Roman"/>
                <w:color w:val="auto"/>
                <w:szCs w:val="20"/>
                <w:lang w:val="en-US" w:eastAsia="zh-CN"/>
              </w:rPr>
            </w:pPr>
          </w:p>
          <w:p w14:paraId="229EC690">
            <w:pPr>
              <w:pStyle w:val="6"/>
              <w:rPr>
                <w:rFonts w:hint="default" w:ascii="Times New Roman" w:hAnsi="Times New Roman" w:cs="Times New Roman"/>
                <w:color w:val="auto"/>
                <w:szCs w:val="20"/>
                <w:lang w:val="en-US" w:eastAsia="zh-CN"/>
              </w:rPr>
            </w:pPr>
          </w:p>
          <w:p w14:paraId="2B71CCDA">
            <w:pPr>
              <w:pStyle w:val="6"/>
              <w:rPr>
                <w:rFonts w:hint="default" w:ascii="Times New Roman" w:hAnsi="Times New Roman" w:cs="Times New Roman"/>
                <w:color w:val="auto"/>
                <w:szCs w:val="20"/>
                <w:lang w:val="en-US" w:eastAsia="zh-CN"/>
              </w:rPr>
            </w:pPr>
          </w:p>
          <w:p w14:paraId="562F394D">
            <w:pPr>
              <w:pStyle w:val="6"/>
              <w:rPr>
                <w:rFonts w:hint="default" w:ascii="Times New Roman" w:hAnsi="Times New Roman" w:cs="Times New Roman"/>
                <w:color w:val="auto"/>
                <w:szCs w:val="20"/>
                <w:lang w:val="en-US" w:eastAsia="zh-CN"/>
              </w:rPr>
            </w:pPr>
          </w:p>
          <w:p w14:paraId="3C06AC10">
            <w:pPr>
              <w:pStyle w:val="6"/>
              <w:rPr>
                <w:rFonts w:hint="default" w:ascii="Times New Roman" w:hAnsi="Times New Roman" w:cs="Times New Roman"/>
                <w:color w:val="auto"/>
                <w:szCs w:val="20"/>
                <w:lang w:val="en-US" w:eastAsia="zh-CN"/>
              </w:rPr>
            </w:pPr>
          </w:p>
          <w:p w14:paraId="0DDF4BD3">
            <w:pPr>
              <w:pStyle w:val="6"/>
              <w:rPr>
                <w:rFonts w:hint="default" w:ascii="Times New Roman" w:hAnsi="Times New Roman" w:cs="Times New Roman"/>
                <w:color w:val="auto"/>
                <w:szCs w:val="20"/>
                <w:lang w:val="en-US" w:eastAsia="zh-CN"/>
              </w:rPr>
            </w:pPr>
          </w:p>
          <w:p w14:paraId="62D748F9">
            <w:pPr>
              <w:pStyle w:val="6"/>
              <w:rPr>
                <w:rFonts w:hint="default" w:ascii="Times New Roman" w:hAnsi="Times New Roman" w:cs="Times New Roman"/>
                <w:color w:val="auto"/>
                <w:szCs w:val="20"/>
                <w:lang w:val="en-US" w:eastAsia="zh-CN"/>
              </w:rPr>
            </w:pPr>
          </w:p>
          <w:p w14:paraId="09C120AD">
            <w:pPr>
              <w:pStyle w:val="6"/>
              <w:rPr>
                <w:rFonts w:hint="default" w:ascii="Times New Roman" w:hAnsi="Times New Roman" w:cs="Times New Roman"/>
                <w:color w:val="auto"/>
                <w:szCs w:val="20"/>
                <w:lang w:val="en-US" w:eastAsia="zh-CN"/>
              </w:rPr>
            </w:pPr>
          </w:p>
          <w:p w14:paraId="2DC37DCF">
            <w:pPr>
              <w:pStyle w:val="6"/>
              <w:rPr>
                <w:rFonts w:hint="default" w:ascii="Times New Roman" w:hAnsi="Times New Roman" w:cs="Times New Roman"/>
                <w:color w:val="auto"/>
                <w:szCs w:val="20"/>
                <w:lang w:val="en-US" w:eastAsia="zh-CN"/>
              </w:rPr>
            </w:pPr>
          </w:p>
          <w:p w14:paraId="667B1293">
            <w:pPr>
              <w:pStyle w:val="6"/>
              <w:rPr>
                <w:rFonts w:hint="default" w:ascii="Times New Roman" w:hAnsi="Times New Roman" w:cs="Times New Roman"/>
                <w:color w:val="auto"/>
                <w:szCs w:val="20"/>
                <w:lang w:val="en-US" w:eastAsia="zh-CN"/>
              </w:rPr>
            </w:pPr>
          </w:p>
          <w:p w14:paraId="77B404A2">
            <w:pPr>
              <w:pStyle w:val="6"/>
              <w:rPr>
                <w:rFonts w:hint="default" w:ascii="Times New Roman" w:hAnsi="Times New Roman" w:cs="Times New Roman"/>
                <w:color w:val="auto"/>
                <w:szCs w:val="20"/>
                <w:lang w:val="en-US" w:eastAsia="zh-CN"/>
              </w:rPr>
            </w:pPr>
          </w:p>
          <w:p w14:paraId="20279834">
            <w:pPr>
              <w:pStyle w:val="6"/>
              <w:rPr>
                <w:rFonts w:hint="default" w:ascii="Times New Roman" w:hAnsi="Times New Roman" w:cs="Times New Roman"/>
                <w:color w:val="auto"/>
                <w:szCs w:val="20"/>
                <w:lang w:val="en-US" w:eastAsia="zh-CN"/>
              </w:rPr>
            </w:pPr>
          </w:p>
          <w:p w14:paraId="642C0178">
            <w:pPr>
              <w:pStyle w:val="6"/>
              <w:rPr>
                <w:rFonts w:hint="default" w:ascii="Times New Roman" w:hAnsi="Times New Roman" w:cs="Times New Roman"/>
                <w:color w:val="auto"/>
                <w:szCs w:val="20"/>
                <w:lang w:val="en-US" w:eastAsia="zh-CN"/>
              </w:rPr>
            </w:pPr>
          </w:p>
          <w:p w14:paraId="350A9211">
            <w:pPr>
              <w:pStyle w:val="6"/>
              <w:rPr>
                <w:rFonts w:hint="default" w:ascii="Times New Roman" w:hAnsi="Times New Roman" w:cs="Times New Roman"/>
                <w:color w:val="auto"/>
                <w:szCs w:val="20"/>
                <w:lang w:val="en-US" w:eastAsia="zh-CN"/>
              </w:rPr>
            </w:pPr>
          </w:p>
          <w:p w14:paraId="470281E7">
            <w:pPr>
              <w:pStyle w:val="6"/>
              <w:rPr>
                <w:rFonts w:hint="default" w:ascii="Times New Roman" w:hAnsi="Times New Roman" w:cs="Times New Roman"/>
                <w:color w:val="auto"/>
                <w:szCs w:val="20"/>
                <w:lang w:val="en-US" w:eastAsia="zh-CN"/>
              </w:rPr>
            </w:pPr>
          </w:p>
          <w:p w14:paraId="30045687">
            <w:pPr>
              <w:pStyle w:val="6"/>
              <w:rPr>
                <w:rFonts w:hint="default" w:ascii="Times New Roman" w:hAnsi="Times New Roman" w:cs="Times New Roman"/>
                <w:color w:val="auto"/>
                <w:szCs w:val="20"/>
                <w:lang w:val="en-US" w:eastAsia="zh-CN"/>
              </w:rPr>
            </w:pPr>
          </w:p>
          <w:p w14:paraId="65B09801">
            <w:pPr>
              <w:pStyle w:val="6"/>
              <w:rPr>
                <w:rFonts w:hint="default" w:ascii="Times New Roman" w:hAnsi="Times New Roman" w:cs="Times New Roman"/>
                <w:color w:val="auto"/>
                <w:szCs w:val="20"/>
                <w:lang w:val="en-US" w:eastAsia="zh-CN"/>
              </w:rPr>
            </w:pPr>
          </w:p>
          <w:p w14:paraId="47A4F970">
            <w:pPr>
              <w:pStyle w:val="6"/>
              <w:rPr>
                <w:rFonts w:hint="default" w:ascii="Times New Roman" w:hAnsi="Times New Roman" w:cs="Times New Roman"/>
                <w:color w:val="auto"/>
                <w:szCs w:val="20"/>
                <w:lang w:val="en-US" w:eastAsia="zh-CN"/>
              </w:rPr>
            </w:pPr>
          </w:p>
          <w:p w14:paraId="112AC677">
            <w:pPr>
              <w:pStyle w:val="6"/>
              <w:rPr>
                <w:rFonts w:hint="default" w:ascii="Times New Roman" w:hAnsi="Times New Roman" w:cs="Times New Roman"/>
                <w:color w:val="auto"/>
                <w:szCs w:val="20"/>
                <w:lang w:val="en-US" w:eastAsia="zh-CN"/>
              </w:rPr>
            </w:pPr>
          </w:p>
          <w:p w14:paraId="42D700FE">
            <w:pPr>
              <w:pStyle w:val="6"/>
              <w:rPr>
                <w:rFonts w:hint="default" w:ascii="Times New Roman" w:hAnsi="Times New Roman" w:cs="Times New Roman"/>
                <w:color w:val="auto"/>
                <w:szCs w:val="20"/>
                <w:lang w:val="en-US" w:eastAsia="zh-CN"/>
              </w:rPr>
            </w:pPr>
          </w:p>
          <w:p w14:paraId="0D7B448B">
            <w:pPr>
              <w:pStyle w:val="6"/>
              <w:rPr>
                <w:rFonts w:hint="default" w:ascii="Times New Roman" w:hAnsi="Times New Roman" w:cs="Times New Roman"/>
                <w:color w:val="auto"/>
                <w:szCs w:val="20"/>
                <w:lang w:val="en-US" w:eastAsia="zh-CN"/>
              </w:rPr>
            </w:pPr>
          </w:p>
          <w:p w14:paraId="3CF937F7">
            <w:pPr>
              <w:pStyle w:val="6"/>
              <w:rPr>
                <w:rFonts w:hint="default" w:ascii="Times New Roman" w:hAnsi="Times New Roman" w:cs="Times New Roman"/>
                <w:color w:val="auto"/>
                <w:szCs w:val="20"/>
                <w:lang w:val="en-US" w:eastAsia="zh-CN"/>
              </w:rPr>
            </w:pPr>
          </w:p>
          <w:p w14:paraId="7A37B712">
            <w:pPr>
              <w:pStyle w:val="6"/>
              <w:rPr>
                <w:rFonts w:hint="default" w:ascii="Times New Roman" w:hAnsi="Times New Roman" w:cs="Times New Roman"/>
                <w:color w:val="auto"/>
                <w:szCs w:val="20"/>
                <w:lang w:val="en-US" w:eastAsia="zh-CN"/>
              </w:rPr>
            </w:pPr>
          </w:p>
          <w:p w14:paraId="35EBA03A">
            <w:pPr>
              <w:pStyle w:val="6"/>
              <w:rPr>
                <w:rFonts w:hint="default" w:ascii="Times New Roman" w:hAnsi="Times New Roman" w:cs="Times New Roman"/>
                <w:color w:val="auto"/>
                <w:szCs w:val="20"/>
                <w:lang w:val="en-US" w:eastAsia="zh-CN"/>
              </w:rPr>
            </w:pPr>
          </w:p>
          <w:p w14:paraId="2A6E84D9">
            <w:pPr>
              <w:ind w:left="0" w:leftChars="0" w:firstLine="0" w:firstLineChars="0"/>
              <w:jc w:val="center"/>
              <w:rPr>
                <w:rFonts w:hint="default" w:ascii="Times New Roman" w:hAnsi="Times New Roman" w:eastAsia="仿宋_GB2312"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63360" behindDoc="0" locked="0" layoutInCell="1" allowOverlap="1">
                      <wp:simplePos x="0" y="0"/>
                      <wp:positionH relativeFrom="column">
                        <wp:posOffset>2761615</wp:posOffset>
                      </wp:positionH>
                      <wp:positionV relativeFrom="paragraph">
                        <wp:posOffset>3594100</wp:posOffset>
                      </wp:positionV>
                      <wp:extent cx="104140" cy="132715"/>
                      <wp:effectExtent l="6350" t="7620" r="22860" b="12065"/>
                      <wp:wrapNone/>
                      <wp:docPr id="68" name="自选图形 63"/>
                      <wp:cNvGraphicFramePr/>
                      <a:graphic xmlns:a="http://schemas.openxmlformats.org/drawingml/2006/main">
                        <a:graphicData uri="http://schemas.microsoft.com/office/word/2010/wordprocessingShape">
                          <wps:wsp>
                            <wps:cNvSpPr/>
                            <wps:spPr>
                              <a:xfrm>
                                <a:off x="0" y="0"/>
                                <a:ext cx="104140" cy="132715"/>
                              </a:xfrm>
                              <a:prstGeom prst="diamond">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自选图形 63" o:spid="_x0000_s1026" o:spt="4" type="#_x0000_t4" style="position:absolute;left:0pt;margin-left:217.45pt;margin-top:283pt;height:10.45pt;width:8.2pt;z-index:251663360;mso-width-relative:page;mso-height-relative:page;" fillcolor="#FF0000" filled="t" stroked="t" coordsize="21600,21600" o:gfxdata="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aGN5/cAAAACwEAAA8AAAAAAAAAAQAgAAAA&#10;IgAAAGRycy9kb3ducmV2LnhtbFBLAQIUABQAAAAIAIdO4kDP/VZCBwIAACgEAAAOAAAAAAAAAAEA&#10;IAAAACsBAABkcnMvZTJvRG9jLnhtbFBLBQYAAAAABgAGAFkBAACkBQAAAAA=&#1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1695450</wp:posOffset>
                      </wp:positionH>
                      <wp:positionV relativeFrom="paragraph">
                        <wp:posOffset>3839210</wp:posOffset>
                      </wp:positionV>
                      <wp:extent cx="1028065" cy="352425"/>
                      <wp:effectExtent l="0" t="0" r="0" b="0"/>
                      <wp:wrapNone/>
                      <wp:docPr id="69" name="文本框 64"/>
                      <wp:cNvGraphicFramePr/>
                      <a:graphic xmlns:a="http://schemas.openxmlformats.org/drawingml/2006/main">
                        <a:graphicData uri="http://schemas.microsoft.com/office/word/2010/wordprocessingShape">
                          <wps:wsp>
                            <wps:cNvSpPr txBox="1"/>
                            <wps:spPr>
                              <a:xfrm>
                                <a:off x="0" y="0"/>
                                <a:ext cx="1028065" cy="352425"/>
                              </a:xfrm>
                              <a:prstGeom prst="rect">
                                <a:avLst/>
                              </a:prstGeom>
                              <a:noFill/>
                              <a:ln>
                                <a:noFill/>
                              </a:ln>
                            </wps:spPr>
                            <wps:txbx>
                              <w:txbxContent>
                                <w:p w14:paraId="5DE4258B">
                                  <w:pPr>
                                    <w:ind w:left="0" w:leftChars="0" w:firstLine="0" w:firstLineChars="0"/>
                                    <w:rPr>
                                      <w:rFonts w:hint="default" w:eastAsia="宋体"/>
                                      <w:b/>
                                      <w:bCs/>
                                      <w:color w:val="FF0000"/>
                                      <w:sz w:val="21"/>
                                      <w:szCs w:val="21"/>
                                      <w:lang w:val="en-US" w:eastAsia="zh-CN"/>
                                    </w:rPr>
                                  </w:pPr>
                                  <w:r>
                                    <w:rPr>
                                      <w:rFonts w:hint="eastAsia"/>
                                      <w:b/>
                                      <w:bCs/>
                                      <w:color w:val="FF0000"/>
                                      <w:sz w:val="21"/>
                                      <w:szCs w:val="21"/>
                                      <w:lang w:val="en-US" w:eastAsia="zh-CN"/>
                                    </w:rPr>
                                    <w:t>项目所在位置</w:t>
                                  </w:r>
                                </w:p>
                              </w:txbxContent>
                            </wps:txbx>
                            <wps:bodyPr upright="1"/>
                          </wps:wsp>
                        </a:graphicData>
                      </a:graphic>
                    </wp:anchor>
                  </w:drawing>
                </mc:Choice>
                <mc:Fallback>
                  <w:pict>
                    <v:shape id="文本框 64" o:spid="_x0000_s1026" o:spt="202" type="#_x0000_t202" style="position:absolute;left:0pt;margin-left:133.5pt;margin-top:302.3pt;height:27.75pt;width:80.95pt;z-index:251664384;mso-width-relative:page;mso-height-relative:page;" filled="f" stroked="f" coordsize="21600,21600" o:gfxdata="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lUGGy&#10;2AAAAAsBAAAPAAAAAAAAAAEAIAAAACIAAABkcnMvZG93bnJldi54bWxQSwECFAAUAAAACACHTuJA&#10;dq0yRq8BAABQAwAADgAAAAAAAAABACAAAAAnAQAAZHJzL2Uyb0RvYy54bWxQSwUGAAAAAAYABgBZ&#10;AQAASAUAAAAA&#10;">
                      <v:fill on="f" focussize="0,0"/>
                      <v:stroke on="f"/>
                      <v:imagedata o:title=""/>
                      <o:lock v:ext="edit" aspectratio="f"/>
                      <v:textbox>
                        <w:txbxContent>
                          <w:p w14:paraId="5DE4258B">
                            <w:pPr>
                              <w:ind w:left="0" w:leftChars="0" w:firstLine="0" w:firstLineChars="0"/>
                              <w:rPr>
                                <w:rFonts w:hint="default" w:eastAsia="宋体"/>
                                <w:b/>
                                <w:bCs/>
                                <w:color w:val="FF0000"/>
                                <w:sz w:val="21"/>
                                <w:szCs w:val="21"/>
                                <w:lang w:val="en-US" w:eastAsia="zh-CN"/>
                              </w:rPr>
                            </w:pPr>
                            <w:r>
                              <w:rPr>
                                <w:rFonts w:hint="eastAsia"/>
                                <w:b/>
                                <w:bCs/>
                                <w:color w:val="FF0000"/>
                                <w:sz w:val="21"/>
                                <w:szCs w:val="21"/>
                                <w:lang w:val="en-US" w:eastAsia="zh-CN"/>
                              </w:rPr>
                              <w:t>项目所在位置</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5408" behindDoc="0" locked="0" layoutInCell="1" allowOverlap="1">
                      <wp:simplePos x="0" y="0"/>
                      <wp:positionH relativeFrom="column">
                        <wp:posOffset>2580005</wp:posOffset>
                      </wp:positionH>
                      <wp:positionV relativeFrom="paragraph">
                        <wp:posOffset>3726815</wp:posOffset>
                      </wp:positionV>
                      <wp:extent cx="233680" cy="160020"/>
                      <wp:effectExtent l="0" t="3810" r="13970" b="7620"/>
                      <wp:wrapNone/>
                      <wp:docPr id="70" name="直线 65"/>
                      <wp:cNvGraphicFramePr/>
                      <a:graphic xmlns:a="http://schemas.openxmlformats.org/drawingml/2006/main">
                        <a:graphicData uri="http://schemas.microsoft.com/office/word/2010/wordprocessingShape">
                          <wps:wsp>
                            <wps:cNvCnPr>
                              <a:stCxn id="68" idx="2"/>
                            </wps:cNvCnPr>
                            <wps:spPr>
                              <a:xfrm flipH="1">
                                <a:off x="0" y="0"/>
                                <a:ext cx="233680" cy="16002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65" o:spid="_x0000_s1026" o:spt="20" style="position:absolute;left:0pt;flip:x;margin-left:203.15pt;margin-top:293.45pt;height:12.6pt;width:18.4pt;z-index:251665408;mso-width-relative:page;mso-height-relative:page;" filled="f" stroked="t" coordsize="21600,21600" o:gfxdata="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KpZtHaAAAACwEAAA8AAAAAAAAAAQAg&#10;AAAAIgAAAGRycy9kb3ducmV2LnhtbFBLAQIUABQAAAAIAIdO4kBFfmT/DAIAABMEAAAOAAAAAAAA&#10;AAEAIAAAACkBAABkcnMvZTJvRG9jLnhtbFBLBQYAAAAABgAGAFkBAACnBQAAAAA=&#10;">
                      <v:fill on="f" focussize="0,0"/>
                      <v:stroke color="#FF0000" joinstyle="round" endarrow="open"/>
                      <v:imagedata o:title=""/>
                      <o:lock v:ext="edit" aspectratio="f"/>
                    </v:line>
                  </w:pict>
                </mc:Fallback>
              </mc:AlternateContent>
            </w:r>
            <w:r>
              <w:rPr>
                <w:rFonts w:hint="default" w:ascii="Times New Roman" w:hAnsi="Times New Roman" w:eastAsia="仿宋_GB2312" w:cs="Times New Roman"/>
                <w:b/>
                <w:color w:val="auto"/>
                <w:sz w:val="28"/>
                <w:szCs w:val="28"/>
              </w:rPr>
              <w:drawing>
                <wp:inline distT="0" distB="0" distL="114300" distR="114300">
                  <wp:extent cx="5376545" cy="6976745"/>
                  <wp:effectExtent l="0" t="0" r="14605" b="14605"/>
                  <wp:docPr id="20" name="图片 6" descr="说明: C:\Documents and Settings\Administrator\桌面\裁剪交通图\交通图(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说明: C:\Documents and Settings\Administrator\桌面\裁剪交通图\交通图(CJ).JPG"/>
                          <pic:cNvPicPr>
                            <a:picLocks noChangeAspect="1"/>
                          </pic:cNvPicPr>
                        </pic:nvPicPr>
                        <pic:blipFill>
                          <a:blip r:embed="rId11"/>
                          <a:srcRect l="2971" t="2257" r="2925" b="2257"/>
                          <a:stretch>
                            <a:fillRect/>
                          </a:stretch>
                        </pic:blipFill>
                        <pic:spPr>
                          <a:xfrm>
                            <a:off x="0" y="0"/>
                            <a:ext cx="5376545" cy="6976745"/>
                          </a:xfrm>
                          <a:prstGeom prst="rect">
                            <a:avLst/>
                          </a:prstGeom>
                          <a:noFill/>
                          <a:ln>
                            <a:noFill/>
                          </a:ln>
                        </pic:spPr>
                      </pic:pic>
                    </a:graphicData>
                  </a:graphic>
                </wp:inline>
              </w:drawing>
            </w:r>
          </w:p>
          <w:p w14:paraId="482DBBE2">
            <w:pPr>
              <w:ind w:left="0" w:leftChars="0"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图2-1玉昆珠峰采石场与本项目位置关系图</w:t>
            </w:r>
          </w:p>
          <w:p w14:paraId="71A55A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PAM</w:t>
            </w:r>
          </w:p>
          <w:p w14:paraId="14A815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聚丙烯酰胺（PAM）是一种线型高分子聚合物，化学式为</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C</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H</w:t>
            </w:r>
            <w:r>
              <w:rPr>
                <w:rFonts w:hint="default" w:ascii="Times New Roman" w:hAnsi="Times New Roman" w:eastAsia="宋体" w:cs="Times New Roman"/>
                <w:color w:val="auto"/>
                <w:kern w:val="0"/>
                <w:sz w:val="24"/>
                <w:vertAlign w:val="subscript"/>
              </w:rPr>
              <w:t>5</w:t>
            </w:r>
            <w:r>
              <w:rPr>
                <w:rFonts w:hint="default" w:ascii="Times New Roman" w:hAnsi="Times New Roman" w:eastAsia="宋体" w:cs="Times New Roman"/>
                <w:color w:val="auto"/>
                <w:kern w:val="0"/>
                <w:sz w:val="24"/>
              </w:rPr>
              <w:t>NO</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n。在常温下为坚硬的玻璃态固体，热稳定性良好，能以任意比例溶于水，水溶液为均匀透明液体。</w:t>
            </w:r>
          </w:p>
          <w:p w14:paraId="688FBB6B">
            <w:pPr>
              <w:pStyle w:val="27"/>
              <w:ind w:left="0" w:leftChars="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聚丙烯酰胺是由丙烯酰胺单体经自由基引发聚合而成的水溶性线性高分子聚合物，具有良好的絮凝性，可以降低液体之间的摩擦阻力。在污水处理中，采用聚丙烯酰胺可以增加水回用循环的使用率，还可以用作污泥脱水</w:t>
            </w:r>
            <w:r>
              <w:rPr>
                <w:rFonts w:hint="default" w:ascii="Times New Roman" w:hAnsi="Times New Roman" w:cs="Times New Roman"/>
                <w:color w:val="auto"/>
                <w:lang w:eastAsia="zh-CN"/>
              </w:rPr>
              <w:t>。</w:t>
            </w:r>
            <w:r>
              <w:rPr>
                <w:rFonts w:hint="default" w:ascii="Times New Roman" w:hAnsi="Times New Roman" w:eastAsia="宋体" w:cs="Times New Roman"/>
                <w:color w:val="auto"/>
                <w:kern w:val="0"/>
                <w:sz w:val="24"/>
              </w:rPr>
              <w:t>聚丙烯酰胺是水溶性树脂。主要用作钻井泥浆的添加剂、絮凝剂、纱处理剂、矿物浮选液添加剂和</w:t>
            </w:r>
            <w:r>
              <w:rPr>
                <w:rFonts w:hint="default" w:ascii="Times New Roman" w:hAnsi="Times New Roman" w:eastAsia="宋体" w:cs="Times New Roman"/>
                <w:b w:val="0"/>
                <w:bCs w:val="0"/>
                <w:color w:val="auto"/>
                <w:kern w:val="0"/>
                <w:sz w:val="24"/>
              </w:rPr>
              <w:t>土壤改良剂等</w:t>
            </w:r>
            <w:r>
              <w:rPr>
                <w:rFonts w:hint="default" w:ascii="Times New Roman" w:hAnsi="Times New Roman" w:eastAsia="宋体" w:cs="Times New Roman"/>
                <w:color w:val="auto"/>
                <w:kern w:val="0"/>
                <w:sz w:val="24"/>
              </w:rPr>
              <w:t>。</w:t>
            </w:r>
          </w:p>
          <w:p w14:paraId="01B1096E">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Times New Roman" w:hAnsi="Times New Roman" w:cs="Times New Roman"/>
                <w:b/>
                <w:bCs/>
                <w:color w:val="auto"/>
                <w:kern w:val="0"/>
                <w:sz w:val="21"/>
                <w:szCs w:val="21"/>
                <w:lang w:val="en-US" w:eastAsia="zh-CN"/>
              </w:rPr>
            </w:pPr>
            <w:r>
              <w:rPr>
                <w:rFonts w:hint="eastAsia" w:cs="Times New Roman"/>
                <w:b w:val="0"/>
                <w:bCs w:val="0"/>
                <w:color w:val="auto"/>
                <w:kern w:val="0"/>
                <w:sz w:val="24"/>
                <w:szCs w:val="24"/>
                <w:lang w:val="en-US" w:eastAsia="zh-CN"/>
              </w:rPr>
              <w:t>（3）润滑油</w:t>
            </w:r>
          </w:p>
          <w:p w14:paraId="57ADF81E">
            <w:pPr>
              <w:ind w:left="0" w:leftChars="0" w:firstLine="0" w:firstLineChars="0"/>
              <w:jc w:val="center"/>
              <w:rPr>
                <w:rFonts w:hint="default" w:eastAsia="宋体"/>
                <w:b/>
                <w:bCs/>
                <w:color w:val="auto"/>
                <w:sz w:val="21"/>
                <w:szCs w:val="21"/>
                <w:vertAlign w:val="baseline"/>
                <w:lang w:val="en-US" w:eastAsia="zh-CN"/>
              </w:rPr>
            </w:pPr>
            <w:r>
              <w:rPr>
                <w:rFonts w:hint="eastAsia" w:ascii="Times New Roman" w:hAnsi="Times New Roman" w:cs="Times New Roman"/>
                <w:b/>
                <w:bCs/>
                <w:color w:val="auto"/>
                <w:kern w:val="0"/>
                <w:sz w:val="21"/>
                <w:szCs w:val="21"/>
                <w:lang w:val="en-US" w:eastAsia="zh-CN"/>
              </w:rPr>
              <w:t>表2-5润滑油理化特性</w:t>
            </w:r>
          </w:p>
          <w:tbl>
            <w:tblPr>
              <w:tblStyle w:val="17"/>
              <w:tblW w:w="9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8147"/>
            </w:tblGrid>
            <w:tr w14:paraId="2FFB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9" w:type="dxa"/>
                  <w:gridSpan w:val="2"/>
                  <w:vAlign w:val="center"/>
                </w:tcPr>
                <w:p w14:paraId="71BFBA05">
                  <w:pPr>
                    <w:spacing w:line="240" w:lineRule="auto"/>
                    <w:ind w:left="0" w:leftChars="0" w:firstLine="0" w:firstLineChar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中文名称：润滑油英文名称：lubricating oilCAS号：无危规号：无UN编号：无</w:t>
                  </w:r>
                </w:p>
                <w:p w14:paraId="421EDEA0">
                  <w:pPr>
                    <w:spacing w:line="240" w:lineRule="auto"/>
                    <w:ind w:left="0" w:leftChars="0" w:firstLine="0" w:firstLineChar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分子量：230-500危险性类别：无外观与性状：油状液体，淡黄色至褐色，无气味或略带异味；</w:t>
                  </w:r>
                </w:p>
                <w:p w14:paraId="4F53953B">
                  <w:pPr>
                    <w:spacing w:line="240" w:lineRule="auto"/>
                    <w:ind w:left="0" w:leftChars="0" w:firstLine="0" w:firstLineChar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毒理学资料：无资料闪点（℃）：76； 相对密度（水=1）：&lt;1引燃温度（℃）：248</w:t>
                  </w:r>
                </w:p>
                <w:p w14:paraId="7B2029CE">
                  <w:pPr>
                    <w:spacing w:line="240" w:lineRule="auto"/>
                    <w:ind w:left="0" w:leftChars="0" w:firstLine="0" w:firstLineChar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主要用途：用于机械的摩擦部分，起润滑、冷却和密封作用禁配物：强氧化剂</w:t>
                  </w:r>
                  <w:r>
                    <w:rPr>
                      <w:rFonts w:hint="eastAsia" w:cs="Times New Roman"/>
                      <w:b w:val="0"/>
                      <w:bCs w:val="0"/>
                      <w:color w:val="auto"/>
                      <w:sz w:val="21"/>
                      <w:szCs w:val="21"/>
                      <w:vertAlign w:val="baseline"/>
                      <w:lang w:val="en-US" w:eastAsia="zh-CN"/>
                    </w:rPr>
                    <w:t>；</w:t>
                  </w:r>
                </w:p>
              </w:tc>
            </w:tr>
            <w:tr w14:paraId="1B62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7AA436C7">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危险性概述</w:t>
                  </w:r>
                </w:p>
              </w:tc>
              <w:tc>
                <w:tcPr>
                  <w:tcW w:w="8147" w:type="dxa"/>
                  <w:vAlign w:val="center"/>
                </w:tcPr>
                <w:p w14:paraId="10A27F84">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健康危害：急性吸入，可出现乏力、头晕、头痛、恶心，严重者可引起油脂性肺炎。</w:t>
                  </w:r>
                </w:p>
                <w:p w14:paraId="05A76EA7">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慢性接触者，暴露部位可发生油性痤疮和接触性皮炎。可引起神经衰弱综合征，呼吸道和眼刺激症状及慢性油脂性肺炎。有资料报道，接触石油润滑油类的工人，有致癌的病例报告。</w:t>
                  </w:r>
                </w:p>
                <w:p w14:paraId="54DAD859">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燃爆危险：本品可燃，具刺激性。</w:t>
                  </w:r>
                </w:p>
              </w:tc>
            </w:tr>
            <w:tr w14:paraId="57D7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548EF1ED">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急救措施</w:t>
                  </w:r>
                </w:p>
              </w:tc>
              <w:tc>
                <w:tcPr>
                  <w:tcW w:w="8147" w:type="dxa"/>
                  <w:vAlign w:val="center"/>
                </w:tcPr>
                <w:p w14:paraId="07DA0D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皮肤接触：脱去污染的衣着，用肥皂水和清水彻底冲洗皮肤眼睛接触：用流动清水或生理盐水冲洗，就医吸入：迅速脱离现场至空气新鲜处。保持呼吸道通畅。如呼吸困难，给输氧。如呼吸停止，立即进行人工呼吸。就医食入：饮足量温水，催吐</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就医。</w:t>
                  </w:r>
                </w:p>
              </w:tc>
            </w:tr>
            <w:tr w14:paraId="7080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0F954EA3">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消防措施</w:t>
                  </w:r>
                </w:p>
              </w:tc>
              <w:tc>
                <w:tcPr>
                  <w:tcW w:w="8147" w:type="dxa"/>
                  <w:vAlign w:val="center"/>
                </w:tcPr>
                <w:p w14:paraId="4A5D5DC3">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危险特性：遇明火、高热可燃；有害燃烧产物：一氧化碳、二氧化碳；</w:t>
                  </w:r>
                </w:p>
                <w:p w14:paraId="1555FD6A">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灭火方法：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77BE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1AB33B2D">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泄漏应急处理</w:t>
                  </w:r>
                </w:p>
              </w:tc>
              <w:tc>
                <w:tcPr>
                  <w:tcW w:w="8147" w:type="dxa"/>
                  <w:vAlign w:val="center"/>
                </w:tcPr>
                <w:p w14:paraId="3BF9676B">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迅速撤离泄漏污染区人员至安全区，并进行隔离，严格限制出入。切断火源。建议应急处理人员戴自给正压式呼吸器，穿防毒服。尽可能切断泄漏源。防止流入下水道、排洪沟等限制性空间。小量泄漏：用砂土或其它不燃材料吸附或吸收。大量泄漏：构筑围堤或挖坑收容。用泵转移至槽车或专用收集器内，回收或运至废物处理场所处置。</w:t>
                  </w:r>
                </w:p>
              </w:tc>
            </w:tr>
            <w:tr w14:paraId="209E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40E52F95">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操作注意事项</w:t>
                  </w:r>
                </w:p>
              </w:tc>
              <w:tc>
                <w:tcPr>
                  <w:tcW w:w="8147" w:type="dxa"/>
                  <w:vAlign w:val="center"/>
                </w:tcPr>
                <w:p w14:paraId="56C4E983">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操作，注意通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蒸气泄漏到工作场所空气中。避免与氧化剂接触。搬运时要轻装轻卸，防止包装及容器损坏。配备相应品种和数量的消防器材及泄漏应急处理设备。倒空的容器可能残留有害物。</w:t>
                  </w:r>
                </w:p>
              </w:tc>
            </w:tr>
            <w:tr w14:paraId="5C14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5C944B3B">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接触控制及个体防护</w:t>
                  </w:r>
                </w:p>
              </w:tc>
              <w:tc>
                <w:tcPr>
                  <w:tcW w:w="8147" w:type="dxa"/>
                  <w:vAlign w:val="center"/>
                </w:tcPr>
                <w:p w14:paraId="7F4A22EF">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工程控制：密闭操作，注意通风；</w:t>
                  </w:r>
                </w:p>
                <w:p w14:paraId="5D7B07D5">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呼吸系统防护：空气中浓度超标时，必须佩戴自吸过滤式防毒面具（半面罩）。急事态抢救或撤离时，应该佩戴空气呼吸器眼睛防护：戴化学安全防护眼镜身体防护：穿防毒物渗透工作服手防护：戴橡胶耐油手套其他防护：工作现场严禁吸烟。</w:t>
                  </w:r>
                </w:p>
                <w:p w14:paraId="670E796C">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避免长期反复接触。</w:t>
                  </w:r>
                </w:p>
              </w:tc>
            </w:tr>
            <w:tr w14:paraId="378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982" w:type="dxa"/>
                  <w:vAlign w:val="center"/>
                </w:tcPr>
                <w:p w14:paraId="7A7DD48A">
                  <w:p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包装、储存及运输技术要求</w:t>
                  </w:r>
                </w:p>
              </w:tc>
              <w:tc>
                <w:tcPr>
                  <w:tcW w:w="8147" w:type="dxa"/>
                  <w:vAlign w:val="center"/>
                </w:tcPr>
                <w:p w14:paraId="537CB601">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储存于阴凉、通风的库房。远离火种、热源。应与氧化剂分开存放，切忌混储。配备相应品种和数量的消防器材。储区应备有泄漏应急处理设备和合适的收容材料。</w:t>
                  </w:r>
                </w:p>
                <w:p w14:paraId="3186B9A2">
                  <w:pPr>
                    <w:keepNext w:val="0"/>
                    <w:keepLines w:val="0"/>
                    <w:pageBreakBefore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输事项：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CC05EF6">
            <w:pPr>
              <w:pStyle w:val="27"/>
              <w:ind w:left="0" w:leftChars="0" w:firstLine="0" w:firstLineChars="0"/>
              <w:rPr>
                <w:rFonts w:hint="default" w:ascii="Times New Roman" w:hAnsi="Times New Roman" w:cs="Times New Roman"/>
                <w:b/>
                <w:bCs/>
                <w:color w:val="auto"/>
                <w:lang w:val="en-US" w:eastAsia="zh-CN"/>
              </w:rPr>
            </w:pPr>
          </w:p>
          <w:p w14:paraId="425BFAB3">
            <w:pPr>
              <w:pStyle w:val="27"/>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6劳动定员及工作制度</w:t>
            </w:r>
          </w:p>
          <w:p w14:paraId="18DC0A90">
            <w:pP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本项目劳动定员约为10人，每天工作8小时</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生产线年生产300天。</w:t>
            </w:r>
          </w:p>
          <w:p w14:paraId="06755BC6">
            <w:pPr>
              <w:pStyle w:val="27"/>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7公用工程</w:t>
            </w:r>
          </w:p>
          <w:p w14:paraId="01B94B61">
            <w:pPr>
              <w:numPr>
                <w:ilvl w:val="0"/>
                <w:numId w:val="0"/>
              </w:numPr>
              <w:ind w:firstLine="482" w:firstLineChars="200"/>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lang w:val="en-US" w:eastAsia="zh-CN"/>
              </w:rPr>
              <w:t>供水</w:t>
            </w:r>
          </w:p>
          <w:p w14:paraId="7A349BE1">
            <w:pPr>
              <w:pStyle w:val="27"/>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本项目施工期运营期员工用水</w:t>
            </w:r>
            <w:r>
              <w:rPr>
                <w:rFonts w:hint="eastAsia" w:ascii="Times New Roman" w:cs="Times New Roman"/>
                <w:color w:val="auto"/>
                <w:lang w:val="en-US" w:eastAsia="zh-CN"/>
              </w:rPr>
              <w:t>通过外运自来水</w:t>
            </w:r>
            <w:r>
              <w:rPr>
                <w:rFonts w:hint="default" w:ascii="Times New Roman" w:hAnsi="Times New Roman" w:cs="Times New Roman"/>
                <w:color w:val="auto"/>
                <w:lang w:val="en-US" w:eastAsia="zh-CN"/>
              </w:rPr>
              <w:t>，洗砂用水从项目北侧大田坡坝塘抽取；本项目用水主要是职工生活用水和生产用水（洗砂用水、降尘用水）。</w:t>
            </w:r>
          </w:p>
          <w:p w14:paraId="4DD38A3E">
            <w:pPr>
              <w:pStyle w:val="7"/>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生活用水</w:t>
            </w:r>
          </w:p>
          <w:p w14:paraId="0E8B8A8C">
            <w:pPr>
              <w:pStyle w:val="7"/>
              <w:numPr>
                <w:ilvl w:val="0"/>
                <w:numId w:val="0"/>
              </w:numPr>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本项目建设完成后工作人员为</w:t>
            </w:r>
            <w:r>
              <w:rPr>
                <w:rFonts w:hint="default" w:ascii="Times New Roman" w:hAnsi="Times New Roman" w:eastAsia="宋体" w:cs="Times New Roman"/>
                <w:b w:val="0"/>
                <w:bCs w:val="0"/>
                <w:color w:val="auto"/>
                <w:sz w:val="24"/>
                <w:szCs w:val="24"/>
                <w:lang w:val="en-US" w:eastAsia="zh-CN"/>
              </w:rPr>
              <w:t>2人食宿，</w:t>
            </w:r>
            <w:r>
              <w:rPr>
                <w:rFonts w:hint="default" w:ascii="Times New Roman" w:hAnsi="Times New Roman"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人不在厂区食宿</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4"/>
                <w:szCs w:val="24"/>
                <w:lang w:val="en-US" w:eastAsia="zh-CN"/>
              </w:rPr>
              <w:t>年运行300天，根据《云南省地方标准用水定额》（DB53/T168-2019）标准，综合生活用水定额采用在厂区食宿120L/（人·d）和不在厂区食宿60L/（人·d），则生活用水量为0.72m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/d，216m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p>
          <w:p w14:paraId="0544C19F">
            <w:pPr>
              <w:pStyle w:val="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②洗砂用水</w:t>
            </w:r>
          </w:p>
          <w:p w14:paraId="76543DB4">
            <w:pPr>
              <w:pStyle w:val="14"/>
              <w:spacing w:line="360" w:lineRule="auto"/>
              <w:ind w:firstLine="480" w:firstLineChars="200"/>
              <w:rPr>
                <w:rFonts w:hint="default" w:ascii="Times New Roman" w:hAnsi="Times New Roman" w:cs="Times New Roman"/>
                <w:b w:val="0"/>
                <w:bCs w:val="0"/>
                <w:color w:val="auto"/>
                <w:sz w:val="24"/>
                <w:szCs w:val="24"/>
                <w:vertAlign w:val="baseline"/>
                <w:lang w:val="en-US" w:eastAsia="zh-CN"/>
              </w:rPr>
            </w:pPr>
            <w:bookmarkStart w:id="7" w:name="_Toc15844"/>
            <w:bookmarkStart w:id="8" w:name="_Toc21711"/>
            <w:r>
              <w:rPr>
                <w:rFonts w:hint="default" w:ascii="Times New Roman" w:hAnsi="Times New Roman" w:cs="Times New Roman"/>
                <w:b w:val="0"/>
                <w:bCs w:val="0"/>
                <w:color w:val="auto"/>
                <w:sz w:val="24"/>
                <w:szCs w:val="24"/>
                <w:lang w:val="en-US" w:eastAsia="zh-CN"/>
              </w:rPr>
              <w:t>根据业主提供资料，项目砂石料清洗过程中用水量为150m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default" w:ascii="Times New Roman" w:hAnsi="Times New Roman" w:cs="Times New Roman"/>
                <w:b w:val="0"/>
                <w:bCs w:val="0"/>
                <w:color w:val="auto"/>
                <w:sz w:val="24"/>
                <w:szCs w:val="24"/>
                <w:lang w:val="en-US" w:eastAsia="zh-CN"/>
              </w:rPr>
              <w:t>每天需要补充</w:t>
            </w:r>
            <w:r>
              <w:rPr>
                <w:rFonts w:hint="eastAsia" w:cs="Times New Roman"/>
                <w:b w:val="0"/>
                <w:bCs w:val="0"/>
                <w:color w:val="auto"/>
                <w:sz w:val="24"/>
                <w:szCs w:val="24"/>
                <w:lang w:val="en-US" w:eastAsia="zh-CN"/>
              </w:rPr>
              <w:t>48.6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新鲜水</w:t>
            </w:r>
            <w:bookmarkEnd w:id="7"/>
            <w:r>
              <w:rPr>
                <w:rFonts w:hint="default" w:ascii="Times New Roman" w:hAnsi="Times New Roman" w:cs="Times New Roman"/>
                <w:b w:val="0"/>
                <w:bCs w:val="0"/>
                <w:color w:val="auto"/>
                <w:sz w:val="24"/>
                <w:szCs w:val="24"/>
                <w:vertAlign w:val="baseline"/>
                <w:lang w:val="en-US" w:eastAsia="zh-CN"/>
              </w:rPr>
              <w:t>。</w:t>
            </w:r>
            <w:bookmarkEnd w:id="8"/>
          </w:p>
          <w:p w14:paraId="71F5AFF2">
            <w:pPr>
              <w:pStyle w:val="27"/>
              <w:numPr>
                <w:ilvl w:val="0"/>
                <w:numId w:val="0"/>
              </w:numPr>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cs="Times New Roman"/>
                <w:b/>
                <w:bCs/>
                <w:color w:val="auto"/>
                <w:sz w:val="24"/>
                <w:szCs w:val="24"/>
                <w:lang w:val="en-US" w:eastAsia="zh-CN"/>
              </w:rPr>
              <w:t>排水</w:t>
            </w:r>
          </w:p>
          <w:p w14:paraId="20D0E3AD">
            <w:pPr>
              <w:spacing w:line="360" w:lineRule="auto"/>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①生活污水</w:t>
            </w:r>
          </w:p>
          <w:p w14:paraId="7311D4AB">
            <w:pPr>
              <w:numPr>
                <w:ilvl w:val="0"/>
                <w:numId w:val="0"/>
              </w:numPr>
              <w:ind w:firstLine="480" w:firstLineChars="200"/>
              <w:rPr>
                <w:rStyle w:val="50"/>
                <w:rFonts w:hint="default" w:ascii="Times New Roman" w:hAnsi="Times New Roman" w:eastAsia="宋体" w:cs="Times New Roman"/>
                <w:color w:val="auto"/>
                <w:sz w:val="24"/>
                <w:szCs w:val="24"/>
              </w:rPr>
            </w:pPr>
            <w:r>
              <w:rPr>
                <w:rStyle w:val="50"/>
                <w:rFonts w:hint="default" w:ascii="Times New Roman" w:hAnsi="Times New Roman" w:eastAsia="宋体" w:cs="Times New Roman"/>
                <w:color w:val="auto"/>
                <w:sz w:val="24"/>
                <w:szCs w:val="24"/>
              </w:rPr>
              <w:t>本项目生活污水排水量为用水量的</w:t>
            </w:r>
            <w:r>
              <w:rPr>
                <w:rStyle w:val="50"/>
                <w:rFonts w:hint="default" w:ascii="Times New Roman" w:hAnsi="Times New Roman" w:cs="Times New Roman"/>
                <w:color w:val="auto"/>
                <w:sz w:val="24"/>
                <w:szCs w:val="24"/>
                <w:lang w:val="en-US" w:eastAsia="zh-CN"/>
              </w:rPr>
              <w:t>80</w:t>
            </w:r>
            <w:r>
              <w:rPr>
                <w:rStyle w:val="50"/>
                <w:rFonts w:hint="default" w:ascii="Times New Roman" w:hAnsi="Times New Roman" w:eastAsia="宋体" w:cs="Times New Roman"/>
                <w:color w:val="auto"/>
                <w:sz w:val="24"/>
                <w:szCs w:val="24"/>
              </w:rPr>
              <w:t>%，生活污水排放量为</w:t>
            </w:r>
            <w:r>
              <w:rPr>
                <w:rStyle w:val="50"/>
                <w:rFonts w:hint="default" w:ascii="Times New Roman" w:hAnsi="Times New Roman" w:cs="Times New Roman"/>
                <w:color w:val="auto"/>
                <w:sz w:val="24"/>
                <w:szCs w:val="24"/>
                <w:lang w:val="en-US" w:eastAsia="zh-CN"/>
              </w:rPr>
              <w:t>0.576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Style w:val="50"/>
                <w:rFonts w:hint="default" w:ascii="Times New Roman" w:hAnsi="Times New Roman" w:eastAsia="宋体" w:cs="Times New Roman"/>
                <w:color w:val="auto"/>
                <w:sz w:val="24"/>
                <w:szCs w:val="24"/>
              </w:rPr>
              <w:t>/d，</w:t>
            </w:r>
            <w:r>
              <w:rPr>
                <w:rStyle w:val="50"/>
                <w:rFonts w:hint="default" w:ascii="Times New Roman" w:hAnsi="Times New Roman" w:cs="Times New Roman"/>
                <w:color w:val="auto"/>
                <w:sz w:val="24"/>
                <w:szCs w:val="24"/>
                <w:lang w:val="en-US" w:eastAsia="zh-CN"/>
              </w:rPr>
              <w:t>172.8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Style w:val="50"/>
                <w:rFonts w:hint="default" w:ascii="Times New Roman" w:hAnsi="Times New Roman" w:eastAsia="宋体" w:cs="Times New Roman"/>
                <w:color w:val="auto"/>
                <w:sz w:val="24"/>
                <w:szCs w:val="24"/>
              </w:rPr>
              <w:t>/a。</w:t>
            </w:r>
          </w:p>
          <w:p w14:paraId="4A5B7168">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②洗砂废水</w:t>
            </w:r>
          </w:p>
          <w:p w14:paraId="43C4563E">
            <w:pPr>
              <w:pStyle w:val="14"/>
              <w:spacing w:line="360" w:lineRule="auto"/>
              <w:ind w:firstLine="480" w:firstLineChars="200"/>
              <w:rPr>
                <w:rFonts w:hint="default" w:ascii="Times New Roman" w:hAnsi="Times New Roman" w:cs="Times New Roman"/>
                <w:color w:val="auto"/>
                <w:lang w:val="en-US" w:eastAsia="zh-CN"/>
              </w:rPr>
            </w:pPr>
            <w:bookmarkStart w:id="9" w:name="_Toc32152"/>
            <w:r>
              <w:rPr>
                <w:rFonts w:hint="default" w:ascii="Times New Roman" w:hAnsi="Times New Roman" w:cs="Times New Roman"/>
                <w:b w:val="0"/>
                <w:bCs w:val="0"/>
                <w:color w:val="auto"/>
                <w:sz w:val="24"/>
                <w:szCs w:val="24"/>
                <w:lang w:val="en-US" w:eastAsia="zh-CN"/>
              </w:rPr>
              <w:t>本项目生产废水主要是洗砂废水，</w:t>
            </w:r>
            <w:r>
              <w:rPr>
                <w:rFonts w:hint="default" w:ascii="Times New Roman" w:hAnsi="Times New Roman" w:cs="Times New Roman"/>
                <w:b w:val="0"/>
                <w:bCs w:val="0"/>
                <w:color w:val="auto"/>
                <w:sz w:val="24"/>
                <w:szCs w:val="24"/>
                <w:vertAlign w:val="baseline"/>
                <w:lang w:val="en-US" w:eastAsia="zh-CN"/>
              </w:rPr>
              <w:t>清洗废水进入沉淀系统处理后进入清水池回用于项目生产，清洗过程中自然损耗约占用水量的2%，则损耗水量为3</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default" w:ascii="Times New Roman" w:hAnsi="Times New Roman" w:cs="Times New Roman"/>
                <w:b w:val="0"/>
                <w:bCs w:val="0"/>
                <w:color w:val="auto"/>
                <w:sz w:val="24"/>
                <w:szCs w:val="24"/>
                <w:lang w:val="en-US" w:eastAsia="zh-CN"/>
              </w:rPr>
              <w:t>清洗后物料带走水量为</w:t>
            </w:r>
            <w:r>
              <w:rPr>
                <w:rFonts w:hint="eastAsia" w:cs="Times New Roman"/>
                <w:b w:val="0"/>
                <w:bCs w:val="0"/>
                <w:color w:val="auto"/>
                <w:sz w:val="24"/>
                <w:szCs w:val="24"/>
                <w:lang w:val="en-US" w:eastAsia="zh-CN"/>
              </w:rPr>
              <w:t>14</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eastAsia" w:cs="Times New Roman"/>
                <w:b w:val="0"/>
                <w:bCs w:val="0"/>
                <w:color w:val="auto"/>
                <w:sz w:val="24"/>
                <w:szCs w:val="24"/>
                <w:vertAlign w:val="baseline"/>
                <w:lang w:val="en-US" w:eastAsia="zh-CN"/>
              </w:rPr>
              <w:t>其余水</w:t>
            </w:r>
            <w:r>
              <w:rPr>
                <w:rFonts w:hint="default" w:ascii="Times New Roman" w:hAnsi="Times New Roman" w:cs="Times New Roman"/>
                <w:b w:val="0"/>
                <w:bCs w:val="0"/>
                <w:color w:val="auto"/>
                <w:sz w:val="24"/>
                <w:szCs w:val="24"/>
                <w:vertAlign w:val="baseline"/>
                <w:lang w:val="en-US" w:eastAsia="zh-CN"/>
              </w:rPr>
              <w:t>即</w:t>
            </w:r>
            <w:r>
              <w:rPr>
                <w:rFonts w:hint="eastAsia" w:cs="Times New Roman"/>
                <w:b w:val="0"/>
                <w:bCs w:val="0"/>
                <w:color w:val="auto"/>
                <w:sz w:val="24"/>
                <w:szCs w:val="24"/>
                <w:vertAlign w:val="baseline"/>
                <w:lang w:val="en-US" w:eastAsia="zh-CN"/>
              </w:rPr>
              <w:t>133</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eastAsia"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vertAlign w:val="baseline"/>
                <w:lang w:val="en-US" w:eastAsia="zh-CN"/>
              </w:rPr>
              <w:t>汇入沉淀系统，经沉淀</w:t>
            </w:r>
            <w:r>
              <w:rPr>
                <w:rFonts w:hint="eastAsia" w:cs="Times New Roman"/>
                <w:b w:val="0"/>
                <w:bCs w:val="0"/>
                <w:color w:val="auto"/>
                <w:sz w:val="24"/>
                <w:szCs w:val="24"/>
                <w:vertAlign w:val="baseline"/>
                <w:lang w:val="en-US" w:eastAsia="zh-CN"/>
              </w:rPr>
              <w:t>系统</w:t>
            </w:r>
            <w:r>
              <w:rPr>
                <w:rFonts w:hint="default" w:ascii="Times New Roman" w:hAnsi="Times New Roman" w:cs="Times New Roman"/>
                <w:b w:val="0"/>
                <w:bCs w:val="0"/>
                <w:color w:val="auto"/>
                <w:sz w:val="24"/>
                <w:szCs w:val="24"/>
                <w:vertAlign w:val="baseline"/>
                <w:lang w:val="en-US" w:eastAsia="zh-CN"/>
              </w:rPr>
              <w:t>处理后进入清水池回用于生产过程不外排，压滤机</w:t>
            </w:r>
            <w:r>
              <w:rPr>
                <w:rFonts w:hint="eastAsia" w:cs="Times New Roman"/>
                <w:b w:val="0"/>
                <w:bCs w:val="0"/>
                <w:color w:val="auto"/>
                <w:sz w:val="24"/>
                <w:szCs w:val="24"/>
                <w:vertAlign w:val="baseline"/>
                <w:lang w:val="en-US" w:eastAsia="zh-CN"/>
              </w:rPr>
              <w:t>压滤过</w:t>
            </w:r>
            <w:r>
              <w:rPr>
                <w:rFonts w:hint="default" w:ascii="Times New Roman" w:hAnsi="Times New Roman" w:cs="Times New Roman"/>
                <w:b w:val="0"/>
                <w:bCs w:val="0"/>
                <w:color w:val="auto"/>
                <w:sz w:val="24"/>
                <w:szCs w:val="24"/>
                <w:vertAlign w:val="baseline"/>
                <w:lang w:val="en-US" w:eastAsia="zh-CN"/>
              </w:rPr>
              <w:t>泥饼</w:t>
            </w:r>
            <w:r>
              <w:rPr>
                <w:rFonts w:hint="eastAsia" w:cs="Times New Roman"/>
                <w:b w:val="0"/>
                <w:bCs w:val="0"/>
                <w:color w:val="auto"/>
                <w:sz w:val="24"/>
                <w:szCs w:val="24"/>
                <w:vertAlign w:val="baseline"/>
                <w:lang w:val="en-US" w:eastAsia="zh-CN"/>
              </w:rPr>
              <w:t>含水率为40%，泥饼带走水量为31.6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eastAsia"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vertAlign w:val="baseline"/>
                <w:lang w:val="en-US" w:eastAsia="zh-CN"/>
              </w:rPr>
              <w:t>循环水量为</w:t>
            </w:r>
            <w:r>
              <w:rPr>
                <w:rFonts w:hint="eastAsia" w:cs="Times New Roman"/>
                <w:b w:val="0"/>
                <w:bCs w:val="0"/>
                <w:color w:val="auto"/>
                <w:sz w:val="24"/>
                <w:szCs w:val="24"/>
                <w:vertAlign w:val="baseline"/>
                <w:lang w:val="en-US" w:eastAsia="zh-CN"/>
              </w:rPr>
              <w:t>101.4</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/d，补充新鲜水量为</w:t>
            </w:r>
            <w:r>
              <w:rPr>
                <w:rFonts w:hint="eastAsia" w:cs="Times New Roman"/>
                <w:b w:val="0"/>
                <w:bCs w:val="0"/>
                <w:color w:val="auto"/>
                <w:sz w:val="24"/>
                <w:szCs w:val="24"/>
                <w:vertAlign w:val="baseline"/>
                <w:lang w:val="en-US" w:eastAsia="zh-CN"/>
              </w:rPr>
              <w:t>48.6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bookmarkEnd w:id="9"/>
          </w:p>
          <w:p w14:paraId="7CE33C2C">
            <w:pPr>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highlight w:val="none"/>
                <w:lang w:val="en-US" w:eastAsia="zh-CN"/>
              </w:rPr>
              <w:t>③车辆冲洗废水</w:t>
            </w:r>
          </w:p>
          <w:p w14:paraId="1DC804E1">
            <w:pPr>
              <w:pStyle w:val="27"/>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车辆冲洗用水量为</w:t>
            </w:r>
            <w:r>
              <w:rPr>
                <w:rFonts w:hint="eastAsia" w:ascii="Times New Roman" w:hAnsi="Times New Roman" w:cs="Times New Roman"/>
                <w:color w:val="auto"/>
                <w:sz w:val="24"/>
                <w:szCs w:val="24"/>
                <w:vertAlign w:val="baseline"/>
                <w:lang w:val="en-US" w:eastAsia="zh-CN"/>
              </w:rPr>
              <w:t>3.66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/d，</w:t>
            </w:r>
            <w:r>
              <w:rPr>
                <w:rFonts w:hint="eastAsia" w:ascii="Times New Roman" w:hAnsi="Times New Roman" w:cs="Times New Roman"/>
                <w:color w:val="auto"/>
                <w:sz w:val="24"/>
                <w:szCs w:val="24"/>
                <w:vertAlign w:val="baseline"/>
                <w:lang w:val="en-US" w:eastAsia="zh-CN"/>
              </w:rPr>
              <w:t>1098</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/a；按冲洗用水的90%计算，则循环用水量</w:t>
            </w:r>
            <w:r>
              <w:rPr>
                <w:rFonts w:hint="eastAsia" w:ascii="Times New Roman" w:hAnsi="Times New Roman" w:cs="Times New Roman"/>
                <w:color w:val="auto"/>
                <w:sz w:val="24"/>
                <w:szCs w:val="24"/>
                <w:vertAlign w:val="baseline"/>
                <w:lang w:val="en-US" w:eastAsia="zh-CN"/>
              </w:rPr>
              <w:t>3.294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/d，</w:t>
            </w:r>
            <w:r>
              <w:rPr>
                <w:rFonts w:hint="eastAsia" w:ascii="Times New Roman" w:hAnsi="Times New Roman" w:cs="Times New Roman"/>
                <w:color w:val="auto"/>
                <w:sz w:val="24"/>
                <w:szCs w:val="24"/>
                <w:vertAlign w:val="baseline"/>
                <w:lang w:val="en-US" w:eastAsia="zh-CN"/>
              </w:rPr>
              <w:t>988.2</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/a，经沉淀池（</w:t>
            </w:r>
            <w:r>
              <w:rPr>
                <w:rFonts w:hint="eastAsia" w:ascii="Times New Roman" w:cs="Times New Roman"/>
                <w:color w:val="auto"/>
                <w:sz w:val="24"/>
                <w:szCs w:val="24"/>
                <w:vertAlign w:val="baseline"/>
                <w:lang w:val="en-US" w:eastAsia="zh-CN"/>
              </w:rPr>
              <w:t>5</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）沉淀后回用，不外排，则需补充新鲜用水量为0.</w:t>
            </w:r>
            <w:r>
              <w:rPr>
                <w:rFonts w:hint="eastAsia" w:ascii="Times New Roman" w:hAnsi="Times New Roman" w:cs="Times New Roman"/>
                <w:color w:val="auto"/>
                <w:sz w:val="24"/>
                <w:szCs w:val="24"/>
                <w:vertAlign w:val="baseline"/>
                <w:lang w:val="en-US" w:eastAsia="zh-CN"/>
              </w:rPr>
              <w:t>366</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/d，</w:t>
            </w:r>
            <w:r>
              <w:rPr>
                <w:rFonts w:hint="eastAsia" w:ascii="Times New Roman" w:hAnsi="Times New Roman" w:cs="Times New Roman"/>
                <w:color w:val="auto"/>
                <w:sz w:val="24"/>
                <w:szCs w:val="24"/>
                <w:vertAlign w:val="baseline"/>
                <w:lang w:val="en-US" w:eastAsia="zh-CN"/>
              </w:rPr>
              <w:t>10</w:t>
            </w:r>
            <w:r>
              <w:rPr>
                <w:rFonts w:hint="default" w:ascii="Times New Roman" w:hAnsi="Times New Roman" w:cs="Times New Roman"/>
                <w:color w:val="auto"/>
                <w:sz w:val="24"/>
                <w:szCs w:val="24"/>
                <w:vertAlign w:val="baseline"/>
                <w:lang w:val="en-US" w:eastAsia="zh-CN"/>
              </w:rPr>
              <w:t>9</w:t>
            </w:r>
            <w:r>
              <w:rPr>
                <w:rFonts w:hint="eastAsia" w:ascii="Times New Roman" w:hAnsi="Times New Roman" w:cs="Times New Roman"/>
                <w:color w:val="auto"/>
                <w:sz w:val="24"/>
                <w:szCs w:val="24"/>
                <w:vertAlign w:val="baseline"/>
                <w:lang w:val="en-US" w:eastAsia="zh-CN"/>
              </w:rPr>
              <w:t>.8</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w:t>
            </w:r>
          </w:p>
          <w:p w14:paraId="6EA0D7FF">
            <w:pP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④降尘用水</w:t>
            </w:r>
          </w:p>
          <w:p w14:paraId="21343142">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抽取清水循环池（</w:t>
            </w:r>
            <w:r>
              <w:rPr>
                <w:rFonts w:hint="eastAsia" w:ascii="Times New Roman" w:hAnsi="Times New Roman" w:cs="Times New Roman"/>
                <w:color w:val="auto"/>
                <w:kern w:val="0"/>
                <w:sz w:val="24"/>
                <w:szCs w:val="24"/>
                <w:lang w:val="en-US" w:eastAsia="zh-CN" w:bidi="ar"/>
              </w:rPr>
              <w:t>2</w:t>
            </w:r>
            <w:r>
              <w:rPr>
                <w:rFonts w:hint="default" w:ascii="Times New Roman" w:hAnsi="Times New Roman" w:cs="Times New Roman"/>
                <w:color w:val="auto"/>
                <w:kern w:val="0"/>
                <w:sz w:val="24"/>
                <w:szCs w:val="24"/>
                <w:lang w:val="en-US" w:eastAsia="zh-CN" w:bidi="ar"/>
              </w:rPr>
              <w:t>40m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）内的水用洒水车进行整个场地除尘，根据业主提供资料</w:t>
            </w:r>
            <w:r>
              <w:rPr>
                <w:rFonts w:hint="default" w:ascii="Times New Roman" w:hAnsi="Times New Roman" w:eastAsia="宋体" w:cs="Times New Roman"/>
                <w:color w:val="auto"/>
                <w:kern w:val="0"/>
                <w:sz w:val="24"/>
                <w:szCs w:val="24"/>
                <w:lang w:val="en-US" w:eastAsia="zh-CN" w:bidi="ar"/>
              </w:rPr>
              <w:t>降尘</w:t>
            </w:r>
            <w:r>
              <w:rPr>
                <w:rFonts w:hint="default" w:ascii="Times New Roman" w:hAnsi="Times New Roman" w:cs="Times New Roman"/>
                <w:color w:val="auto"/>
                <w:kern w:val="0"/>
                <w:sz w:val="24"/>
                <w:szCs w:val="24"/>
                <w:lang w:val="en-US" w:eastAsia="zh-CN" w:bidi="ar"/>
              </w:rPr>
              <w:t>用水量为5.6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/d，1680</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/a，降尘</w:t>
            </w:r>
            <w:r>
              <w:rPr>
                <w:rFonts w:hint="default" w:ascii="Times New Roman" w:hAnsi="Times New Roman" w:eastAsia="宋体" w:cs="Times New Roman"/>
                <w:color w:val="auto"/>
                <w:kern w:val="0"/>
                <w:sz w:val="24"/>
                <w:szCs w:val="24"/>
                <w:lang w:val="en-US" w:eastAsia="zh-CN" w:bidi="ar"/>
              </w:rPr>
              <w:t>废水全部自然蒸发，无废水产生。</w:t>
            </w:r>
          </w:p>
          <w:p w14:paraId="7277DDA5">
            <w:pPr>
              <w:keepNext w:val="0"/>
              <w:keepLines w:val="0"/>
              <w:widowControl/>
              <w:suppressLineNumbers w:val="0"/>
              <w:jc w:val="left"/>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项目水量平衡见表2-</w:t>
            </w:r>
            <w:r>
              <w:rPr>
                <w:rFonts w:hint="eastAsia" w:ascii="Times New Roman" w:hAnsi="Times New Roman" w:cs="Times New Roman"/>
                <w:color w:val="auto"/>
                <w:kern w:val="0"/>
                <w:sz w:val="24"/>
                <w:szCs w:val="24"/>
                <w:lang w:val="en-US" w:eastAsia="zh-CN" w:bidi="ar"/>
              </w:rPr>
              <w:t>6</w:t>
            </w:r>
            <w:r>
              <w:rPr>
                <w:rFonts w:hint="default" w:ascii="Times New Roman" w:hAnsi="Times New Roman" w:cs="Times New Roman"/>
                <w:color w:val="auto"/>
                <w:kern w:val="0"/>
                <w:sz w:val="24"/>
                <w:szCs w:val="24"/>
                <w:lang w:val="en-US" w:eastAsia="zh-CN" w:bidi="ar"/>
              </w:rPr>
              <w:t>，图2-</w:t>
            </w:r>
            <w:r>
              <w:rPr>
                <w:rFonts w:hint="eastAsia" w:cs="Times New Roman"/>
                <w:color w:val="auto"/>
                <w:kern w:val="0"/>
                <w:sz w:val="24"/>
                <w:szCs w:val="24"/>
                <w:lang w:val="en-US" w:eastAsia="zh-CN" w:bidi="ar"/>
              </w:rPr>
              <w:t>2、2-3</w:t>
            </w:r>
            <w:r>
              <w:rPr>
                <w:rFonts w:hint="default" w:ascii="Times New Roman" w:hAnsi="Times New Roman" w:cs="Times New Roman"/>
                <w:color w:val="auto"/>
                <w:kern w:val="0"/>
                <w:sz w:val="24"/>
                <w:szCs w:val="24"/>
                <w:lang w:val="en-US" w:eastAsia="zh-CN" w:bidi="ar"/>
              </w:rPr>
              <w:t>。</w:t>
            </w:r>
          </w:p>
          <w:p w14:paraId="0073FB3B">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kern w:val="0"/>
                <w:sz w:val="21"/>
                <w:szCs w:val="21"/>
                <w:lang w:val="en-US" w:eastAsia="zh-CN" w:bidi="ar"/>
              </w:rPr>
              <w:t>表2-</w:t>
            </w:r>
            <w:r>
              <w:rPr>
                <w:rFonts w:hint="eastAsia" w:ascii="Times New Roman" w:hAnsi="Times New Roman" w:cs="Times New Roman"/>
                <w:b/>
                <w:bCs/>
                <w:color w:val="auto"/>
                <w:kern w:val="0"/>
                <w:sz w:val="21"/>
                <w:szCs w:val="21"/>
                <w:lang w:val="en-US" w:eastAsia="zh-CN" w:bidi="ar"/>
              </w:rPr>
              <w:t>6</w:t>
            </w:r>
            <w:r>
              <w:rPr>
                <w:rFonts w:hint="default" w:ascii="Times New Roman" w:hAnsi="Times New Roman" w:cs="Times New Roman"/>
                <w:b/>
                <w:bCs/>
                <w:color w:val="auto"/>
                <w:kern w:val="0"/>
                <w:sz w:val="21"/>
                <w:szCs w:val="21"/>
                <w:lang w:val="en-US" w:eastAsia="zh-CN" w:bidi="ar"/>
              </w:rPr>
              <w:t>项目水平衡一览表  单位：</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vertAlign w:val="baseline"/>
                <w:lang w:val="en-US" w:eastAsia="zh-CN"/>
              </w:rPr>
              <w:t>/d</w:t>
            </w:r>
          </w:p>
          <w:tbl>
            <w:tblPr>
              <w:tblStyle w:val="17"/>
              <w:tblW w:w="9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518"/>
              <w:gridCol w:w="1518"/>
              <w:gridCol w:w="1410"/>
              <w:gridCol w:w="1627"/>
              <w:gridCol w:w="1520"/>
            </w:tblGrid>
            <w:tr w14:paraId="6C09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vAlign w:val="center"/>
                </w:tcPr>
                <w:p w14:paraId="26C66E5A">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用水单位</w:t>
                  </w:r>
                </w:p>
              </w:tc>
              <w:tc>
                <w:tcPr>
                  <w:tcW w:w="1518" w:type="dxa"/>
                  <w:vAlign w:val="center"/>
                </w:tcPr>
                <w:p w14:paraId="3B470C16">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总用水量</w:t>
                  </w:r>
                </w:p>
              </w:tc>
              <w:tc>
                <w:tcPr>
                  <w:tcW w:w="1518" w:type="dxa"/>
                  <w:vAlign w:val="center"/>
                </w:tcPr>
                <w:p w14:paraId="2600EEFB">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新鲜用水量</w:t>
                  </w:r>
                </w:p>
              </w:tc>
              <w:tc>
                <w:tcPr>
                  <w:tcW w:w="1410" w:type="dxa"/>
                  <w:vAlign w:val="center"/>
                </w:tcPr>
                <w:p w14:paraId="24D6A0DA">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循环用水量</w:t>
                  </w:r>
                </w:p>
              </w:tc>
              <w:tc>
                <w:tcPr>
                  <w:tcW w:w="1627" w:type="dxa"/>
                  <w:vAlign w:val="center"/>
                </w:tcPr>
                <w:p w14:paraId="35F83558">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损耗量</w:t>
                  </w:r>
                </w:p>
              </w:tc>
              <w:tc>
                <w:tcPr>
                  <w:tcW w:w="1520" w:type="dxa"/>
                  <w:vAlign w:val="center"/>
                </w:tcPr>
                <w:p w14:paraId="09A8BFD3">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废水量</w:t>
                  </w:r>
                </w:p>
              </w:tc>
            </w:tr>
            <w:tr w14:paraId="118B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518" w:type="dxa"/>
                  <w:vAlign w:val="center"/>
                </w:tcPr>
                <w:p w14:paraId="7ADDE4E6">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生活用水</w:t>
                  </w:r>
                </w:p>
              </w:tc>
              <w:tc>
                <w:tcPr>
                  <w:tcW w:w="1518" w:type="dxa"/>
                  <w:vAlign w:val="center"/>
                </w:tcPr>
                <w:p w14:paraId="7378F326">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0.72</w:t>
                  </w:r>
                </w:p>
              </w:tc>
              <w:tc>
                <w:tcPr>
                  <w:tcW w:w="1518" w:type="dxa"/>
                  <w:vAlign w:val="center"/>
                </w:tcPr>
                <w:p w14:paraId="7042B192">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0.72</w:t>
                  </w:r>
                </w:p>
              </w:tc>
              <w:tc>
                <w:tcPr>
                  <w:tcW w:w="1410" w:type="dxa"/>
                  <w:vAlign w:val="center"/>
                </w:tcPr>
                <w:p w14:paraId="0D5460D9">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w:t>
                  </w:r>
                </w:p>
              </w:tc>
              <w:tc>
                <w:tcPr>
                  <w:tcW w:w="1627" w:type="dxa"/>
                  <w:vAlign w:val="center"/>
                </w:tcPr>
                <w:p w14:paraId="606BC7AD">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0.144</w:t>
                  </w:r>
                </w:p>
              </w:tc>
              <w:tc>
                <w:tcPr>
                  <w:tcW w:w="1520" w:type="dxa"/>
                  <w:vAlign w:val="center"/>
                </w:tcPr>
                <w:p w14:paraId="4F4B8107">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0.576</w:t>
                  </w:r>
                </w:p>
              </w:tc>
            </w:tr>
            <w:tr w14:paraId="2DEB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vAlign w:val="center"/>
                </w:tcPr>
                <w:p w14:paraId="35F942A0">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洗砂用水</w:t>
                  </w:r>
                </w:p>
              </w:tc>
              <w:tc>
                <w:tcPr>
                  <w:tcW w:w="1518" w:type="dxa"/>
                  <w:vAlign w:val="center"/>
                </w:tcPr>
                <w:p w14:paraId="78A3F8EE">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150（补充新鲜用水</w:t>
                  </w:r>
                  <w:r>
                    <w:rPr>
                      <w:rFonts w:hint="eastAsia" w:cs="Times New Roman"/>
                      <w:b w:val="0"/>
                      <w:bCs w:val="0"/>
                      <w:color w:val="auto"/>
                      <w:sz w:val="21"/>
                      <w:szCs w:val="21"/>
                      <w:vertAlign w:val="baseline"/>
                      <w:lang w:val="en-US" w:eastAsia="zh-CN"/>
                    </w:rPr>
                    <w:t>48.6</w:t>
                  </w:r>
                  <w:r>
                    <w:rPr>
                      <w:rFonts w:hint="default" w:ascii="Times New Roman" w:hAnsi="Times New Roman" w:cs="Times New Roman"/>
                      <w:b w:val="0"/>
                      <w:bCs w:val="0"/>
                      <w:color w:val="auto"/>
                      <w:sz w:val="21"/>
                      <w:szCs w:val="21"/>
                      <w:vertAlign w:val="baseline"/>
                      <w:lang w:val="en-US" w:eastAsia="zh-CN"/>
                    </w:rPr>
                    <w:t>）</w:t>
                  </w:r>
                </w:p>
              </w:tc>
              <w:tc>
                <w:tcPr>
                  <w:tcW w:w="1518" w:type="dxa"/>
                  <w:vAlign w:val="center"/>
                </w:tcPr>
                <w:p w14:paraId="4B8C977C">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48.6</w:t>
                  </w:r>
                </w:p>
              </w:tc>
              <w:tc>
                <w:tcPr>
                  <w:tcW w:w="1410" w:type="dxa"/>
                  <w:vAlign w:val="center"/>
                </w:tcPr>
                <w:p w14:paraId="780207C4">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101.4</w:t>
                  </w:r>
                </w:p>
              </w:tc>
              <w:tc>
                <w:tcPr>
                  <w:tcW w:w="1627" w:type="dxa"/>
                  <w:vAlign w:val="center"/>
                </w:tcPr>
                <w:p w14:paraId="4DCB1B2A">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48.6（自然损耗3</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/d，产品带走14</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/d，泥饼带走1.6</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/d）</w:t>
                  </w:r>
                </w:p>
              </w:tc>
              <w:tc>
                <w:tcPr>
                  <w:tcW w:w="1520" w:type="dxa"/>
                  <w:vAlign w:val="center"/>
                </w:tcPr>
                <w:p w14:paraId="215149B5">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w:t>
                  </w:r>
                </w:p>
              </w:tc>
            </w:tr>
            <w:tr w14:paraId="66CA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vAlign w:val="center"/>
                </w:tcPr>
                <w:p w14:paraId="12407028">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车辆冲洗用水</w:t>
                  </w:r>
                </w:p>
              </w:tc>
              <w:tc>
                <w:tcPr>
                  <w:tcW w:w="1518" w:type="dxa"/>
                  <w:vAlign w:val="center"/>
                </w:tcPr>
                <w:p w14:paraId="3CDD1344">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3.66</w:t>
                  </w:r>
                  <w:r>
                    <w:rPr>
                      <w:rFonts w:hint="default" w:ascii="Times New Roman" w:hAnsi="Times New Roman" w:cs="Times New Roman"/>
                      <w:b w:val="0"/>
                      <w:bCs w:val="0"/>
                      <w:color w:val="auto"/>
                      <w:sz w:val="21"/>
                      <w:szCs w:val="21"/>
                      <w:vertAlign w:val="baseline"/>
                      <w:lang w:val="en-US" w:eastAsia="zh-CN"/>
                    </w:rPr>
                    <w:t>（补充新鲜用水0.</w:t>
                  </w:r>
                  <w:r>
                    <w:rPr>
                      <w:rFonts w:hint="eastAsia" w:ascii="Times New Roman" w:hAnsi="Times New Roman" w:cs="Times New Roman"/>
                      <w:b w:val="0"/>
                      <w:bCs w:val="0"/>
                      <w:color w:val="auto"/>
                      <w:sz w:val="21"/>
                      <w:szCs w:val="21"/>
                      <w:vertAlign w:val="baseline"/>
                      <w:lang w:val="en-US" w:eastAsia="zh-CN"/>
                    </w:rPr>
                    <w:t>366</w:t>
                  </w:r>
                  <w:r>
                    <w:rPr>
                      <w:rFonts w:hint="default" w:ascii="Times New Roman" w:hAnsi="Times New Roman" w:cs="Times New Roman"/>
                      <w:b w:val="0"/>
                      <w:bCs w:val="0"/>
                      <w:color w:val="auto"/>
                      <w:sz w:val="21"/>
                      <w:szCs w:val="21"/>
                      <w:vertAlign w:val="baseline"/>
                      <w:lang w:val="en-US" w:eastAsia="zh-CN"/>
                    </w:rPr>
                    <w:t>）</w:t>
                  </w:r>
                </w:p>
              </w:tc>
              <w:tc>
                <w:tcPr>
                  <w:tcW w:w="1518" w:type="dxa"/>
                  <w:vAlign w:val="center"/>
                </w:tcPr>
                <w:p w14:paraId="07F3A927">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366</w:t>
                  </w:r>
                </w:p>
              </w:tc>
              <w:tc>
                <w:tcPr>
                  <w:tcW w:w="1410" w:type="dxa"/>
                  <w:vAlign w:val="center"/>
                </w:tcPr>
                <w:p w14:paraId="60EF7AB4">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3.294</w:t>
                  </w:r>
                </w:p>
              </w:tc>
              <w:tc>
                <w:tcPr>
                  <w:tcW w:w="1627" w:type="dxa"/>
                  <w:vAlign w:val="center"/>
                </w:tcPr>
                <w:p w14:paraId="5F55F455">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366</w:t>
                  </w:r>
                  <w:r>
                    <w:rPr>
                      <w:rFonts w:hint="eastAsia" w:cs="Times New Roman"/>
                      <w:b w:val="0"/>
                      <w:bCs w:val="0"/>
                      <w:color w:val="auto"/>
                      <w:sz w:val="21"/>
                      <w:szCs w:val="21"/>
                      <w:vertAlign w:val="baseline"/>
                      <w:lang w:val="en-US" w:eastAsia="zh-CN"/>
                    </w:rPr>
                    <w:t>（车辆带走0.3604</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/d，泥饼带走0.0056</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/d）</w:t>
                  </w:r>
                </w:p>
              </w:tc>
              <w:tc>
                <w:tcPr>
                  <w:tcW w:w="1520" w:type="dxa"/>
                  <w:vAlign w:val="center"/>
                </w:tcPr>
                <w:p w14:paraId="3F316A42">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w:t>
                  </w:r>
                </w:p>
              </w:tc>
            </w:tr>
            <w:tr w14:paraId="3161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vAlign w:val="center"/>
                </w:tcPr>
                <w:p w14:paraId="368CDB81">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降尘</w:t>
                  </w:r>
                  <w:r>
                    <w:rPr>
                      <w:rFonts w:hint="eastAsia" w:ascii="Times New Roman" w:hAnsi="Times New Roman" w:cs="Times New Roman"/>
                      <w:b w:val="0"/>
                      <w:bCs w:val="0"/>
                      <w:color w:val="auto"/>
                      <w:sz w:val="21"/>
                      <w:szCs w:val="21"/>
                      <w:vertAlign w:val="baseline"/>
                      <w:lang w:val="en-US" w:eastAsia="zh-CN"/>
                    </w:rPr>
                    <w:t>用水</w:t>
                  </w:r>
                </w:p>
              </w:tc>
              <w:tc>
                <w:tcPr>
                  <w:tcW w:w="1518" w:type="dxa"/>
                  <w:vAlign w:val="center"/>
                </w:tcPr>
                <w:p w14:paraId="178EA4F6">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5.6</w:t>
                  </w:r>
                </w:p>
              </w:tc>
              <w:tc>
                <w:tcPr>
                  <w:tcW w:w="1518" w:type="dxa"/>
                  <w:vAlign w:val="center"/>
                </w:tcPr>
                <w:p w14:paraId="3D9E9382">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5.6</w:t>
                  </w:r>
                </w:p>
              </w:tc>
              <w:tc>
                <w:tcPr>
                  <w:tcW w:w="1410" w:type="dxa"/>
                  <w:vAlign w:val="center"/>
                </w:tcPr>
                <w:p w14:paraId="0E3A2F03">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w:t>
                  </w:r>
                </w:p>
              </w:tc>
              <w:tc>
                <w:tcPr>
                  <w:tcW w:w="1627" w:type="dxa"/>
                  <w:vAlign w:val="center"/>
                </w:tcPr>
                <w:p w14:paraId="63ED92F8">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5.6</w:t>
                  </w:r>
                </w:p>
              </w:tc>
              <w:tc>
                <w:tcPr>
                  <w:tcW w:w="1520" w:type="dxa"/>
                  <w:vAlign w:val="center"/>
                </w:tcPr>
                <w:p w14:paraId="1A397D65">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w:t>
                  </w:r>
                </w:p>
              </w:tc>
            </w:tr>
            <w:tr w14:paraId="5046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vAlign w:val="center"/>
                </w:tcPr>
                <w:p w14:paraId="1C3FBCEF">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合计</w:t>
                  </w:r>
                </w:p>
              </w:tc>
              <w:tc>
                <w:tcPr>
                  <w:tcW w:w="1518" w:type="dxa"/>
                  <w:vAlign w:val="center"/>
                </w:tcPr>
                <w:p w14:paraId="5AF6C5E4">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159.98</w:t>
                  </w:r>
                </w:p>
              </w:tc>
              <w:tc>
                <w:tcPr>
                  <w:tcW w:w="1518" w:type="dxa"/>
                  <w:vAlign w:val="center"/>
                </w:tcPr>
                <w:p w14:paraId="212CC6CA">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55.286</w:t>
                  </w:r>
                </w:p>
              </w:tc>
              <w:tc>
                <w:tcPr>
                  <w:tcW w:w="1410" w:type="dxa"/>
                  <w:vAlign w:val="center"/>
                </w:tcPr>
                <w:p w14:paraId="77D443CA">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104.694</w:t>
                  </w:r>
                </w:p>
              </w:tc>
              <w:tc>
                <w:tcPr>
                  <w:tcW w:w="1627" w:type="dxa"/>
                  <w:vAlign w:val="center"/>
                </w:tcPr>
                <w:p w14:paraId="4B1F289F">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54.71</w:t>
                  </w:r>
                </w:p>
              </w:tc>
              <w:tc>
                <w:tcPr>
                  <w:tcW w:w="1520" w:type="dxa"/>
                  <w:vAlign w:val="center"/>
                </w:tcPr>
                <w:p w14:paraId="50350C7E">
                  <w:pPr>
                    <w:keepNext w:val="0"/>
                    <w:keepLines w:val="0"/>
                    <w:widowControl/>
                    <w:suppressLineNumbers w:val="0"/>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0.576</w:t>
                  </w:r>
                </w:p>
              </w:tc>
            </w:tr>
          </w:tbl>
          <w:p w14:paraId="3FCE4F1F">
            <w:pPr>
              <w:keepNext w:val="0"/>
              <w:keepLines w:val="0"/>
              <w:widowControl/>
              <w:suppressLineNumbers w:val="0"/>
              <w:ind w:left="0" w:leftChars="0" w:firstLine="0" w:firstLineChars="0"/>
              <w:jc w:val="both"/>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object>
                <v:shape id="_x0000_i1025" o:spt="75" type="#_x0000_t75" style="height:230.7pt;width:455.45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3A46F1D9">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图2-</w:t>
            </w:r>
            <w:r>
              <w:rPr>
                <w:rFonts w:hint="eastAsia" w:cs="Times New Roman"/>
                <w:b/>
                <w:bCs/>
                <w:color w:val="auto"/>
                <w:sz w:val="21"/>
                <w:szCs w:val="21"/>
                <w:vertAlign w:val="baseline"/>
                <w:lang w:val="en-US" w:eastAsia="zh-CN"/>
              </w:rPr>
              <w:t>2</w:t>
            </w:r>
            <w:r>
              <w:rPr>
                <w:rFonts w:hint="default" w:ascii="Times New Roman" w:hAnsi="Times New Roman" w:cs="Times New Roman"/>
                <w:b/>
                <w:bCs/>
                <w:color w:val="auto"/>
                <w:sz w:val="21"/>
                <w:szCs w:val="21"/>
                <w:vertAlign w:val="baseline"/>
                <w:lang w:val="en-US" w:eastAsia="zh-CN"/>
              </w:rPr>
              <w:t>项目晴天水量平衡图  单位：</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vertAlign w:val="baseline"/>
                <w:lang w:val="en-US" w:eastAsia="zh-CN"/>
              </w:rPr>
              <w:t>/d</w:t>
            </w:r>
          </w:p>
          <w:p w14:paraId="3C046508">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785CF143">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0DB7D7DE">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2B0D0A81">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38BDEA68">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1C131C86">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695D83A9">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65537D7E">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4BC32214">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310CBA63">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p>
          <w:p w14:paraId="580A3A77">
            <w:pPr>
              <w:keepNext w:val="0"/>
              <w:keepLines w:val="0"/>
              <w:widowControl/>
              <w:suppressLineNumbers w:val="0"/>
              <w:ind w:left="0" w:lef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object>
                <v:shape id="_x0000_i1026" o:spt="75" type="#_x0000_t75" style="height:289pt;width:455.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15358D8F">
            <w:pPr>
              <w:keepNext w:val="0"/>
              <w:keepLines w:val="0"/>
              <w:widowControl/>
              <w:suppressLineNumbers w:val="0"/>
              <w:ind w:left="0" w:leftChars="0" w:firstLine="0" w:firstLineChars="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图2-</w:t>
            </w:r>
            <w:r>
              <w:rPr>
                <w:rFonts w:hint="eastAsia" w:cs="Times New Roman"/>
                <w:b/>
                <w:bCs/>
                <w:color w:val="auto"/>
                <w:kern w:val="2"/>
                <w:sz w:val="21"/>
                <w:szCs w:val="21"/>
                <w:vertAlign w:val="baseline"/>
                <w:lang w:val="en-US" w:eastAsia="zh-CN" w:bidi="ar-SA"/>
              </w:rPr>
              <w:t>3</w:t>
            </w:r>
            <w:r>
              <w:rPr>
                <w:rFonts w:hint="default" w:ascii="Times New Roman" w:hAnsi="Times New Roman" w:cs="Times New Roman"/>
                <w:b/>
                <w:bCs/>
                <w:color w:val="auto"/>
                <w:kern w:val="2"/>
                <w:sz w:val="21"/>
                <w:szCs w:val="21"/>
                <w:vertAlign w:val="baseline"/>
                <w:lang w:val="en-US" w:eastAsia="zh-CN" w:bidi="ar-SA"/>
              </w:rPr>
              <w:t>项目雨天水量平衡图  单位：</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vertAlign w:val="baseline"/>
                <w:lang w:val="en-US" w:eastAsia="zh-CN"/>
              </w:rPr>
              <w:t>/d</w:t>
            </w:r>
          </w:p>
          <w:p w14:paraId="047680DB">
            <w:pPr>
              <w:keepNext w:val="0"/>
              <w:keepLines w:val="0"/>
              <w:widowControl/>
              <w:numPr>
                <w:ilvl w:val="0"/>
                <w:numId w:val="0"/>
              </w:numPr>
              <w:suppressLineNumbers w:val="0"/>
              <w:ind w:left="0" w:leftChars="0" w:firstLine="482" w:firstLineChars="200"/>
              <w:jc w:val="both"/>
              <w:rPr>
                <w:rFonts w:hint="default" w:ascii="Times New Roman" w:hAnsi="Times New Roman" w:cs="Times New Roman"/>
                <w:b/>
                <w:bCs/>
                <w:color w:val="auto"/>
                <w:sz w:val="24"/>
                <w:szCs w:val="24"/>
                <w:vertAlign w:val="baseline"/>
                <w:lang w:val="en-US" w:eastAsia="zh-CN"/>
              </w:rPr>
            </w:pPr>
            <w:r>
              <w:rPr>
                <w:rFonts w:hint="default" w:ascii="Times New Roman" w:hAnsi="Times New Roman" w:eastAsia="宋体" w:cs="Times New Roman"/>
                <w:b/>
                <w:bCs/>
                <w:color w:val="auto"/>
                <w:kern w:val="2"/>
                <w:sz w:val="24"/>
                <w:szCs w:val="24"/>
                <w:vertAlign w:val="baseline"/>
                <w:lang w:val="en-US" w:eastAsia="zh-CN" w:bidi="ar-SA"/>
              </w:rPr>
              <w:t>（3）</w:t>
            </w:r>
            <w:r>
              <w:rPr>
                <w:rFonts w:hint="default" w:ascii="Times New Roman" w:hAnsi="Times New Roman" w:cs="Times New Roman"/>
                <w:b/>
                <w:bCs/>
                <w:color w:val="auto"/>
                <w:sz w:val="24"/>
                <w:szCs w:val="24"/>
                <w:vertAlign w:val="baseline"/>
                <w:lang w:val="en-US" w:eastAsia="zh-CN"/>
              </w:rPr>
              <w:t>供电</w:t>
            </w:r>
          </w:p>
          <w:p w14:paraId="461F54B4">
            <w:pPr>
              <w:keepNext w:val="0"/>
              <w:keepLines w:val="0"/>
              <w:widowControl/>
              <w:numPr>
                <w:ilvl w:val="0"/>
                <w:numId w:val="0"/>
              </w:numPr>
              <w:suppressLineNumbers w:val="0"/>
              <w:ind w:leftChars="20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项目现有用电就近从附近的供电网接入。</w:t>
            </w:r>
          </w:p>
          <w:p w14:paraId="78EE7191">
            <w:pPr>
              <w:keepNext w:val="0"/>
              <w:keepLines w:val="0"/>
              <w:widowControl/>
              <w:numPr>
                <w:ilvl w:val="0"/>
                <w:numId w:val="0"/>
              </w:numPr>
              <w:suppressLineNumbers w:val="0"/>
              <w:jc w:val="both"/>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8总平面布置</w:t>
            </w:r>
          </w:p>
          <w:p w14:paraId="5538FDD7">
            <w:pPr>
              <w:keepNext w:val="0"/>
              <w:keepLines w:val="0"/>
              <w:widowControl/>
              <w:numPr>
                <w:ilvl w:val="0"/>
                <w:numId w:val="0"/>
              </w:numPr>
              <w:suppressLineNumbers w:val="0"/>
              <w:ind w:firstLine="480" w:firstLineChars="20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项目位于云南省玉溪市华宁县宁州街道法果村委会原法果红砖厂地块，办公室、宿舍、食堂、卫生间依托原法果红砖厂既有设施，位于厂区西侧，原料堆场位于厂区北侧，成品堆场位于厂区中部，尾料处理加工线全线位于厂区东北侧，沉淀池、清水循环池位于加工线的东南侧。</w:t>
            </w:r>
          </w:p>
          <w:p w14:paraId="0BA02281">
            <w:pPr>
              <w:keepNext w:val="0"/>
              <w:keepLines w:val="0"/>
              <w:widowControl/>
              <w:numPr>
                <w:ilvl w:val="0"/>
                <w:numId w:val="0"/>
              </w:numPr>
              <w:suppressLineNumbers w:val="0"/>
              <w:ind w:firstLine="480" w:firstLineChars="200"/>
              <w:jc w:val="both"/>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项目平面布置见附图2。</w:t>
            </w:r>
          </w:p>
          <w:p w14:paraId="29347383">
            <w:pPr>
              <w:pStyle w:val="27"/>
              <w:ind w:left="0" w:leftChars="0" w:firstLine="0" w:firstLineChars="0"/>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9项目投资及环保投资</w:t>
            </w:r>
          </w:p>
          <w:p w14:paraId="1910585E">
            <w:pP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val="0"/>
                <w:bCs w:val="0"/>
                <w:color w:val="auto"/>
                <w:sz w:val="24"/>
                <w:szCs w:val="24"/>
                <w:vertAlign w:val="baseline"/>
                <w:lang w:val="en-US" w:eastAsia="zh-CN"/>
              </w:rPr>
              <w:t>项目总投资505万元，其中环保投资</w:t>
            </w:r>
            <w:r>
              <w:rPr>
                <w:rFonts w:hint="eastAsia" w:ascii="Times New Roman" w:hAnsi="Times New Roman" w:cs="Times New Roman"/>
                <w:b w:val="0"/>
                <w:bCs w:val="0"/>
                <w:color w:val="auto"/>
                <w:sz w:val="24"/>
                <w:szCs w:val="24"/>
                <w:vertAlign w:val="baseline"/>
                <w:lang w:val="en-US" w:eastAsia="zh-CN"/>
              </w:rPr>
              <w:t>16</w:t>
            </w:r>
            <w:r>
              <w:rPr>
                <w:rFonts w:hint="default" w:ascii="Times New Roman" w:hAnsi="Times New Roman" w:cs="Times New Roman"/>
                <w:b w:val="0"/>
                <w:bCs w:val="0"/>
                <w:color w:val="auto"/>
                <w:sz w:val="24"/>
                <w:szCs w:val="24"/>
                <w:vertAlign w:val="baseline"/>
                <w:lang w:val="en-US" w:eastAsia="zh-CN"/>
              </w:rPr>
              <w:t>万元，占总投资的</w:t>
            </w:r>
            <w:r>
              <w:rPr>
                <w:rFonts w:hint="eastAsia" w:ascii="Times New Roman" w:hAnsi="Times New Roman" w:cs="Times New Roman"/>
                <w:b w:val="0"/>
                <w:bCs w:val="0"/>
                <w:color w:val="auto"/>
                <w:sz w:val="24"/>
                <w:szCs w:val="24"/>
                <w:vertAlign w:val="baseline"/>
                <w:lang w:val="en-US" w:eastAsia="zh-CN"/>
              </w:rPr>
              <w:t>3.17</w:t>
            </w:r>
            <w:r>
              <w:rPr>
                <w:rFonts w:hint="default" w:ascii="Times New Roman" w:hAnsi="Times New Roman" w:cs="Times New Roman"/>
                <w:b w:val="0"/>
                <w:bCs w:val="0"/>
                <w:color w:val="auto"/>
                <w:sz w:val="24"/>
                <w:szCs w:val="24"/>
                <w:vertAlign w:val="baseline"/>
                <w:lang w:val="en-US" w:eastAsia="zh-CN"/>
              </w:rPr>
              <w:t>%。项目环保投资估算详见下表：</w:t>
            </w:r>
          </w:p>
          <w:p w14:paraId="4B731C5B">
            <w:pPr>
              <w:pStyle w:val="27"/>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vertAlign w:val="baseline"/>
                <w:lang w:val="en-US" w:eastAsia="zh-CN"/>
              </w:rPr>
              <w:t>表2-</w:t>
            </w:r>
            <w:r>
              <w:rPr>
                <w:rFonts w:hint="eastAsia" w:ascii="Times New Roman" w:hAnsi="Times New Roman" w:cs="Times New Roman"/>
                <w:b/>
                <w:bCs/>
                <w:color w:val="auto"/>
                <w:sz w:val="21"/>
                <w:szCs w:val="21"/>
                <w:vertAlign w:val="baseline"/>
                <w:lang w:val="en-US" w:eastAsia="zh-CN"/>
              </w:rPr>
              <w:t>7</w:t>
            </w:r>
            <w:r>
              <w:rPr>
                <w:rFonts w:hint="default" w:ascii="Times New Roman" w:hAnsi="Times New Roman" w:cs="Times New Roman"/>
                <w:b/>
                <w:bCs/>
                <w:color w:val="auto"/>
                <w:sz w:val="21"/>
                <w:szCs w:val="21"/>
                <w:vertAlign w:val="baseline"/>
                <w:lang w:val="en-US" w:eastAsia="zh-CN"/>
              </w:rPr>
              <w:t>环保设施投资估算表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39"/>
              <w:gridCol w:w="1407"/>
              <w:gridCol w:w="5308"/>
              <w:gridCol w:w="1021"/>
            </w:tblGrid>
            <w:tr w14:paraId="4119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vAlign w:val="center"/>
                </w:tcPr>
                <w:p w14:paraId="0EF2BBE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阶段</w:t>
                  </w:r>
                </w:p>
              </w:tc>
              <w:tc>
                <w:tcPr>
                  <w:tcW w:w="515" w:type="pct"/>
                  <w:vAlign w:val="center"/>
                </w:tcPr>
                <w:p w14:paraId="12AC54EE">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要素</w:t>
                  </w:r>
                </w:p>
              </w:tc>
              <w:tc>
                <w:tcPr>
                  <w:tcW w:w="3689" w:type="pct"/>
                  <w:gridSpan w:val="2"/>
                  <w:vAlign w:val="center"/>
                </w:tcPr>
                <w:p w14:paraId="7DCAD78F">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环保措施</w:t>
                  </w:r>
                </w:p>
              </w:tc>
              <w:tc>
                <w:tcPr>
                  <w:tcW w:w="561" w:type="pct"/>
                  <w:vAlign w:val="center"/>
                </w:tcPr>
                <w:p w14:paraId="59D208D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资金（万元）</w:t>
                  </w:r>
                </w:p>
              </w:tc>
            </w:tr>
            <w:tr w14:paraId="7035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vMerge w:val="restart"/>
                  <w:vAlign w:val="center"/>
                </w:tcPr>
                <w:p w14:paraId="334EBBC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施工期</w:t>
                  </w:r>
                </w:p>
              </w:tc>
              <w:tc>
                <w:tcPr>
                  <w:tcW w:w="515" w:type="pct"/>
                  <w:vAlign w:val="center"/>
                </w:tcPr>
                <w:p w14:paraId="7AA41C9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生态</w:t>
                  </w:r>
                </w:p>
              </w:tc>
              <w:tc>
                <w:tcPr>
                  <w:tcW w:w="3689" w:type="pct"/>
                  <w:gridSpan w:val="2"/>
                  <w:vAlign w:val="center"/>
                </w:tcPr>
                <w:p w14:paraId="7E9FC106">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减少开挖，种植绿植</w:t>
                  </w:r>
                </w:p>
              </w:tc>
              <w:tc>
                <w:tcPr>
                  <w:tcW w:w="561" w:type="pct"/>
                  <w:vAlign w:val="center"/>
                </w:tcPr>
                <w:p w14:paraId="0CA037FC">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r>
            <w:tr w14:paraId="2216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vMerge w:val="continue"/>
                  <w:vAlign w:val="center"/>
                </w:tcPr>
                <w:p w14:paraId="07A28BF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Align w:val="center"/>
                </w:tcPr>
                <w:p w14:paraId="1E768240">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声环境</w:t>
                  </w:r>
                </w:p>
              </w:tc>
              <w:tc>
                <w:tcPr>
                  <w:tcW w:w="3689" w:type="pct"/>
                  <w:gridSpan w:val="2"/>
                  <w:vAlign w:val="center"/>
                </w:tcPr>
                <w:p w14:paraId="1C51C16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进行</w:t>
                  </w:r>
                  <w:r>
                    <w:rPr>
                      <w:rFonts w:hint="default" w:ascii="Times New Roman" w:hAnsi="Times New Roman" w:cs="Times New Roman"/>
                      <w:color w:val="auto"/>
                      <w:sz w:val="21"/>
                      <w:szCs w:val="21"/>
                    </w:rPr>
                    <w:t>隔声、减振</w:t>
                  </w:r>
                  <w:r>
                    <w:rPr>
                      <w:rFonts w:hint="default" w:ascii="Times New Roman" w:hAnsi="Times New Roman" w:cs="Times New Roman"/>
                      <w:color w:val="auto"/>
                      <w:sz w:val="21"/>
                      <w:szCs w:val="21"/>
                      <w:lang w:val="en-US" w:eastAsia="zh-CN"/>
                    </w:rPr>
                    <w:t>处理</w:t>
                  </w:r>
                  <w:r>
                    <w:rPr>
                      <w:rFonts w:hint="default" w:ascii="Times New Roman" w:hAnsi="Times New Roman" w:cs="Times New Roman"/>
                      <w:color w:val="auto"/>
                      <w:sz w:val="21"/>
                      <w:szCs w:val="21"/>
                    </w:rPr>
                    <w:t>；设置</w:t>
                  </w:r>
                  <w:r>
                    <w:rPr>
                      <w:rFonts w:hint="default" w:ascii="Times New Roman" w:hAnsi="Times New Roman" w:cs="Times New Roman"/>
                      <w:color w:val="auto"/>
                      <w:sz w:val="21"/>
                      <w:szCs w:val="21"/>
                      <w:lang w:val="en-US" w:eastAsia="zh-CN"/>
                    </w:rPr>
                    <w:t>隔声围挡</w:t>
                  </w:r>
                </w:p>
              </w:tc>
              <w:tc>
                <w:tcPr>
                  <w:tcW w:w="561" w:type="pct"/>
                  <w:vAlign w:val="center"/>
                </w:tcPr>
                <w:p w14:paraId="7A3F91B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r>
            <w:tr w14:paraId="50E2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vMerge w:val="continue"/>
                  <w:vAlign w:val="center"/>
                </w:tcPr>
                <w:p w14:paraId="125C8F7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Align w:val="center"/>
                </w:tcPr>
                <w:p w14:paraId="4FBD77F1">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大气环境</w:t>
                  </w:r>
                </w:p>
              </w:tc>
              <w:tc>
                <w:tcPr>
                  <w:tcW w:w="3689" w:type="pct"/>
                  <w:gridSpan w:val="2"/>
                  <w:vAlign w:val="center"/>
                </w:tcPr>
                <w:p w14:paraId="5B7565EE">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施工厂界设置围挡，每天进行洒水降尘，材料堆放处使用篷布遮盖</w:t>
                  </w:r>
                </w:p>
              </w:tc>
              <w:tc>
                <w:tcPr>
                  <w:tcW w:w="561" w:type="pct"/>
                  <w:vAlign w:val="center"/>
                </w:tcPr>
                <w:p w14:paraId="2EAE24F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r>
            <w:tr w14:paraId="2F04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32FF995E">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515" w:type="pct"/>
                  <w:vMerge w:val="restart"/>
                  <w:vAlign w:val="center"/>
                </w:tcPr>
                <w:p w14:paraId="4E505956">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773" w:type="pct"/>
                  <w:vAlign w:val="center"/>
                </w:tcPr>
                <w:p w14:paraId="59F85766">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施工废水</w:t>
                  </w:r>
                </w:p>
              </w:tc>
              <w:tc>
                <w:tcPr>
                  <w:tcW w:w="2916" w:type="pct"/>
                  <w:vAlign w:val="center"/>
                </w:tcPr>
                <w:p w14:paraId="7BC4C523">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施工废水来源于现场施工机械冲洗废水。施工机械冲洗废水排放量小，</w:t>
                  </w:r>
                  <w:r>
                    <w:rPr>
                      <w:rFonts w:hint="default" w:ascii="Times New Roman" w:hAnsi="Times New Roman" w:eastAsia="宋体" w:cs="Times New Roman"/>
                      <w:color w:val="auto"/>
                      <w:sz w:val="21"/>
                      <w:szCs w:val="21"/>
                      <w:lang w:val="en-US" w:eastAsia="zh-CN"/>
                    </w:rPr>
                    <w:t>设置一个临时</w:t>
                  </w:r>
                  <w:r>
                    <w:rPr>
                      <w:rFonts w:hint="default" w:ascii="Times New Roman" w:hAnsi="Times New Roman" w:cs="Times New Roman"/>
                      <w:color w:val="auto"/>
                      <w:sz w:val="21"/>
                      <w:szCs w:val="21"/>
                      <w:vertAlign w:val="baseline"/>
                      <w:lang w:val="en-US" w:eastAsia="zh-CN"/>
                    </w:rPr>
                    <w:t>沉淀池（5m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），沉淀后回用于机械冲洗。</w:t>
                  </w:r>
                </w:p>
              </w:tc>
              <w:tc>
                <w:tcPr>
                  <w:tcW w:w="561" w:type="pct"/>
                  <w:vAlign w:val="center"/>
                </w:tcPr>
                <w:p w14:paraId="3FAEA12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r>
            <w:tr w14:paraId="258E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7E47EDEC">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7B7FC25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6C46736E">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生活污水</w:t>
                  </w:r>
                </w:p>
              </w:tc>
              <w:tc>
                <w:tcPr>
                  <w:tcW w:w="2916" w:type="pct"/>
                  <w:vAlign w:val="center"/>
                </w:tcPr>
                <w:p w14:paraId="439699AA">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排入原法果红砖厂既有化粪池，定期使用吸粪车清运</w:t>
                  </w:r>
                  <w:r>
                    <w:rPr>
                      <w:rFonts w:hint="eastAsia" w:cs="Times New Roman"/>
                      <w:color w:val="auto"/>
                      <w:sz w:val="21"/>
                      <w:szCs w:val="21"/>
                      <w:lang w:val="en-US" w:eastAsia="zh-CN"/>
                    </w:rPr>
                    <w:t>至华宁县污水处理厂处理</w:t>
                  </w:r>
                  <w:r>
                    <w:rPr>
                      <w:rFonts w:hint="default" w:ascii="Times New Roman" w:hAnsi="Times New Roman" w:cs="Times New Roman"/>
                      <w:color w:val="auto"/>
                      <w:sz w:val="21"/>
                      <w:szCs w:val="21"/>
                      <w:lang w:val="en-US" w:eastAsia="zh-CN"/>
                    </w:rPr>
                    <w:t>。</w:t>
                  </w:r>
                </w:p>
              </w:tc>
              <w:tc>
                <w:tcPr>
                  <w:tcW w:w="561" w:type="pct"/>
                  <w:vAlign w:val="center"/>
                </w:tcPr>
                <w:p w14:paraId="56446C02">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w:t>
                  </w:r>
                </w:p>
              </w:tc>
            </w:tr>
            <w:tr w14:paraId="2406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32" w:type="pct"/>
                  <w:vMerge w:val="continue"/>
                  <w:vAlign w:val="center"/>
                </w:tcPr>
                <w:p w14:paraId="4979004F">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restart"/>
                  <w:vAlign w:val="center"/>
                </w:tcPr>
                <w:p w14:paraId="047B994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773" w:type="pct"/>
                  <w:vAlign w:val="center"/>
                </w:tcPr>
                <w:p w14:paraId="52567509">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建筑垃圾</w:t>
                  </w:r>
                </w:p>
              </w:tc>
              <w:tc>
                <w:tcPr>
                  <w:tcW w:w="2916" w:type="pct"/>
                  <w:vAlign w:val="center"/>
                </w:tcPr>
                <w:p w14:paraId="70E2DFE9">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分类收集，可回收回收利用，剩余部分</w:t>
                  </w:r>
                  <w:r>
                    <w:rPr>
                      <w:rFonts w:hint="default" w:ascii="Times New Roman" w:hAnsi="Times New Roman" w:cs="Times New Roman"/>
                      <w:color w:val="auto"/>
                      <w:sz w:val="21"/>
                      <w:szCs w:val="21"/>
                      <w:lang w:val="en-US" w:eastAsia="zh-CN"/>
                    </w:rPr>
                    <w:t>清运至市政部门指定地点堆放。</w:t>
                  </w:r>
                </w:p>
              </w:tc>
              <w:tc>
                <w:tcPr>
                  <w:tcW w:w="561" w:type="pct"/>
                  <w:vAlign w:val="center"/>
                </w:tcPr>
                <w:p w14:paraId="2E4BC8D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w:t>
                  </w:r>
                </w:p>
              </w:tc>
            </w:tr>
            <w:tr w14:paraId="57F5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32" w:type="pct"/>
                  <w:vMerge w:val="continue"/>
                  <w:vAlign w:val="center"/>
                </w:tcPr>
                <w:p w14:paraId="29245FB5">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515" w:type="pct"/>
                  <w:vMerge w:val="continue"/>
                  <w:vAlign w:val="center"/>
                </w:tcPr>
                <w:p w14:paraId="57216CF3">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773" w:type="pct"/>
                  <w:vAlign w:val="center"/>
                </w:tcPr>
                <w:p w14:paraId="71F066E0">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生活垃圾</w:t>
                  </w:r>
                </w:p>
              </w:tc>
              <w:tc>
                <w:tcPr>
                  <w:tcW w:w="2916" w:type="pct"/>
                  <w:vAlign w:val="center"/>
                </w:tcPr>
                <w:p w14:paraId="09BA75BB">
                  <w:pPr>
                    <w:pStyle w:val="42"/>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垃圾桶收集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运送至</w:t>
                  </w:r>
                  <w:r>
                    <w:rPr>
                      <w:rFonts w:hint="eastAsia" w:cs="Times New Roman"/>
                      <w:color w:val="auto"/>
                      <w:sz w:val="21"/>
                      <w:szCs w:val="21"/>
                      <w:lang w:val="en-US" w:eastAsia="zh-CN"/>
                    </w:rPr>
                    <w:t>法果村</w:t>
                  </w:r>
                  <w:r>
                    <w:rPr>
                      <w:rFonts w:hint="default" w:ascii="Times New Roman" w:hAnsi="Times New Roman" w:cs="Times New Roman"/>
                      <w:color w:val="auto"/>
                      <w:sz w:val="21"/>
                      <w:szCs w:val="21"/>
                      <w:lang w:val="en-US" w:eastAsia="zh-CN"/>
                    </w:rPr>
                    <w:t>生活垃圾处置点处置。</w:t>
                  </w:r>
                </w:p>
              </w:tc>
              <w:tc>
                <w:tcPr>
                  <w:tcW w:w="561" w:type="pct"/>
                  <w:vAlign w:val="center"/>
                </w:tcPr>
                <w:p w14:paraId="4F1C7757">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w:t>
                  </w:r>
                </w:p>
              </w:tc>
            </w:tr>
            <w:tr w14:paraId="0A8F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232" w:type="pct"/>
                  <w:vMerge w:val="restart"/>
                  <w:vAlign w:val="center"/>
                </w:tcPr>
                <w:p w14:paraId="521C9F9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运营期</w:t>
                  </w:r>
                </w:p>
              </w:tc>
              <w:tc>
                <w:tcPr>
                  <w:tcW w:w="515" w:type="pct"/>
                  <w:vMerge w:val="restart"/>
                  <w:vAlign w:val="center"/>
                </w:tcPr>
                <w:p w14:paraId="53A56DAC">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773" w:type="pct"/>
                  <w:vAlign w:val="center"/>
                </w:tcPr>
                <w:p w14:paraId="3E1C6E8E">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原料装卸、堆存</w:t>
                  </w:r>
                </w:p>
              </w:tc>
              <w:tc>
                <w:tcPr>
                  <w:tcW w:w="2916" w:type="pct"/>
                  <w:vAlign w:val="center"/>
                </w:tcPr>
                <w:p w14:paraId="46E4E393">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搭建彩钢瓦大棚，三面围挡，并洒水降尘。</w:t>
                  </w:r>
                </w:p>
              </w:tc>
              <w:tc>
                <w:tcPr>
                  <w:tcW w:w="561" w:type="pct"/>
                  <w:vAlign w:val="center"/>
                </w:tcPr>
                <w:p w14:paraId="3748098F">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w:t>
                  </w:r>
                </w:p>
              </w:tc>
            </w:tr>
            <w:tr w14:paraId="21C7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232" w:type="pct"/>
                  <w:vMerge w:val="continue"/>
                  <w:vAlign w:val="center"/>
                </w:tcPr>
                <w:p w14:paraId="54B15F6B">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515" w:type="pct"/>
                  <w:vMerge w:val="continue"/>
                  <w:vAlign w:val="center"/>
                </w:tcPr>
                <w:p w14:paraId="31675CC3">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773" w:type="pct"/>
                  <w:vAlign w:val="center"/>
                </w:tcPr>
                <w:p w14:paraId="1122D168">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成品装卸堆存</w:t>
                  </w:r>
                </w:p>
              </w:tc>
              <w:tc>
                <w:tcPr>
                  <w:tcW w:w="2916" w:type="pct"/>
                  <w:vAlign w:val="center"/>
                </w:tcPr>
                <w:p w14:paraId="13264AB1">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搭建彩钢瓦大棚，三面围挡，并洒水降尘。</w:t>
                  </w:r>
                </w:p>
              </w:tc>
              <w:tc>
                <w:tcPr>
                  <w:tcW w:w="561" w:type="pct"/>
                  <w:vAlign w:val="center"/>
                </w:tcPr>
                <w:p w14:paraId="36FCD03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w:t>
                  </w:r>
                </w:p>
              </w:tc>
            </w:tr>
            <w:tr w14:paraId="4287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232" w:type="pct"/>
                  <w:vMerge w:val="continue"/>
                  <w:vAlign w:val="center"/>
                </w:tcPr>
                <w:p w14:paraId="7E3890B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348CF901">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0B430B5C">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物料运输</w:t>
                  </w:r>
                </w:p>
              </w:tc>
              <w:tc>
                <w:tcPr>
                  <w:tcW w:w="2916" w:type="pct"/>
                  <w:vAlign w:val="center"/>
                </w:tcPr>
                <w:p w14:paraId="4A5C22D7">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rPr>
                    <w:t>运输车辆加盖苫布、控制车速、道路洒水抑尘</w:t>
                  </w:r>
                  <w:r>
                    <w:rPr>
                      <w:rFonts w:hint="default" w:ascii="Times New Roman" w:hAnsi="Times New Roman" w:cs="Times New Roman"/>
                      <w:b w:val="0"/>
                      <w:bCs w:val="0"/>
                      <w:color w:val="auto"/>
                      <w:kern w:val="0"/>
                      <w:sz w:val="21"/>
                      <w:szCs w:val="21"/>
                      <w:lang w:eastAsia="zh-CN"/>
                    </w:rPr>
                    <w:t>。</w:t>
                  </w:r>
                </w:p>
              </w:tc>
              <w:tc>
                <w:tcPr>
                  <w:tcW w:w="561" w:type="pct"/>
                  <w:vAlign w:val="center"/>
                </w:tcPr>
                <w:p w14:paraId="16464EF0">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r>
            <w:tr w14:paraId="6AF8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232" w:type="pct"/>
                  <w:vMerge w:val="continue"/>
                  <w:vAlign w:val="center"/>
                </w:tcPr>
                <w:p w14:paraId="3FFF32F2">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028E22C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5BE79518">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食堂油烟</w:t>
                  </w:r>
                </w:p>
              </w:tc>
              <w:tc>
                <w:tcPr>
                  <w:tcW w:w="2916" w:type="pct"/>
                  <w:vAlign w:val="center"/>
                </w:tcPr>
                <w:p w14:paraId="44E8624A">
                  <w:pPr>
                    <w:pStyle w:val="42"/>
                    <w:spacing w:line="240" w:lineRule="auto"/>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油烟净化装置处理后排放。</w:t>
                  </w:r>
                </w:p>
              </w:tc>
              <w:tc>
                <w:tcPr>
                  <w:tcW w:w="561" w:type="pct"/>
                  <w:vAlign w:val="center"/>
                </w:tcPr>
                <w:p w14:paraId="476FA7CC">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r>
            <w:tr w14:paraId="7B6A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232" w:type="pct"/>
                  <w:vMerge w:val="continue"/>
                  <w:vAlign w:val="center"/>
                </w:tcPr>
                <w:p w14:paraId="50CA6AA1">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02FA4C6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0D3B73E1">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燃油废气</w:t>
                  </w:r>
                </w:p>
              </w:tc>
              <w:tc>
                <w:tcPr>
                  <w:tcW w:w="2916" w:type="pct"/>
                  <w:vAlign w:val="center"/>
                </w:tcPr>
                <w:p w14:paraId="3390DEAA">
                  <w:pPr>
                    <w:pStyle w:val="42"/>
                    <w:spacing w:line="240" w:lineRule="auto"/>
                    <w:ind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车辆、设备定期维护，使用高质量燃油。</w:t>
                  </w:r>
                </w:p>
              </w:tc>
              <w:tc>
                <w:tcPr>
                  <w:tcW w:w="561" w:type="pct"/>
                  <w:vAlign w:val="center"/>
                </w:tcPr>
                <w:p w14:paraId="33F5DD2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w:t>
                  </w:r>
                </w:p>
              </w:tc>
            </w:tr>
            <w:tr w14:paraId="7471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77B858D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restart"/>
                  <w:vAlign w:val="center"/>
                </w:tcPr>
                <w:p w14:paraId="32D3400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w:t>
                  </w:r>
                </w:p>
              </w:tc>
              <w:tc>
                <w:tcPr>
                  <w:tcW w:w="773" w:type="pct"/>
                  <w:vAlign w:val="center"/>
                </w:tcPr>
                <w:p w14:paraId="6583B3FB">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初期雨水</w:t>
                  </w:r>
                </w:p>
              </w:tc>
              <w:tc>
                <w:tcPr>
                  <w:tcW w:w="2916" w:type="pct"/>
                  <w:vAlign w:val="center"/>
                </w:tcPr>
                <w:p w14:paraId="284893E3">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在本项目最低处新建一座容积为1</w:t>
                  </w:r>
                  <w:r>
                    <w:rPr>
                      <w:rFonts w:hint="eastAsia" w:cs="Times New Roman"/>
                      <w:color w:val="auto"/>
                      <w:sz w:val="21"/>
                      <w:szCs w:val="21"/>
                      <w:lang w:val="en-US" w:eastAsia="zh-CN"/>
                    </w:rPr>
                    <w:t>30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雨水收集池，初期雨水</w:t>
                  </w:r>
                  <w:r>
                    <w:rPr>
                      <w:rFonts w:hint="default" w:ascii="Times New Roman" w:hAnsi="Times New Roman" w:cs="Times New Roman"/>
                      <w:color w:val="auto"/>
                      <w:sz w:val="21"/>
                      <w:szCs w:val="21"/>
                    </w:rPr>
                    <w:t>收集、回用</w:t>
                  </w:r>
                  <w:r>
                    <w:rPr>
                      <w:rFonts w:hint="default" w:ascii="Times New Roman" w:hAnsi="Times New Roman" w:cs="Times New Roman"/>
                      <w:color w:val="auto"/>
                      <w:sz w:val="21"/>
                      <w:szCs w:val="21"/>
                      <w:lang w:eastAsia="zh-CN"/>
                    </w:rPr>
                    <w:t>。</w:t>
                  </w:r>
                </w:p>
              </w:tc>
              <w:tc>
                <w:tcPr>
                  <w:tcW w:w="561" w:type="pct"/>
                  <w:vAlign w:val="center"/>
                </w:tcPr>
                <w:p w14:paraId="3A2EA9C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r>
            <w:tr w14:paraId="674C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4DA2118F">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05987B2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3D89558B">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生活污水</w:t>
                  </w:r>
                </w:p>
              </w:tc>
              <w:tc>
                <w:tcPr>
                  <w:tcW w:w="2916" w:type="pct"/>
                  <w:vAlign w:val="center"/>
                </w:tcPr>
                <w:p w14:paraId="535AD776">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新建一个</w:t>
                  </w:r>
                  <w:r>
                    <w:rPr>
                      <w:rFonts w:hint="default" w:ascii="Times New Roman" w:hAnsi="Times New Roman" w:cs="Times New Roman"/>
                      <w:color w:val="auto"/>
                      <w:sz w:val="21"/>
                      <w:szCs w:val="21"/>
                    </w:rPr>
                    <w:t>隔油池</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食堂废水排入隔油池处理后，排入</w:t>
                  </w:r>
                  <w:r>
                    <w:rPr>
                      <w:rFonts w:hint="default" w:ascii="Times New Roman" w:hAnsi="Times New Roman" w:cs="Times New Roman"/>
                      <w:color w:val="auto"/>
                      <w:sz w:val="21"/>
                      <w:szCs w:val="21"/>
                    </w:rPr>
                    <w:t>化粪池</w:t>
                  </w:r>
                  <w:r>
                    <w:rPr>
                      <w:rFonts w:hint="default" w:ascii="Times New Roman" w:hAnsi="Times New Roman" w:cs="Times New Roman"/>
                      <w:color w:val="auto"/>
                      <w:sz w:val="21"/>
                      <w:szCs w:val="21"/>
                      <w:lang w:val="en-US" w:eastAsia="zh-CN"/>
                    </w:rPr>
                    <w:t>中，其他生活污水直接排入原法果红砖厂化粪池中（3.0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），定期使用吸粪车清运</w:t>
                  </w:r>
                  <w:r>
                    <w:rPr>
                      <w:rFonts w:hint="eastAsia" w:cs="Times New Roman"/>
                      <w:color w:val="auto"/>
                      <w:sz w:val="21"/>
                      <w:szCs w:val="21"/>
                      <w:lang w:val="en-US" w:eastAsia="zh-CN"/>
                    </w:rPr>
                    <w:t>至华宁县污水处理厂处理</w:t>
                  </w:r>
                  <w:r>
                    <w:rPr>
                      <w:rFonts w:hint="default" w:ascii="Times New Roman" w:hAnsi="Times New Roman" w:cs="Times New Roman"/>
                      <w:color w:val="auto"/>
                      <w:sz w:val="21"/>
                      <w:szCs w:val="21"/>
                      <w:lang w:val="en-US" w:eastAsia="zh-CN"/>
                    </w:rPr>
                    <w:t>。</w:t>
                  </w:r>
                </w:p>
              </w:tc>
              <w:tc>
                <w:tcPr>
                  <w:tcW w:w="561" w:type="pct"/>
                  <w:vAlign w:val="center"/>
                </w:tcPr>
                <w:p w14:paraId="5B21BA42">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r>
            <w:tr w14:paraId="6F05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6A0C7889">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515" w:type="pct"/>
                  <w:vMerge w:val="continue"/>
                  <w:vAlign w:val="center"/>
                </w:tcPr>
                <w:p w14:paraId="72D7ED2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45A6CAC9">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生产废水</w:t>
                  </w:r>
                </w:p>
              </w:tc>
              <w:tc>
                <w:tcPr>
                  <w:tcW w:w="2916" w:type="pct"/>
                  <w:vAlign w:val="center"/>
                </w:tcPr>
                <w:p w14:paraId="121D87FF">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通过管道进入沉淀池（120m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），沉淀后上清液进入清水循环池（240m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），回用于洗砂和厂区洒水降尘。</w:t>
                  </w:r>
                </w:p>
              </w:tc>
              <w:tc>
                <w:tcPr>
                  <w:tcW w:w="561" w:type="pct"/>
                  <w:vAlign w:val="center"/>
                </w:tcPr>
                <w:p w14:paraId="18ADE63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r>
            <w:tr w14:paraId="6EC0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67D7961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608DEC90">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1ED48966">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降尘</w:t>
                  </w:r>
                  <w:r>
                    <w:rPr>
                      <w:rFonts w:hint="eastAsia" w:ascii="Times New Roman" w:hAnsi="Times New Roman" w:cs="Times New Roman"/>
                      <w:b w:val="0"/>
                      <w:bCs w:val="0"/>
                      <w:color w:val="auto"/>
                      <w:sz w:val="21"/>
                      <w:szCs w:val="21"/>
                      <w:vertAlign w:val="baseline"/>
                      <w:lang w:val="en-US" w:eastAsia="zh-CN"/>
                    </w:rPr>
                    <w:t>用水</w:t>
                  </w:r>
                </w:p>
              </w:tc>
              <w:tc>
                <w:tcPr>
                  <w:tcW w:w="2916" w:type="pct"/>
                  <w:vAlign w:val="center"/>
                </w:tcPr>
                <w:p w14:paraId="013402C8">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自然蒸发，不外排。</w:t>
                  </w:r>
                </w:p>
              </w:tc>
              <w:tc>
                <w:tcPr>
                  <w:tcW w:w="561" w:type="pct"/>
                  <w:vAlign w:val="center"/>
                </w:tcPr>
                <w:p w14:paraId="7AEB09A6">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14:paraId="0742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5CEDC1C3">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6FF7C265">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0E9BC741">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洗车废水</w:t>
                  </w:r>
                </w:p>
              </w:tc>
              <w:tc>
                <w:tcPr>
                  <w:tcW w:w="2916" w:type="pct"/>
                  <w:vAlign w:val="center"/>
                </w:tcPr>
                <w:p w14:paraId="3053D2CB">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在车辆冲洗区域设置一个沉淀池（</w:t>
                  </w:r>
                  <w:r>
                    <w:rPr>
                      <w:rFonts w:hint="eastAsia" w:cs="Times New Roman"/>
                      <w:color w:val="auto"/>
                      <w:sz w:val="21"/>
                      <w:szCs w:val="21"/>
                      <w:vertAlign w:val="baseline"/>
                      <w:lang w:val="en-US" w:eastAsia="zh-CN"/>
                    </w:rPr>
                    <w:t>5</w:t>
                  </w: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），冲洗废水经沉淀后回用于车辆冲洗。</w:t>
                  </w:r>
                </w:p>
              </w:tc>
              <w:tc>
                <w:tcPr>
                  <w:tcW w:w="561" w:type="pct"/>
                  <w:vAlign w:val="center"/>
                </w:tcPr>
                <w:p w14:paraId="3C90EA8F">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w:t>
                  </w:r>
                </w:p>
              </w:tc>
            </w:tr>
            <w:tr w14:paraId="3E54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30B9D106">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Align w:val="center"/>
                </w:tcPr>
                <w:p w14:paraId="675C4E1C">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噪声</w:t>
                  </w:r>
                </w:p>
              </w:tc>
              <w:tc>
                <w:tcPr>
                  <w:tcW w:w="773" w:type="pct"/>
                  <w:vAlign w:val="center"/>
                </w:tcPr>
                <w:p w14:paraId="0348E610">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设备运行噪声</w:t>
                  </w:r>
                </w:p>
              </w:tc>
              <w:tc>
                <w:tcPr>
                  <w:tcW w:w="2916" w:type="pct"/>
                  <w:vAlign w:val="center"/>
                </w:tcPr>
                <w:p w14:paraId="14980896">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采用低噪音设备、设备基础减振、定期维护设备，合理布局等措施。</w:t>
                  </w:r>
                </w:p>
              </w:tc>
              <w:tc>
                <w:tcPr>
                  <w:tcW w:w="561" w:type="pct"/>
                  <w:vAlign w:val="center"/>
                </w:tcPr>
                <w:p w14:paraId="1B27D0A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r>
            <w:tr w14:paraId="52E3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48053EF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restart"/>
                  <w:vAlign w:val="center"/>
                </w:tcPr>
                <w:p w14:paraId="7B4C5B26">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w:t>
                  </w:r>
                </w:p>
              </w:tc>
              <w:tc>
                <w:tcPr>
                  <w:tcW w:w="773" w:type="pct"/>
                  <w:vAlign w:val="center"/>
                </w:tcPr>
                <w:p w14:paraId="0EF1AB1E">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生活垃圾</w:t>
                  </w:r>
                </w:p>
              </w:tc>
              <w:tc>
                <w:tcPr>
                  <w:tcW w:w="2916" w:type="pct"/>
                  <w:vAlign w:val="center"/>
                </w:tcPr>
                <w:p w14:paraId="1DFE56A0">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垃圾桶收集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定期清运至市政部门指定位置堆存。</w:t>
                  </w:r>
                </w:p>
              </w:tc>
              <w:tc>
                <w:tcPr>
                  <w:tcW w:w="561" w:type="pct"/>
                  <w:vAlign w:val="center"/>
                </w:tcPr>
                <w:p w14:paraId="1E9CDE4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r>
            <w:tr w14:paraId="24D5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 w:type="pct"/>
                  <w:vMerge w:val="continue"/>
                  <w:vAlign w:val="center"/>
                </w:tcPr>
                <w:p w14:paraId="56B07A07">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22DD7829">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4D3E601D">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洗砂底泥</w:t>
                  </w:r>
                </w:p>
              </w:tc>
              <w:tc>
                <w:tcPr>
                  <w:tcW w:w="2916" w:type="pct"/>
                  <w:vMerge w:val="restart"/>
                  <w:vAlign w:val="center"/>
                </w:tcPr>
                <w:p w14:paraId="4C6B0F96">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通过压滤机压滤后</w:t>
                  </w:r>
                  <w:r>
                    <w:rPr>
                      <w:rFonts w:hint="eastAsia" w:cs="Times New Roman"/>
                      <w:color w:val="auto"/>
                      <w:sz w:val="21"/>
                      <w:szCs w:val="21"/>
                      <w:vertAlign w:val="baseline"/>
                      <w:lang w:val="en-US" w:eastAsia="zh-CN"/>
                    </w:rPr>
                    <w:t>形成泥饼</w:t>
                  </w:r>
                  <w:r>
                    <w:rPr>
                      <w:rFonts w:hint="default" w:ascii="Times New Roman" w:hAnsi="Times New Roman" w:cs="Times New Roman"/>
                      <w:color w:val="auto"/>
                      <w:sz w:val="21"/>
                      <w:szCs w:val="21"/>
                      <w:vertAlign w:val="baseline"/>
                      <w:lang w:val="en-US" w:eastAsia="zh-CN"/>
                    </w:rPr>
                    <w:t>（含水率≤40%），外运至砖厂制砖；对砖厂消纳不完及在砖厂停产期间产生的泥饼，泥饼运至珠峰采石场用于露天采空区土地复垦。</w:t>
                  </w:r>
                </w:p>
              </w:tc>
              <w:tc>
                <w:tcPr>
                  <w:tcW w:w="561" w:type="pct"/>
                  <w:vAlign w:val="center"/>
                </w:tcPr>
                <w:p w14:paraId="12B40E2D">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14:paraId="490E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03621C7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2F89F5A9">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01E8360D">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沉淀池底泥</w:t>
                  </w:r>
                </w:p>
              </w:tc>
              <w:tc>
                <w:tcPr>
                  <w:tcW w:w="2916" w:type="pct"/>
                  <w:vMerge w:val="continue"/>
                  <w:vAlign w:val="center"/>
                </w:tcPr>
                <w:p w14:paraId="2202C5AA">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p>
              </w:tc>
              <w:tc>
                <w:tcPr>
                  <w:tcW w:w="561" w:type="pct"/>
                  <w:vAlign w:val="center"/>
                </w:tcPr>
                <w:p w14:paraId="51580AE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w:t>
                  </w:r>
                </w:p>
              </w:tc>
            </w:tr>
            <w:tr w14:paraId="1E5D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0E3719E0">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7AF2636C">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5F0D146F">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化粪池污泥</w:t>
                  </w:r>
                </w:p>
              </w:tc>
              <w:tc>
                <w:tcPr>
                  <w:tcW w:w="2916" w:type="pct"/>
                  <w:vAlign w:val="center"/>
                </w:tcPr>
                <w:p w14:paraId="5B9694FA">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委托当地环卫部门定期清掏。</w:t>
                  </w:r>
                </w:p>
              </w:tc>
              <w:tc>
                <w:tcPr>
                  <w:tcW w:w="561" w:type="pct"/>
                  <w:vAlign w:val="center"/>
                </w:tcPr>
                <w:p w14:paraId="77296290">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w:t>
                  </w:r>
                </w:p>
              </w:tc>
            </w:tr>
            <w:tr w14:paraId="1DBD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232" w:type="pct"/>
                  <w:vMerge w:val="continue"/>
                  <w:vAlign w:val="center"/>
                </w:tcPr>
                <w:p w14:paraId="6A93798F">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515" w:type="pct"/>
                  <w:vMerge w:val="continue"/>
                  <w:vAlign w:val="center"/>
                </w:tcPr>
                <w:p w14:paraId="580F9498">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773" w:type="pct"/>
                  <w:vAlign w:val="center"/>
                </w:tcPr>
                <w:p w14:paraId="2D911DFB">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危废</w:t>
                  </w:r>
                </w:p>
              </w:tc>
              <w:tc>
                <w:tcPr>
                  <w:tcW w:w="2916" w:type="pct"/>
                  <w:vAlign w:val="center"/>
                </w:tcPr>
                <w:p w14:paraId="43E05197">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设置危废暂存间（5m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废润滑油</w:t>
                  </w:r>
                  <w:r>
                    <w:rPr>
                      <w:rFonts w:hint="default" w:ascii="Times New Roman" w:hAnsi="Times New Roman" w:cs="Times New Roman"/>
                      <w:b w:val="0"/>
                      <w:bCs w:val="0"/>
                      <w:color w:val="auto"/>
                      <w:sz w:val="21"/>
                      <w:szCs w:val="21"/>
                      <w:vertAlign w:val="baseline"/>
                      <w:lang w:val="en-US" w:eastAsia="zh-CN"/>
                    </w:rPr>
                    <w:t>用桶收集，存放于危废暂存间，委托有资质的单位定期</w:t>
                  </w:r>
                  <w:r>
                    <w:rPr>
                      <w:rFonts w:hint="eastAsia" w:cs="Times New Roman"/>
                      <w:b w:val="0"/>
                      <w:bCs w:val="0"/>
                      <w:color w:val="auto"/>
                      <w:sz w:val="21"/>
                      <w:szCs w:val="21"/>
                      <w:vertAlign w:val="baseline"/>
                      <w:lang w:val="en-US" w:eastAsia="zh-CN"/>
                    </w:rPr>
                    <w:t>清运</w:t>
                  </w:r>
                  <w:r>
                    <w:rPr>
                      <w:rFonts w:hint="default" w:ascii="Times New Roman" w:hAnsi="Times New Roman" w:cs="Times New Roman"/>
                      <w:b w:val="0"/>
                      <w:bCs w:val="0"/>
                      <w:color w:val="auto"/>
                      <w:sz w:val="21"/>
                      <w:szCs w:val="21"/>
                      <w:vertAlign w:val="baseline"/>
                      <w:lang w:val="en-US" w:eastAsia="zh-CN"/>
                    </w:rPr>
                    <w:t>处置。</w:t>
                  </w:r>
                </w:p>
              </w:tc>
              <w:tc>
                <w:tcPr>
                  <w:tcW w:w="561" w:type="pct"/>
                  <w:vAlign w:val="center"/>
                </w:tcPr>
                <w:p w14:paraId="020A9C6B">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r>
            <w:tr w14:paraId="7304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522" w:type="pct"/>
                  <w:gridSpan w:val="3"/>
                  <w:vAlign w:val="center"/>
                </w:tcPr>
                <w:p w14:paraId="2B963B94">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合计</w:t>
                  </w:r>
                </w:p>
              </w:tc>
              <w:tc>
                <w:tcPr>
                  <w:tcW w:w="2916" w:type="pct"/>
                  <w:vAlign w:val="center"/>
                </w:tcPr>
                <w:p w14:paraId="434BB4E0">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561" w:type="pct"/>
                  <w:vAlign w:val="center"/>
                </w:tcPr>
                <w:p w14:paraId="2713AF42">
                  <w:pPr>
                    <w:pStyle w:val="27"/>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w:t>
                  </w:r>
                </w:p>
              </w:tc>
            </w:tr>
          </w:tbl>
          <w:p w14:paraId="2CFD9286">
            <w:pPr>
              <w:pStyle w:val="27"/>
              <w:jc w:val="center"/>
              <w:rPr>
                <w:rFonts w:hint="default" w:ascii="Times New Roman" w:hAnsi="Times New Roman" w:cs="Times New Roman"/>
                <w:color w:val="auto"/>
                <w:lang w:val="en-US" w:eastAsia="zh-CN"/>
              </w:rPr>
            </w:pPr>
          </w:p>
        </w:tc>
      </w:tr>
      <w:tr w14:paraId="1C61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Align w:val="center"/>
          </w:tcPr>
          <w:p w14:paraId="6288ED17">
            <w:pPr>
              <w:pStyle w:val="40"/>
              <w:rPr>
                <w:rFonts w:hint="default" w:ascii="Times New Roman" w:hAnsi="Times New Roman" w:cs="Times New Roman"/>
                <w:color w:val="auto"/>
              </w:rPr>
            </w:pPr>
            <w:r>
              <w:rPr>
                <w:rFonts w:hint="default" w:ascii="Times New Roman" w:hAnsi="Times New Roman" w:cs="Times New Roman"/>
                <w:color w:val="auto"/>
              </w:rPr>
              <w:t>工艺流程和产排污环节</w:t>
            </w:r>
          </w:p>
        </w:tc>
        <w:tc>
          <w:tcPr>
            <w:tcW w:w="9330" w:type="dxa"/>
          </w:tcPr>
          <w:p w14:paraId="18FDF895">
            <w:pPr>
              <w:pStyle w:val="42"/>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1工艺流程简述</w:t>
            </w:r>
          </w:p>
          <w:p w14:paraId="5985DC94">
            <w:pPr>
              <w:pStyle w:val="42"/>
              <w:numPr>
                <w:ilvl w:val="0"/>
                <w:numId w:val="0"/>
              </w:numPr>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sz w:val="24"/>
                <w:szCs w:val="24"/>
                <w:lang w:val="en-US" w:eastAsia="zh-CN"/>
              </w:rPr>
              <w:t>施工期</w:t>
            </w:r>
          </w:p>
          <w:p w14:paraId="790C22A3">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本项目施工期主要包括主体工程、设备安装等，施工期将产生噪声、扬尘及废气、固体废物和施工废水，其排放量随工序和施工强度不同而变化。本项目施工期工艺流程与污染源如图2-4所示：</w:t>
            </w:r>
          </w:p>
          <w:p w14:paraId="401445E1">
            <w:pPr>
              <w:pStyle w:val="42"/>
              <w:numPr>
                <w:ilvl w:val="0"/>
                <w:numId w:val="0"/>
              </w:numPr>
              <w:jc w:val="center"/>
              <w:rPr>
                <w:rFonts w:hint="default" w:ascii="Times New Roman" w:hAnsi="Times New Roman" w:cs="Times New Roman"/>
                <w:color w:val="auto"/>
              </w:rPr>
            </w:pPr>
            <w:r>
              <w:rPr>
                <w:rFonts w:hint="default" w:ascii="Times New Roman" w:hAnsi="Times New Roman" w:cs="Times New Roman"/>
                <w:color w:val="auto"/>
                <w:sz w:val="21"/>
              </w:rPr>
              <mc:AlternateContent>
                <mc:Choice Requires="wps">
                  <w:drawing>
                    <wp:anchor distT="0" distB="0" distL="114300" distR="114300" simplePos="0" relativeHeight="251659264" behindDoc="0" locked="0" layoutInCell="1" allowOverlap="1">
                      <wp:simplePos x="0" y="0"/>
                      <wp:positionH relativeFrom="column">
                        <wp:posOffset>2736215</wp:posOffset>
                      </wp:positionH>
                      <wp:positionV relativeFrom="paragraph">
                        <wp:posOffset>1102360</wp:posOffset>
                      </wp:positionV>
                      <wp:extent cx="1114425" cy="266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14425" cy="266700"/>
                              </a:xfrm>
                              <a:prstGeom prst="rect">
                                <a:avLst/>
                              </a:prstGeom>
                              <a:noFill/>
                              <a:ln>
                                <a:noFill/>
                              </a:ln>
                            </wps:spPr>
                            <wps:txbx>
                              <w:txbxContent>
                                <w:p w14:paraId="0A191810">
                                  <w:pPr>
                                    <w:ind w:left="0" w:leftChars="0" w:firstLine="0" w:firstLineChars="0"/>
                                    <w:rPr>
                                      <w:rFonts w:hint="eastAsia" w:eastAsia="宋体"/>
                                      <w:sz w:val="18"/>
                                      <w:szCs w:val="18"/>
                                      <w:lang w:val="en-US" w:eastAsia="zh-CN"/>
                                    </w:rPr>
                                  </w:pPr>
                                  <w:r>
                                    <w:rPr>
                                      <w:rFonts w:hint="eastAsia"/>
                                      <w:sz w:val="18"/>
                                      <w:szCs w:val="18"/>
                                      <w:lang w:val="en-US" w:eastAsia="zh-CN"/>
                                    </w:rPr>
                                    <w:t>、建筑垃圾</w:t>
                                  </w:r>
                                </w:p>
                              </w:txbxContent>
                            </wps:txbx>
                            <wps:bodyPr upright="1"/>
                          </wps:wsp>
                        </a:graphicData>
                      </a:graphic>
                    </wp:anchor>
                  </w:drawing>
                </mc:Choice>
                <mc:Fallback>
                  <w:pict>
                    <v:shape id="_x0000_s1026" o:spid="_x0000_s1026" o:spt="202" type="#_x0000_t202" style="position:absolute;left:0pt;margin-left:215.45pt;margin-top:86.8pt;height:21pt;width:87.75pt;z-index:251659264;mso-width-relative:page;mso-height-relative:page;" filled="f" stroked="f" coordsize="21600,21600" o:gfxdata="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wt7xNgA&#10;AAALAQAADwAAAAAAAAABACAAAAAiAAAAZHJzL2Rvd25yZXYueG1sUEsBAhQAFAAAAAgAh07iQCrw&#10;CFitAQAATgMAAA4AAAAAAAAAAQAgAAAAJwEAAGRycy9lMm9Eb2MueG1sUEsFBgAAAAAGAAYAWQEA&#10;AEYFAAAAAA==&#10;">
                      <v:fill on="f" focussize="0,0"/>
                      <v:stroke on="f"/>
                      <v:imagedata o:title=""/>
                      <o:lock v:ext="edit" aspectratio="f"/>
                      <v:textbox>
                        <w:txbxContent>
                          <w:p w14:paraId="0A191810">
                            <w:pPr>
                              <w:ind w:left="0" w:leftChars="0" w:firstLine="0" w:firstLineChars="0"/>
                              <w:rPr>
                                <w:rFonts w:hint="eastAsia" w:eastAsia="宋体"/>
                                <w:sz w:val="18"/>
                                <w:szCs w:val="18"/>
                                <w:lang w:val="en-US" w:eastAsia="zh-CN"/>
                              </w:rPr>
                            </w:pPr>
                            <w:r>
                              <w:rPr>
                                <w:rFonts w:hint="eastAsia"/>
                                <w:sz w:val="18"/>
                                <w:szCs w:val="18"/>
                                <w:lang w:val="en-US" w:eastAsia="zh-CN"/>
                              </w:rPr>
                              <w:t>、建筑垃圾</w:t>
                            </w:r>
                          </w:p>
                        </w:txbxContent>
                      </v:textbox>
                    </v:shape>
                  </w:pict>
                </mc:Fallback>
              </mc:AlternateContent>
            </w:r>
            <w:r>
              <w:rPr>
                <w:rFonts w:hint="default" w:ascii="Times New Roman" w:hAnsi="Times New Roman" w:cs="Times New Roman"/>
                <w:color w:val="auto"/>
              </w:rPr>
              <w:drawing>
                <wp:inline distT="0" distB="0" distL="114300" distR="114300">
                  <wp:extent cx="3933190" cy="1323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l="17248"/>
                          <a:stretch>
                            <a:fillRect/>
                          </a:stretch>
                        </pic:blipFill>
                        <pic:spPr>
                          <a:xfrm>
                            <a:off x="0" y="0"/>
                            <a:ext cx="3933190" cy="1323975"/>
                          </a:xfrm>
                          <a:prstGeom prst="rect">
                            <a:avLst/>
                          </a:prstGeom>
                          <a:noFill/>
                          <a:ln>
                            <a:noFill/>
                          </a:ln>
                        </pic:spPr>
                      </pic:pic>
                    </a:graphicData>
                  </a:graphic>
                </wp:inline>
              </w:drawing>
            </w:r>
          </w:p>
          <w:p w14:paraId="31E3D215">
            <w:pPr>
              <w:pStyle w:val="42"/>
              <w:numPr>
                <w:ilvl w:val="0"/>
                <w:numId w:val="0"/>
              </w:num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图2-</w:t>
            </w:r>
            <w:r>
              <w:rPr>
                <w:rFonts w:hint="eastAsia" w:cs="Times New Roman"/>
                <w:b/>
                <w:bCs/>
                <w:color w:val="auto"/>
                <w:lang w:val="en-US" w:eastAsia="zh-CN"/>
              </w:rPr>
              <w:t>4</w:t>
            </w:r>
            <w:r>
              <w:rPr>
                <w:rFonts w:hint="default" w:ascii="Times New Roman" w:hAnsi="Times New Roman" w:cs="Times New Roman"/>
                <w:b/>
                <w:bCs/>
                <w:color w:val="auto"/>
                <w:lang w:val="en-US" w:eastAsia="zh-CN"/>
              </w:rPr>
              <w:t>施工工艺流程及产污节点图</w:t>
            </w:r>
          </w:p>
          <w:p w14:paraId="04848AE6">
            <w:pPr>
              <w:keepNext w:val="0"/>
              <w:keepLines w:val="0"/>
              <w:widowControl/>
              <w:numPr>
                <w:ilvl w:val="0"/>
                <w:numId w:val="0"/>
              </w:numPr>
              <w:suppressLineNumbers w:val="0"/>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（2）运营期</w:t>
            </w:r>
            <w:r>
              <w:rPr>
                <w:rFonts w:hint="eastAsia" w:ascii="Times New Roman" w:hAnsi="Times New Roman" w:cs="Times New Roman"/>
                <w:b/>
                <w:bCs/>
                <w:color w:val="auto"/>
                <w:kern w:val="0"/>
                <w:sz w:val="24"/>
                <w:szCs w:val="24"/>
                <w:lang w:val="en-US" w:eastAsia="zh-CN" w:bidi="ar"/>
              </w:rPr>
              <w:t>工艺流程及产污节点图</w:t>
            </w:r>
          </w:p>
          <w:p w14:paraId="460054BA">
            <w:pPr>
              <w:keepNext w:val="0"/>
              <w:keepLines w:val="0"/>
              <w:widowControl/>
              <w:numPr>
                <w:ilvl w:val="0"/>
                <w:numId w:val="0"/>
              </w:numPr>
              <w:suppressLineNumbers w:val="0"/>
              <w:ind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项目未设置雷蒙磨，仅对原料进行水洗、筛分，工艺全程涉水，生产废气主要为原料装卸堆存、成品装卸堆存及物料运输产生的粉尘</w:t>
            </w:r>
            <w:r>
              <w:rPr>
                <w:rFonts w:hint="eastAsia" w:cs="Times New Roman"/>
                <w:color w:val="auto"/>
                <w:lang w:val="en-US" w:eastAsia="zh-CN"/>
              </w:rPr>
              <w:t>。</w:t>
            </w:r>
          </w:p>
          <w:p w14:paraId="0192DFFC">
            <w:pPr>
              <w:keepNext w:val="0"/>
              <w:keepLines w:val="0"/>
              <w:widowControl/>
              <w:numPr>
                <w:ilvl w:val="0"/>
                <w:numId w:val="0"/>
              </w:numPr>
              <w:suppressLineNumbers w:val="0"/>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①</w:t>
            </w:r>
            <w:r>
              <w:rPr>
                <w:rFonts w:hint="eastAsia" w:ascii="Times New Roman" w:hAnsi="Times New Roman" w:cs="Times New Roman"/>
                <w:b w:val="0"/>
                <w:bCs w:val="0"/>
                <w:color w:val="auto"/>
                <w:sz w:val="24"/>
                <w:szCs w:val="24"/>
                <w:lang w:val="en-US" w:eastAsia="zh-CN"/>
              </w:rPr>
              <w:t>原料接收与堆存</w:t>
            </w:r>
          </w:p>
          <w:p w14:paraId="752CD79F">
            <w:pPr>
              <w:keepNext w:val="0"/>
              <w:keepLines w:val="0"/>
              <w:widowControl/>
              <w:numPr>
                <w:ilvl w:val="0"/>
                <w:numId w:val="0"/>
              </w:numPr>
              <w:suppressLineNumbers w:val="0"/>
              <w:ind w:firstLine="480" w:firstLineChars="200"/>
              <w:jc w:val="left"/>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原料从玉昆珠峰采石场经运输车辆运至原料堆棚储存，用铲车运至进料斗，进行下一步工作。</w:t>
            </w:r>
          </w:p>
          <w:p w14:paraId="26950CC8">
            <w:pPr>
              <w:keepNext w:val="0"/>
              <w:keepLines w:val="0"/>
              <w:widowControl/>
              <w:numPr>
                <w:ilvl w:val="0"/>
                <w:numId w:val="0"/>
              </w:numPr>
              <w:suppressLineNumbers w:val="0"/>
              <w:ind w:firstLine="480" w:firstLineChars="200"/>
              <w:jc w:val="left"/>
              <w:rPr>
                <w:rFonts w:hint="eastAsia"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w:t>
            </w:r>
            <w:r>
              <w:rPr>
                <w:rFonts w:hint="eastAsia" w:ascii="Times New Roman" w:hAnsi="Times New Roman" w:cs="Times New Roman"/>
                <w:b w:val="0"/>
                <w:bCs w:val="0"/>
                <w:color w:val="auto"/>
                <w:sz w:val="24"/>
                <w:szCs w:val="24"/>
                <w:lang w:val="en-US" w:eastAsia="zh-CN"/>
              </w:rPr>
              <w:t>清洗</w:t>
            </w:r>
          </w:p>
          <w:p w14:paraId="4B20CC6A">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原料从进料斗，通过皮带输送至1#双轴洗石机，从储水罐抽水进行清洗第一遍，含砂泥浆通过泥浆泵，进入沉淀系统，清洗过的碎石，进入2#双轴洗砂机清洗，</w:t>
            </w:r>
            <w:r>
              <w:rPr>
                <w:rFonts w:hint="default" w:ascii="Times New Roman" w:hAnsi="Times New Roman" w:eastAsia="宋体" w:cs="Times New Roman"/>
                <w:b w:val="0"/>
                <w:bCs w:val="0"/>
                <w:color w:val="auto"/>
                <w:sz w:val="24"/>
                <w:szCs w:val="24"/>
                <w:lang w:val="en-US" w:eastAsia="zh-CN"/>
              </w:rPr>
              <w:t>经过清洗的砂石料进入</w:t>
            </w:r>
            <w:r>
              <w:rPr>
                <w:rFonts w:hint="eastAsia" w:ascii="Times New Roman" w:hAnsi="Times New Roman"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脱水筛脱水，脱水筛通过离心力的作用去除水洗砂中的水份，</w:t>
            </w:r>
            <w:r>
              <w:rPr>
                <w:rFonts w:hint="eastAsia" w:ascii="Times New Roman" w:hAnsi="Times New Roman" w:cs="Times New Roman"/>
                <w:b w:val="0"/>
                <w:bCs w:val="0"/>
                <w:color w:val="auto"/>
                <w:sz w:val="24"/>
                <w:szCs w:val="24"/>
                <w:lang w:val="en-US" w:eastAsia="zh-CN"/>
              </w:rPr>
              <w:t>含泥砂浆进入锥形固液分离桶中；脱水后的石料皮带输送至振动筛，筛出四种规格的石料，即＞18mm、8mm-18mm、3.5mm-8mm和＜3.5mm四种规格，其中＞18mm、8mm-18mm、3.5mm-8mm</w:t>
            </w:r>
            <w:r>
              <w:rPr>
                <w:rFonts w:hint="eastAsia" w:cs="Times New Roman"/>
                <w:b w:val="0"/>
                <w:bCs w:val="0"/>
                <w:color w:val="auto"/>
                <w:sz w:val="24"/>
                <w:szCs w:val="24"/>
                <w:lang w:val="en-US" w:eastAsia="zh-CN"/>
              </w:rPr>
              <w:t>三种规格的石料进入成品堆场；＜3.5mm的石料与锥形固液分离桶底层砂浆一同进入双轴洗砂机清洗，清洗后再次进入单轴洗砂机清洗，然后进入2#脱水筛脱水，脱水后的石料进入成品堆场晾晒，2#脱水筛产生的泥水进入沉淀系统沉淀；沉淀池的底泥泵进压滤机中压滤；沉淀池上清液进入清水循环池回用于洗砂。</w:t>
            </w:r>
          </w:p>
          <w:p w14:paraId="4E25EB1C">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084C0DC1">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77D3AFD8">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30D794E8">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27ED72E5">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339DB83A">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166FF183">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2492CEB1">
            <w:pPr>
              <w:keepNext w:val="0"/>
              <w:keepLines w:val="0"/>
              <w:widowControl/>
              <w:numPr>
                <w:ilvl w:val="0"/>
                <w:numId w:val="0"/>
              </w:numPr>
              <w:suppressLineNumbers w:val="0"/>
              <w:ind w:firstLine="480" w:firstLineChars="200"/>
              <w:jc w:val="left"/>
              <w:rPr>
                <w:rFonts w:hint="eastAsia" w:cs="Times New Roman"/>
                <w:b w:val="0"/>
                <w:bCs w:val="0"/>
                <w:color w:val="auto"/>
                <w:sz w:val="24"/>
                <w:szCs w:val="24"/>
                <w:lang w:val="en-US" w:eastAsia="zh-CN"/>
              </w:rPr>
            </w:pPr>
          </w:p>
          <w:p w14:paraId="48546BD8">
            <w:pPr>
              <w:keepNext w:val="0"/>
              <w:keepLines w:val="0"/>
              <w:widowControl/>
              <w:numPr>
                <w:ilvl w:val="0"/>
                <w:numId w:val="0"/>
              </w:numPr>
              <w:suppressLineNumbers w:val="0"/>
              <w:ind w:firstLine="480" w:firstLineChars="200"/>
              <w:jc w:val="left"/>
              <w:rPr>
                <w:rFonts w:hint="default" w:cs="Times New Roman"/>
                <w:b w:val="0"/>
                <w:bCs w:val="0"/>
                <w:color w:val="auto"/>
                <w:sz w:val="24"/>
                <w:szCs w:val="24"/>
                <w:lang w:val="en-US" w:eastAsia="zh-CN"/>
              </w:rPr>
            </w:pPr>
          </w:p>
          <w:p w14:paraId="78AB46B3">
            <w:pPr>
              <w:pStyle w:val="27"/>
              <w:ind w:left="0" w:leftChars="0" w:firstLine="0" w:firstLineChars="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object>
                <v:shape id="_x0000_i1027" o:spt="75" type="#_x0000_t75" style="height:392.7pt;width:466.4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p>
          <w:p w14:paraId="4C47629F">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运营期工艺流程及产污节点图</w:t>
            </w:r>
          </w:p>
          <w:p w14:paraId="209CA84B">
            <w:pPr>
              <w:ind w:left="0" w:leftChars="0" w:firstLine="0" w:firstLineChars="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object>
                <v:shape id="_x0000_i1028" o:spt="75" type="#_x0000_t75" style="height:117pt;width:386.25pt;" o:ole="t" filled="f" o:preferrelative="t" stroked="f" coordsize="21600,21600">
                  <v:path/>
                  <v:fill on="f" focussize="0,0"/>
                  <v:stroke on="f"/>
                  <v:imagedata r:id="rId20" o:title=""/>
                  <o:lock v:ext="edit" aspectratio="f"/>
                  <w10:wrap type="none"/>
                  <w10:anchorlock/>
                </v:shape>
                <o:OLEObject Type="Embed" ProgID="Visio.Drawing.11" ShapeID="_x0000_i1028" DrawAspect="Content" ObjectID="_1468075728" r:id="rId19">
                  <o:LockedField>false</o:LockedField>
                </o:OLEObject>
              </w:object>
            </w:r>
          </w:p>
          <w:p w14:paraId="181157F2">
            <w:pPr>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6沉淀系统工艺流程</w:t>
            </w:r>
          </w:p>
          <w:p w14:paraId="300C53FA">
            <w:pPr>
              <w:pStyle w:val="42"/>
              <w:numPr>
                <w:ilvl w:val="0"/>
                <w:numId w:val="0"/>
              </w:numPr>
              <w:spacing w:line="360" w:lineRule="auto"/>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2产污环节分析</w:t>
            </w:r>
          </w:p>
          <w:p w14:paraId="20723443">
            <w:pPr>
              <w:keepNext w:val="0"/>
              <w:keepLines w:val="0"/>
              <w:widowControl/>
              <w:suppressLineNumbers w:val="0"/>
              <w:jc w:val="left"/>
              <w:rPr>
                <w:rFonts w:hint="default" w:ascii="Times New Roman" w:hAnsi="Times New Roman" w:cs="Times New Roman"/>
                <w:b/>
                <w:bCs/>
                <w:color w:val="auto"/>
              </w:rPr>
            </w:pPr>
            <w:r>
              <w:rPr>
                <w:rFonts w:hint="default" w:ascii="Times New Roman" w:hAnsi="Times New Roman" w:eastAsia="宋体" w:cs="Times New Roman"/>
                <w:b/>
                <w:bCs/>
                <w:color w:val="auto"/>
                <w:kern w:val="0"/>
                <w:sz w:val="24"/>
                <w:szCs w:val="24"/>
                <w:lang w:val="en-US" w:eastAsia="zh-CN" w:bidi="ar"/>
              </w:rPr>
              <w:t>（1）施工期</w:t>
            </w:r>
          </w:p>
          <w:p w14:paraId="403C5C71">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①废气：施工期废气主要包括施工扬尘、施工机械及运输车辆排放尾气。</w:t>
            </w:r>
          </w:p>
          <w:p w14:paraId="170EB5C0">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②废水：来自施工人员的生活污水及冲洗车辆的废水。</w:t>
            </w:r>
          </w:p>
          <w:p w14:paraId="5EAC6F64">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③固废：主要包括施工人员生活垃圾和施工过程中建筑垃圾。</w:t>
            </w:r>
          </w:p>
          <w:p w14:paraId="7AA1BB82">
            <w:pPr>
              <w:pStyle w:val="37"/>
              <w:ind w:firstLine="480"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④噪声：来自于运输设备车辆、施工机械运转。</w:t>
            </w:r>
            <w:r>
              <w:rPr>
                <w:rFonts w:hint="default" w:ascii="Times New Roman" w:hAnsi="Times New Roman" w:cs="Times New Roman"/>
                <w:b w:val="0"/>
                <w:bCs/>
                <w:color w:val="auto"/>
                <w:sz w:val="24"/>
                <w:szCs w:val="24"/>
                <w:lang w:val="en-US" w:eastAsia="zh-CN"/>
              </w:rPr>
              <w:t>本项目施工期污染物治理措施见下表：</w:t>
            </w:r>
          </w:p>
          <w:p w14:paraId="7159F290">
            <w:pPr>
              <w:pStyle w:val="35"/>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8</w:t>
            </w:r>
            <w:r>
              <w:rPr>
                <w:rFonts w:hint="default" w:ascii="Times New Roman" w:hAnsi="Times New Roman" w:cs="Times New Roman"/>
                <w:color w:val="auto"/>
              </w:rPr>
              <w:t xml:space="preserve">  施工期污染物产生节点及治理措施一览表</w:t>
            </w:r>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189"/>
              <w:gridCol w:w="1716"/>
              <w:gridCol w:w="5283"/>
            </w:tblGrid>
            <w:tr w14:paraId="63197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pct"/>
                  <w:vAlign w:val="center"/>
                </w:tcPr>
                <w:p w14:paraId="48E0BED7">
                  <w:pPr>
                    <w:pStyle w:val="42"/>
                    <w:rPr>
                      <w:rFonts w:hint="default" w:ascii="Times New Roman" w:hAnsi="Times New Roman" w:cs="Times New Roman"/>
                      <w:color w:val="auto"/>
                    </w:rPr>
                  </w:pPr>
                  <w:r>
                    <w:rPr>
                      <w:rFonts w:hint="default" w:ascii="Times New Roman" w:hAnsi="Times New Roman" w:cs="Times New Roman"/>
                      <w:color w:val="auto"/>
                    </w:rPr>
                    <w:t>污染物</w:t>
                  </w:r>
                </w:p>
              </w:tc>
              <w:tc>
                <w:tcPr>
                  <w:tcW w:w="654" w:type="pct"/>
                  <w:vAlign w:val="center"/>
                </w:tcPr>
                <w:p w14:paraId="2478E232">
                  <w:pPr>
                    <w:pStyle w:val="42"/>
                    <w:rPr>
                      <w:rFonts w:hint="default" w:ascii="Times New Roman" w:hAnsi="Times New Roman" w:cs="Times New Roman"/>
                      <w:color w:val="auto"/>
                    </w:rPr>
                  </w:pPr>
                  <w:r>
                    <w:rPr>
                      <w:rFonts w:hint="default" w:ascii="Times New Roman" w:hAnsi="Times New Roman" w:cs="Times New Roman"/>
                      <w:color w:val="auto"/>
                    </w:rPr>
                    <w:t>产污节点</w:t>
                  </w:r>
                </w:p>
              </w:tc>
              <w:tc>
                <w:tcPr>
                  <w:tcW w:w="943" w:type="pct"/>
                  <w:vAlign w:val="center"/>
                </w:tcPr>
                <w:p w14:paraId="7969C28E">
                  <w:pPr>
                    <w:pStyle w:val="42"/>
                    <w:rPr>
                      <w:rFonts w:hint="default" w:ascii="Times New Roman" w:hAnsi="Times New Roman" w:cs="Times New Roman"/>
                      <w:color w:val="auto"/>
                    </w:rPr>
                  </w:pPr>
                  <w:r>
                    <w:rPr>
                      <w:rFonts w:hint="default" w:ascii="Times New Roman" w:hAnsi="Times New Roman" w:cs="Times New Roman"/>
                      <w:color w:val="auto"/>
                    </w:rPr>
                    <w:t>污染物</w:t>
                  </w:r>
                </w:p>
              </w:tc>
              <w:tc>
                <w:tcPr>
                  <w:tcW w:w="2906" w:type="pct"/>
                  <w:vAlign w:val="center"/>
                </w:tcPr>
                <w:p w14:paraId="56B1984D">
                  <w:pPr>
                    <w:pStyle w:val="42"/>
                    <w:rPr>
                      <w:rFonts w:hint="default" w:ascii="Times New Roman" w:hAnsi="Times New Roman" w:cs="Times New Roman"/>
                      <w:color w:val="auto"/>
                    </w:rPr>
                  </w:pPr>
                  <w:r>
                    <w:rPr>
                      <w:rFonts w:hint="default" w:ascii="Times New Roman" w:hAnsi="Times New Roman" w:cs="Times New Roman"/>
                      <w:color w:val="auto"/>
                    </w:rPr>
                    <w:t>治理措施</w:t>
                  </w:r>
                </w:p>
              </w:tc>
            </w:tr>
            <w:tr w14:paraId="7A3E9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pct"/>
                  <w:vMerge w:val="restart"/>
                  <w:vAlign w:val="center"/>
                </w:tcPr>
                <w:p w14:paraId="27D8DBF7">
                  <w:pPr>
                    <w:pStyle w:val="42"/>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废气</w:t>
                  </w:r>
                </w:p>
              </w:tc>
              <w:tc>
                <w:tcPr>
                  <w:tcW w:w="654" w:type="pct"/>
                  <w:vAlign w:val="center"/>
                </w:tcPr>
                <w:p w14:paraId="73DD5D6D">
                  <w:pPr>
                    <w:pStyle w:val="42"/>
                    <w:rPr>
                      <w:rFonts w:hint="default" w:ascii="Times New Roman" w:hAnsi="Times New Roman" w:cs="Times New Roman"/>
                      <w:b w:val="0"/>
                      <w:bCs/>
                      <w:color w:val="auto"/>
                    </w:rPr>
                  </w:pPr>
                  <w:r>
                    <w:rPr>
                      <w:rFonts w:hint="default" w:ascii="Times New Roman" w:hAnsi="Times New Roman" w:cs="Times New Roman"/>
                      <w:b w:val="0"/>
                      <w:bCs/>
                      <w:color w:val="auto"/>
                    </w:rPr>
                    <w:t>施工场地</w:t>
                  </w:r>
                </w:p>
              </w:tc>
              <w:tc>
                <w:tcPr>
                  <w:tcW w:w="943" w:type="pct"/>
                  <w:vAlign w:val="center"/>
                </w:tcPr>
                <w:p w14:paraId="552A41AB">
                  <w:pPr>
                    <w:pStyle w:val="42"/>
                    <w:rPr>
                      <w:rFonts w:hint="default" w:ascii="Times New Roman" w:hAnsi="Times New Roman" w:cs="Times New Roman"/>
                      <w:color w:val="auto"/>
                    </w:rPr>
                  </w:pPr>
                  <w:r>
                    <w:rPr>
                      <w:rFonts w:hint="default" w:ascii="Times New Roman" w:hAnsi="Times New Roman" w:cs="Times New Roman"/>
                      <w:color w:val="auto"/>
                    </w:rPr>
                    <w:t>扬尘</w:t>
                  </w:r>
                </w:p>
              </w:tc>
              <w:tc>
                <w:tcPr>
                  <w:tcW w:w="2906" w:type="pct"/>
                  <w:vAlign w:val="center"/>
                </w:tcPr>
                <w:p w14:paraId="02B9AF11">
                  <w:pPr>
                    <w:pStyle w:val="42"/>
                    <w:rPr>
                      <w:rFonts w:hint="default" w:ascii="Times New Roman" w:hAnsi="Times New Roman" w:cs="Times New Roman"/>
                      <w:color w:val="auto"/>
                    </w:rPr>
                  </w:pPr>
                  <w:r>
                    <w:rPr>
                      <w:rFonts w:hint="default" w:ascii="Times New Roman" w:hAnsi="Times New Roman" w:cs="Times New Roman"/>
                      <w:color w:val="auto"/>
                    </w:rPr>
                    <w:t>加强管理，洒水降尘；细碎物料</w:t>
                  </w:r>
                  <w:r>
                    <w:rPr>
                      <w:rFonts w:hint="default" w:ascii="Times New Roman" w:hAnsi="Times New Roman" w:cs="Times New Roman"/>
                      <w:color w:val="auto"/>
                      <w:lang w:val="en-US" w:eastAsia="zh-CN"/>
                    </w:rPr>
                    <w:t>篷布</w:t>
                  </w:r>
                  <w:r>
                    <w:rPr>
                      <w:rFonts w:hint="default" w:ascii="Times New Roman" w:hAnsi="Times New Roman" w:cs="Times New Roman"/>
                      <w:color w:val="auto"/>
                    </w:rPr>
                    <w:t>遮盖；合理安排工期。</w:t>
                  </w:r>
                </w:p>
              </w:tc>
            </w:tr>
            <w:tr w14:paraId="1D082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pct"/>
                  <w:vMerge w:val="continue"/>
                  <w:vAlign w:val="center"/>
                </w:tcPr>
                <w:p w14:paraId="10D52ED9">
                  <w:pPr>
                    <w:pStyle w:val="42"/>
                    <w:rPr>
                      <w:rFonts w:hint="default" w:ascii="Times New Roman" w:hAnsi="Times New Roman" w:cs="Times New Roman"/>
                      <w:color w:val="auto"/>
                    </w:rPr>
                  </w:pPr>
                </w:p>
              </w:tc>
              <w:tc>
                <w:tcPr>
                  <w:tcW w:w="654" w:type="pct"/>
                  <w:vAlign w:val="center"/>
                </w:tcPr>
                <w:p w14:paraId="6B829CAE">
                  <w:pPr>
                    <w:pStyle w:val="42"/>
                    <w:rPr>
                      <w:rFonts w:hint="default" w:ascii="Times New Roman" w:hAnsi="Times New Roman" w:cs="Times New Roman"/>
                      <w:b w:val="0"/>
                      <w:bCs/>
                      <w:color w:val="auto"/>
                    </w:rPr>
                  </w:pPr>
                  <w:r>
                    <w:rPr>
                      <w:rFonts w:hint="default" w:ascii="Times New Roman" w:hAnsi="Times New Roman" w:cs="Times New Roman"/>
                      <w:b w:val="0"/>
                      <w:bCs/>
                      <w:color w:val="auto"/>
                    </w:rPr>
                    <w:t>物料运输</w:t>
                  </w:r>
                </w:p>
              </w:tc>
              <w:tc>
                <w:tcPr>
                  <w:tcW w:w="943" w:type="pct"/>
                  <w:vAlign w:val="center"/>
                </w:tcPr>
                <w:p w14:paraId="02BDE54E">
                  <w:pPr>
                    <w:pStyle w:val="42"/>
                    <w:rPr>
                      <w:rFonts w:hint="default" w:ascii="Times New Roman" w:hAnsi="Times New Roman" w:cs="Times New Roman"/>
                      <w:color w:val="auto"/>
                    </w:rPr>
                  </w:pPr>
                  <w:r>
                    <w:rPr>
                      <w:rFonts w:hint="default" w:ascii="Times New Roman" w:hAnsi="Times New Roman" w:cs="Times New Roman"/>
                      <w:color w:val="auto"/>
                    </w:rPr>
                    <w:t>扬尘</w:t>
                  </w:r>
                </w:p>
              </w:tc>
              <w:tc>
                <w:tcPr>
                  <w:tcW w:w="2906" w:type="pct"/>
                  <w:vAlign w:val="center"/>
                </w:tcPr>
                <w:p w14:paraId="4A21AA16">
                  <w:pPr>
                    <w:pStyle w:val="42"/>
                    <w:rPr>
                      <w:rFonts w:hint="default" w:ascii="Times New Roman" w:hAnsi="Times New Roman" w:cs="Times New Roman"/>
                      <w:color w:val="auto"/>
                    </w:rPr>
                  </w:pPr>
                  <w:r>
                    <w:rPr>
                      <w:rFonts w:hint="default" w:ascii="Times New Roman" w:hAnsi="Times New Roman" w:cs="Times New Roman"/>
                      <w:color w:val="auto"/>
                      <w:lang w:val="en-US" w:eastAsia="zh-CN"/>
                    </w:rPr>
                    <w:t>使用篷布遮盖</w:t>
                  </w:r>
                  <w:r>
                    <w:rPr>
                      <w:rFonts w:hint="default" w:ascii="Times New Roman" w:hAnsi="Times New Roman" w:cs="Times New Roman"/>
                      <w:color w:val="auto"/>
                    </w:rPr>
                    <w:t>，严禁超载，村庄路段减速慢行。</w:t>
                  </w:r>
                </w:p>
              </w:tc>
            </w:tr>
            <w:tr w14:paraId="470AC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pct"/>
                  <w:vMerge w:val="restart"/>
                  <w:vAlign w:val="center"/>
                </w:tcPr>
                <w:p w14:paraId="2F7DA86F">
                  <w:pPr>
                    <w:pStyle w:val="42"/>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废水</w:t>
                  </w:r>
                </w:p>
              </w:tc>
              <w:tc>
                <w:tcPr>
                  <w:tcW w:w="654" w:type="pct"/>
                  <w:vAlign w:val="center"/>
                </w:tcPr>
                <w:p w14:paraId="6ACBCDFA">
                  <w:pPr>
                    <w:pStyle w:val="42"/>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初期雨水</w:t>
                  </w:r>
                </w:p>
              </w:tc>
              <w:tc>
                <w:tcPr>
                  <w:tcW w:w="943" w:type="pct"/>
                  <w:vAlign w:val="center"/>
                </w:tcPr>
                <w:p w14:paraId="28F7AD39">
                  <w:pPr>
                    <w:pStyle w:val="42"/>
                    <w:rPr>
                      <w:rFonts w:hint="default" w:ascii="Times New Roman" w:hAnsi="Times New Roman" w:cs="Times New Roman"/>
                      <w:color w:val="auto"/>
                    </w:rPr>
                  </w:pPr>
                  <w:r>
                    <w:rPr>
                      <w:rFonts w:hint="default" w:ascii="Times New Roman" w:hAnsi="Times New Roman" w:cs="Times New Roman"/>
                      <w:color w:val="auto"/>
                    </w:rPr>
                    <w:t>SS</w:t>
                  </w:r>
                </w:p>
              </w:tc>
              <w:tc>
                <w:tcPr>
                  <w:tcW w:w="2906" w:type="pct"/>
                  <w:vAlign w:val="center"/>
                </w:tcPr>
                <w:p w14:paraId="7E090F79">
                  <w:pPr>
                    <w:pStyle w:val="42"/>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在本项目最低处新建一座容积为1</w:t>
                  </w:r>
                  <w:r>
                    <w:rPr>
                      <w:rFonts w:hint="eastAsia" w:cs="Times New Roman"/>
                      <w:color w:val="auto"/>
                      <w:lang w:val="en-US" w:eastAsia="zh-CN"/>
                    </w:rPr>
                    <w:t>30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雨水收集池，初期雨水</w:t>
                  </w:r>
                  <w:r>
                    <w:rPr>
                      <w:rFonts w:hint="default" w:ascii="Times New Roman" w:hAnsi="Times New Roman" w:cs="Times New Roman"/>
                      <w:color w:val="auto"/>
                    </w:rPr>
                    <w:t>收集、回用</w:t>
                  </w:r>
                  <w:r>
                    <w:rPr>
                      <w:rFonts w:hint="default" w:ascii="Times New Roman" w:hAnsi="Times New Roman" w:cs="Times New Roman"/>
                      <w:color w:val="auto"/>
                      <w:lang w:eastAsia="zh-CN"/>
                    </w:rPr>
                    <w:t>。</w:t>
                  </w:r>
                </w:p>
              </w:tc>
            </w:tr>
            <w:tr w14:paraId="726D0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95" w:type="pct"/>
                  <w:vMerge w:val="continue"/>
                  <w:vAlign w:val="center"/>
                </w:tcPr>
                <w:p w14:paraId="03C94E99">
                  <w:pPr>
                    <w:pStyle w:val="42"/>
                    <w:rPr>
                      <w:rFonts w:hint="default" w:ascii="Times New Roman" w:hAnsi="Times New Roman" w:cs="Times New Roman"/>
                      <w:color w:val="auto"/>
                    </w:rPr>
                  </w:pPr>
                </w:p>
              </w:tc>
              <w:tc>
                <w:tcPr>
                  <w:tcW w:w="654" w:type="pct"/>
                  <w:vAlign w:val="center"/>
                </w:tcPr>
                <w:p w14:paraId="1F144C84">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施工废水</w:t>
                  </w:r>
                </w:p>
              </w:tc>
              <w:tc>
                <w:tcPr>
                  <w:tcW w:w="943" w:type="pct"/>
                  <w:vAlign w:val="center"/>
                </w:tcPr>
                <w:p w14:paraId="6BF7348C">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机械冲洗水</w:t>
                  </w:r>
                </w:p>
              </w:tc>
              <w:tc>
                <w:tcPr>
                  <w:tcW w:w="2906" w:type="pct"/>
                  <w:vAlign w:val="center"/>
                </w:tcPr>
                <w:p w14:paraId="1C94BA74">
                  <w:pPr>
                    <w:pStyle w:val="42"/>
                    <w:rPr>
                      <w:rFonts w:hint="default" w:ascii="Times New Roman" w:hAnsi="Times New Roman" w:cs="Times New Roman"/>
                      <w:color w:val="auto"/>
                      <w:lang w:val="en-US"/>
                    </w:rPr>
                  </w:pPr>
                  <w:r>
                    <w:rPr>
                      <w:rFonts w:hint="default" w:ascii="Times New Roman" w:hAnsi="Times New Roman" w:eastAsia="宋体" w:cs="Times New Roman"/>
                      <w:color w:val="auto"/>
                      <w:sz w:val="21"/>
                      <w:szCs w:val="21"/>
                    </w:rPr>
                    <w:t>施工废水来源于现场施工机械冲洗废水。施工机械冲洗废水排放量小，</w:t>
                  </w:r>
                  <w:r>
                    <w:rPr>
                      <w:rFonts w:hint="default" w:ascii="Times New Roman" w:hAnsi="Times New Roman" w:eastAsia="宋体" w:cs="Times New Roman"/>
                      <w:color w:val="auto"/>
                      <w:sz w:val="21"/>
                      <w:szCs w:val="21"/>
                      <w:lang w:val="en-US" w:eastAsia="zh-CN"/>
                    </w:rPr>
                    <w:t>设置一个临时</w:t>
                  </w:r>
                  <w:r>
                    <w:rPr>
                      <w:rFonts w:hint="default" w:ascii="Times New Roman" w:hAnsi="Times New Roman" w:cs="Times New Roman"/>
                      <w:color w:val="auto"/>
                      <w:sz w:val="21"/>
                      <w:szCs w:val="21"/>
                      <w:vertAlign w:val="baseline"/>
                      <w:lang w:val="en-US" w:eastAsia="zh-CN"/>
                    </w:rPr>
                    <w:t>沉淀池（5m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），沉淀后回用于机械冲洗。</w:t>
                  </w:r>
                </w:p>
              </w:tc>
            </w:tr>
            <w:tr w14:paraId="2E6D6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95" w:type="pct"/>
                  <w:vMerge w:val="continue"/>
                  <w:vAlign w:val="center"/>
                </w:tcPr>
                <w:p w14:paraId="7D8D660B">
                  <w:pPr>
                    <w:pStyle w:val="42"/>
                    <w:rPr>
                      <w:rFonts w:hint="default" w:ascii="Times New Roman" w:hAnsi="Times New Roman" w:cs="Times New Roman"/>
                      <w:color w:val="auto"/>
                    </w:rPr>
                  </w:pPr>
                </w:p>
              </w:tc>
              <w:tc>
                <w:tcPr>
                  <w:tcW w:w="654" w:type="pct"/>
                  <w:vAlign w:val="center"/>
                </w:tcPr>
                <w:p w14:paraId="64B73B12">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生活污水</w:t>
                  </w:r>
                </w:p>
              </w:tc>
              <w:tc>
                <w:tcPr>
                  <w:tcW w:w="943" w:type="pct"/>
                  <w:vAlign w:val="center"/>
                </w:tcPr>
                <w:p w14:paraId="725C15EE">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生活污水</w:t>
                  </w:r>
                </w:p>
              </w:tc>
              <w:tc>
                <w:tcPr>
                  <w:tcW w:w="2906" w:type="pct"/>
                  <w:vAlign w:val="center"/>
                </w:tcPr>
                <w:p w14:paraId="68A23EC6">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排入原法果红砖厂既有化粪池，经化粪池处理后，定期使用吸粪车清运</w:t>
                  </w:r>
                  <w:r>
                    <w:rPr>
                      <w:rFonts w:hint="eastAsia" w:cs="Times New Roman"/>
                      <w:color w:val="auto"/>
                      <w:lang w:val="en-US" w:eastAsia="zh-CN"/>
                    </w:rPr>
                    <w:t>至华宁县污水处理厂处理</w:t>
                  </w:r>
                  <w:r>
                    <w:rPr>
                      <w:rFonts w:hint="default" w:ascii="Times New Roman" w:hAnsi="Times New Roman" w:cs="Times New Roman"/>
                      <w:color w:val="auto"/>
                      <w:lang w:val="en-US" w:eastAsia="zh-CN"/>
                    </w:rPr>
                    <w:t>。</w:t>
                  </w:r>
                </w:p>
              </w:tc>
            </w:tr>
            <w:tr w14:paraId="5D1F3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pct"/>
                  <w:vAlign w:val="center"/>
                </w:tcPr>
                <w:p w14:paraId="6D146550">
                  <w:pPr>
                    <w:pStyle w:val="42"/>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噪声</w:t>
                  </w:r>
                </w:p>
              </w:tc>
              <w:tc>
                <w:tcPr>
                  <w:tcW w:w="654" w:type="pct"/>
                  <w:vAlign w:val="center"/>
                </w:tcPr>
                <w:p w14:paraId="576734AB">
                  <w:pPr>
                    <w:pStyle w:val="42"/>
                    <w:rPr>
                      <w:rFonts w:hint="default" w:ascii="Times New Roman" w:hAnsi="Times New Roman" w:cs="Times New Roman"/>
                      <w:color w:val="auto"/>
                    </w:rPr>
                  </w:pPr>
                  <w:r>
                    <w:rPr>
                      <w:rFonts w:hint="default" w:ascii="Times New Roman" w:hAnsi="Times New Roman" w:cs="Times New Roman"/>
                      <w:color w:val="auto"/>
                    </w:rPr>
                    <w:t>施工机械</w:t>
                  </w:r>
                </w:p>
              </w:tc>
              <w:tc>
                <w:tcPr>
                  <w:tcW w:w="943" w:type="pct"/>
                  <w:vAlign w:val="center"/>
                </w:tcPr>
                <w:p w14:paraId="359B3BEF">
                  <w:pPr>
                    <w:pStyle w:val="42"/>
                    <w:rPr>
                      <w:rFonts w:hint="default" w:ascii="Times New Roman" w:hAnsi="Times New Roman" w:cs="Times New Roman"/>
                      <w:color w:val="auto"/>
                    </w:rPr>
                  </w:pPr>
                  <w:r>
                    <w:rPr>
                      <w:rFonts w:hint="default" w:ascii="Times New Roman" w:hAnsi="Times New Roman" w:cs="Times New Roman"/>
                      <w:color w:val="auto"/>
                    </w:rPr>
                    <w:t>噪声</w:t>
                  </w:r>
                </w:p>
              </w:tc>
              <w:tc>
                <w:tcPr>
                  <w:tcW w:w="2906" w:type="pct"/>
                  <w:vAlign w:val="center"/>
                </w:tcPr>
                <w:p w14:paraId="34B9BD09">
                  <w:pPr>
                    <w:pStyle w:val="42"/>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进行</w:t>
                  </w:r>
                  <w:r>
                    <w:rPr>
                      <w:rFonts w:hint="default" w:ascii="Times New Roman" w:hAnsi="Times New Roman" w:cs="Times New Roman"/>
                      <w:color w:val="auto"/>
                    </w:rPr>
                    <w:t>隔声、减振</w:t>
                  </w:r>
                  <w:r>
                    <w:rPr>
                      <w:rFonts w:hint="default" w:ascii="Times New Roman" w:hAnsi="Times New Roman" w:cs="Times New Roman"/>
                      <w:color w:val="auto"/>
                      <w:lang w:val="en-US" w:eastAsia="zh-CN"/>
                    </w:rPr>
                    <w:t>处理</w:t>
                  </w:r>
                  <w:r>
                    <w:rPr>
                      <w:rFonts w:hint="default" w:ascii="Times New Roman" w:hAnsi="Times New Roman" w:cs="Times New Roman"/>
                      <w:color w:val="auto"/>
                    </w:rPr>
                    <w:t>；设置</w:t>
                  </w:r>
                  <w:r>
                    <w:rPr>
                      <w:rFonts w:hint="default" w:ascii="Times New Roman" w:hAnsi="Times New Roman" w:cs="Times New Roman"/>
                      <w:color w:val="auto"/>
                      <w:lang w:val="en-US" w:eastAsia="zh-CN"/>
                    </w:rPr>
                    <w:t>隔声围挡</w:t>
                  </w:r>
                  <w:r>
                    <w:rPr>
                      <w:rFonts w:hint="default" w:ascii="Times New Roman" w:hAnsi="Times New Roman" w:cs="Times New Roman"/>
                      <w:color w:val="auto"/>
                      <w:lang w:eastAsia="zh-CN"/>
                    </w:rPr>
                    <w:t>。</w:t>
                  </w:r>
                </w:p>
              </w:tc>
            </w:tr>
            <w:tr w14:paraId="6AEAD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pct"/>
                  <w:vMerge w:val="restart"/>
                  <w:vAlign w:val="center"/>
                </w:tcPr>
                <w:p w14:paraId="3DFC1783">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固废</w:t>
                  </w:r>
                </w:p>
              </w:tc>
              <w:tc>
                <w:tcPr>
                  <w:tcW w:w="654" w:type="pct"/>
                  <w:vAlign w:val="center"/>
                </w:tcPr>
                <w:p w14:paraId="5555946D">
                  <w:pPr>
                    <w:pStyle w:val="42"/>
                    <w:rPr>
                      <w:rFonts w:hint="default" w:ascii="Times New Roman" w:hAnsi="Times New Roman" w:cs="Times New Roman"/>
                      <w:color w:val="auto"/>
                    </w:rPr>
                  </w:pPr>
                  <w:r>
                    <w:rPr>
                      <w:rFonts w:hint="default" w:ascii="Times New Roman" w:hAnsi="Times New Roman" w:cs="Times New Roman"/>
                      <w:color w:val="auto"/>
                    </w:rPr>
                    <w:t>建筑垃圾</w:t>
                  </w:r>
                </w:p>
              </w:tc>
              <w:tc>
                <w:tcPr>
                  <w:tcW w:w="943" w:type="pct"/>
                  <w:vAlign w:val="center"/>
                </w:tcPr>
                <w:p w14:paraId="33018B11">
                  <w:pPr>
                    <w:pStyle w:val="42"/>
                    <w:rPr>
                      <w:rFonts w:hint="default" w:ascii="Times New Roman" w:hAnsi="Times New Roman" w:cs="Times New Roman"/>
                      <w:color w:val="auto"/>
                    </w:rPr>
                  </w:pPr>
                  <w:r>
                    <w:rPr>
                      <w:rFonts w:hint="default" w:ascii="Times New Roman" w:hAnsi="Times New Roman" w:cs="Times New Roman"/>
                      <w:color w:val="auto"/>
                    </w:rPr>
                    <w:t>钢材、包装物、塑料等</w:t>
                  </w:r>
                </w:p>
              </w:tc>
              <w:tc>
                <w:tcPr>
                  <w:tcW w:w="2906" w:type="pct"/>
                  <w:vAlign w:val="center"/>
                </w:tcPr>
                <w:p w14:paraId="496AF1C0">
                  <w:pPr>
                    <w:pStyle w:val="42"/>
                    <w:rPr>
                      <w:rFonts w:hint="default" w:ascii="Times New Roman" w:hAnsi="Times New Roman" w:cs="Times New Roman"/>
                      <w:color w:val="auto"/>
                      <w:lang w:val="en-US"/>
                    </w:rPr>
                  </w:pPr>
                  <w:r>
                    <w:rPr>
                      <w:rFonts w:hint="default" w:ascii="Times New Roman" w:hAnsi="Times New Roman" w:cs="Times New Roman"/>
                      <w:color w:val="auto"/>
                    </w:rPr>
                    <w:t>分类收集，可回收回收利用，剩余部分</w:t>
                  </w:r>
                  <w:r>
                    <w:rPr>
                      <w:rFonts w:hint="default" w:ascii="Times New Roman" w:hAnsi="Times New Roman" w:cs="Times New Roman"/>
                      <w:color w:val="auto"/>
                      <w:lang w:val="en-US" w:eastAsia="zh-CN"/>
                    </w:rPr>
                    <w:t>清运至市政部门指定地点堆放。</w:t>
                  </w:r>
                </w:p>
              </w:tc>
            </w:tr>
            <w:tr w14:paraId="309DD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pct"/>
                  <w:vMerge w:val="continue"/>
                  <w:vAlign w:val="center"/>
                </w:tcPr>
                <w:p w14:paraId="7B7123D8">
                  <w:pPr>
                    <w:pStyle w:val="42"/>
                    <w:rPr>
                      <w:rFonts w:hint="default" w:ascii="Times New Roman" w:hAnsi="Times New Roman" w:cs="Times New Roman"/>
                      <w:color w:val="auto"/>
                    </w:rPr>
                  </w:pPr>
                </w:p>
              </w:tc>
              <w:tc>
                <w:tcPr>
                  <w:tcW w:w="654" w:type="pct"/>
                  <w:vAlign w:val="center"/>
                </w:tcPr>
                <w:p w14:paraId="720F7FCD">
                  <w:pPr>
                    <w:pStyle w:val="42"/>
                    <w:rPr>
                      <w:rFonts w:hint="default" w:ascii="Times New Roman" w:hAnsi="Times New Roman" w:cs="Times New Roman"/>
                      <w:color w:val="auto"/>
                    </w:rPr>
                  </w:pPr>
                  <w:r>
                    <w:rPr>
                      <w:rFonts w:hint="default" w:ascii="Times New Roman" w:hAnsi="Times New Roman" w:cs="Times New Roman"/>
                      <w:color w:val="auto"/>
                    </w:rPr>
                    <w:t>生活垃圾</w:t>
                  </w:r>
                </w:p>
              </w:tc>
              <w:tc>
                <w:tcPr>
                  <w:tcW w:w="943" w:type="pct"/>
                  <w:vAlign w:val="center"/>
                </w:tcPr>
                <w:p w14:paraId="06B7673D">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rPr>
                    <w:t>纸张、果皮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塑料、厨余垃圾</w:t>
                  </w:r>
                </w:p>
              </w:tc>
              <w:tc>
                <w:tcPr>
                  <w:tcW w:w="2906" w:type="pct"/>
                  <w:vAlign w:val="center"/>
                </w:tcPr>
                <w:p w14:paraId="41EE0D63">
                  <w:pPr>
                    <w:pStyle w:val="42"/>
                    <w:rPr>
                      <w:rFonts w:hint="default" w:ascii="Times New Roman" w:hAnsi="Times New Roman" w:cs="Times New Roman"/>
                      <w:color w:val="auto"/>
                      <w:lang w:val="en-US"/>
                    </w:rPr>
                  </w:pPr>
                  <w:r>
                    <w:rPr>
                      <w:rFonts w:hint="default" w:ascii="Times New Roman" w:hAnsi="Times New Roman" w:cs="Times New Roman"/>
                      <w:color w:val="auto"/>
                    </w:rPr>
                    <w:t>垃圾桶收集</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运送至</w:t>
                  </w:r>
                  <w:r>
                    <w:rPr>
                      <w:rFonts w:hint="eastAsia" w:cs="Times New Roman"/>
                      <w:color w:val="auto"/>
                      <w:lang w:val="en-US" w:eastAsia="zh-CN"/>
                    </w:rPr>
                    <w:t>法果村</w:t>
                  </w:r>
                  <w:r>
                    <w:rPr>
                      <w:rFonts w:hint="default" w:ascii="Times New Roman" w:hAnsi="Times New Roman" w:cs="Times New Roman"/>
                      <w:color w:val="auto"/>
                      <w:lang w:val="en-US" w:eastAsia="zh-CN"/>
                    </w:rPr>
                    <w:t>生活垃圾处置点处置。</w:t>
                  </w:r>
                </w:p>
              </w:tc>
            </w:tr>
          </w:tbl>
          <w:p w14:paraId="00C6FCC6">
            <w:pPr>
              <w:keepNext w:val="0"/>
              <w:keepLines w:val="0"/>
              <w:widowControl/>
              <w:numPr>
                <w:ilvl w:val="0"/>
                <w:numId w:val="0"/>
              </w:numPr>
              <w:suppressLineNumbers w:val="0"/>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（2）运营期</w:t>
            </w:r>
          </w:p>
          <w:p w14:paraId="08FBC473">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①废气：</w:t>
            </w:r>
            <w:r>
              <w:rPr>
                <w:rFonts w:hint="default" w:ascii="Times New Roman" w:hAnsi="Times New Roman" w:cs="Times New Roman"/>
                <w:color w:val="auto"/>
                <w:kern w:val="0"/>
                <w:sz w:val="24"/>
                <w:szCs w:val="24"/>
                <w:lang w:val="en-US" w:eastAsia="zh-CN" w:bidi="ar"/>
              </w:rPr>
              <w:t>运营</w:t>
            </w:r>
            <w:r>
              <w:rPr>
                <w:rFonts w:hint="default" w:ascii="Times New Roman" w:hAnsi="Times New Roman" w:eastAsia="宋体" w:cs="Times New Roman"/>
                <w:color w:val="auto"/>
                <w:kern w:val="0"/>
                <w:sz w:val="24"/>
                <w:szCs w:val="24"/>
                <w:lang w:val="en-US" w:eastAsia="zh-CN" w:bidi="ar"/>
              </w:rPr>
              <w:t>期废气主要包括</w:t>
            </w:r>
            <w:r>
              <w:rPr>
                <w:rFonts w:hint="default" w:ascii="Times New Roman" w:hAnsi="Times New Roman" w:cs="Times New Roman"/>
                <w:color w:val="auto"/>
                <w:kern w:val="0"/>
                <w:sz w:val="24"/>
                <w:szCs w:val="24"/>
                <w:lang w:val="en-US" w:eastAsia="zh-CN" w:bidi="ar"/>
              </w:rPr>
              <w:t>原料装卸</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堆存产生的粉尘、物料运输粉尘、成品装卸、堆存粉尘、食堂油烟</w:t>
            </w:r>
            <w:r>
              <w:rPr>
                <w:rFonts w:hint="default" w:ascii="Times New Roman" w:hAnsi="Times New Roman" w:eastAsia="宋体" w:cs="Times New Roman"/>
                <w:color w:val="auto"/>
                <w:kern w:val="0"/>
                <w:sz w:val="24"/>
                <w:szCs w:val="24"/>
                <w:lang w:val="en-US" w:eastAsia="zh-CN" w:bidi="ar"/>
              </w:rPr>
              <w:t>及运输车辆排放尾气。</w:t>
            </w:r>
          </w:p>
          <w:p w14:paraId="58169255">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②废水：生活污水</w:t>
            </w:r>
            <w:r>
              <w:rPr>
                <w:rFonts w:hint="default" w:ascii="Times New Roman" w:hAnsi="Times New Roman" w:cs="Times New Roman"/>
                <w:color w:val="auto"/>
                <w:kern w:val="0"/>
                <w:sz w:val="24"/>
                <w:szCs w:val="24"/>
                <w:lang w:val="en-US" w:eastAsia="zh-CN" w:bidi="ar"/>
              </w:rPr>
              <w:t>、生产</w:t>
            </w:r>
            <w:r>
              <w:rPr>
                <w:rFonts w:hint="default" w:ascii="Times New Roman" w:hAnsi="Times New Roman" w:eastAsia="宋体" w:cs="Times New Roman"/>
                <w:color w:val="auto"/>
                <w:kern w:val="0"/>
                <w:sz w:val="24"/>
                <w:szCs w:val="24"/>
                <w:lang w:val="en-US" w:eastAsia="zh-CN" w:bidi="ar"/>
              </w:rPr>
              <w:t>废水</w:t>
            </w:r>
            <w:r>
              <w:rPr>
                <w:rFonts w:hint="eastAsia" w:cs="Times New Roman"/>
                <w:b w:val="0"/>
                <w:bCs w:val="0"/>
                <w:color w:val="auto"/>
                <w:sz w:val="24"/>
                <w:szCs w:val="24"/>
                <w:vertAlign w:val="baseline"/>
                <w:lang w:val="en-US" w:eastAsia="zh-CN"/>
              </w:rPr>
              <w:t>（洗砂废水、压滤废水）</w:t>
            </w:r>
            <w:r>
              <w:rPr>
                <w:rFonts w:hint="default" w:ascii="Times New Roman" w:hAnsi="Times New Roman" w:eastAsia="宋体" w:cs="Times New Roman"/>
                <w:color w:val="auto"/>
                <w:kern w:val="0"/>
                <w:sz w:val="24"/>
                <w:szCs w:val="24"/>
                <w:lang w:val="en-US" w:eastAsia="zh-CN" w:bidi="ar"/>
              </w:rPr>
              <w:t>。</w:t>
            </w:r>
          </w:p>
          <w:p w14:paraId="641477A6">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③固废：主要包括生活垃圾</w:t>
            </w:r>
            <w:r>
              <w:rPr>
                <w:rFonts w:hint="eastAsia" w:cs="Times New Roman"/>
                <w:color w:val="auto"/>
                <w:kern w:val="0"/>
                <w:sz w:val="24"/>
                <w:szCs w:val="24"/>
                <w:lang w:val="en-US" w:eastAsia="zh-CN" w:bidi="ar"/>
              </w:rPr>
              <w:t>、洗砂底泥、</w:t>
            </w:r>
            <w:r>
              <w:rPr>
                <w:rFonts w:hint="default" w:ascii="Times New Roman" w:hAnsi="Times New Roman" w:cs="Times New Roman"/>
                <w:color w:val="auto"/>
                <w:kern w:val="0"/>
                <w:sz w:val="24"/>
                <w:szCs w:val="24"/>
                <w:lang w:val="en-US" w:eastAsia="zh-CN" w:bidi="ar"/>
              </w:rPr>
              <w:t>沉淀池</w:t>
            </w:r>
            <w:r>
              <w:rPr>
                <w:rFonts w:hint="eastAsia" w:cs="Times New Roman"/>
                <w:color w:val="auto"/>
                <w:kern w:val="0"/>
                <w:sz w:val="24"/>
                <w:szCs w:val="24"/>
                <w:lang w:val="en-US" w:eastAsia="zh-CN" w:bidi="ar"/>
              </w:rPr>
              <w:t>底</w:t>
            </w:r>
            <w:r>
              <w:rPr>
                <w:rFonts w:hint="default" w:ascii="Times New Roman" w:hAnsi="Times New Roman" w:cs="Times New Roman"/>
                <w:color w:val="auto"/>
                <w:kern w:val="0"/>
                <w:sz w:val="24"/>
                <w:szCs w:val="24"/>
                <w:lang w:val="en-US" w:eastAsia="zh-CN" w:bidi="ar"/>
              </w:rPr>
              <w:t>泥</w:t>
            </w:r>
            <w:r>
              <w:rPr>
                <w:rFonts w:hint="eastAsia" w:cs="Times New Roman"/>
                <w:color w:val="auto"/>
                <w:kern w:val="0"/>
                <w:sz w:val="24"/>
                <w:szCs w:val="24"/>
                <w:lang w:val="en-US" w:eastAsia="zh-CN" w:bidi="ar"/>
              </w:rPr>
              <w:t>、化粪池污泥和危险废物</w:t>
            </w:r>
            <w:r>
              <w:rPr>
                <w:rFonts w:hint="default" w:ascii="Times New Roman" w:hAnsi="Times New Roman" w:eastAsia="宋体" w:cs="Times New Roman"/>
                <w:color w:val="auto"/>
                <w:kern w:val="0"/>
                <w:sz w:val="24"/>
                <w:szCs w:val="24"/>
                <w:lang w:val="en-US" w:eastAsia="zh-CN" w:bidi="ar"/>
              </w:rPr>
              <w:t>。</w:t>
            </w:r>
          </w:p>
          <w:p w14:paraId="32F77132">
            <w:pPr>
              <w:pStyle w:val="37"/>
              <w:ind w:firstLine="480" w:firstLineChars="200"/>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color w:val="auto"/>
                <w:kern w:val="0"/>
                <w:sz w:val="24"/>
                <w:szCs w:val="24"/>
                <w:lang w:val="en-US" w:eastAsia="zh-CN" w:bidi="ar"/>
              </w:rPr>
              <w:t>④噪声：来自于运输设备车辆、施工机械运转。</w:t>
            </w:r>
            <w:r>
              <w:rPr>
                <w:rFonts w:hint="default" w:ascii="Times New Roman" w:hAnsi="Times New Roman" w:cs="Times New Roman"/>
                <w:b w:val="0"/>
                <w:bCs/>
                <w:color w:val="auto"/>
                <w:sz w:val="24"/>
                <w:szCs w:val="24"/>
                <w:lang w:val="en-US" w:eastAsia="zh-CN"/>
              </w:rPr>
              <w:t>本项目运营期污染物治理措施见下表。</w:t>
            </w:r>
          </w:p>
          <w:p w14:paraId="678D0489">
            <w:pPr>
              <w:keepNext w:val="0"/>
              <w:keepLines w:val="0"/>
              <w:widowControl/>
              <w:suppressLineNumbers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lang w:val="en-US" w:eastAsia="zh-CN"/>
              </w:rPr>
              <w:t>项目运营期产污节点图</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334"/>
              <w:gridCol w:w="1138"/>
              <w:gridCol w:w="5561"/>
            </w:tblGrid>
            <w:tr w14:paraId="511C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2A752C8F">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类别</w:t>
                  </w:r>
                </w:p>
              </w:tc>
              <w:tc>
                <w:tcPr>
                  <w:tcW w:w="733" w:type="pct"/>
                  <w:vAlign w:val="center"/>
                </w:tcPr>
                <w:p w14:paraId="799762B4">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污染工序</w:t>
                  </w:r>
                </w:p>
              </w:tc>
              <w:tc>
                <w:tcPr>
                  <w:tcW w:w="625" w:type="pct"/>
                  <w:vAlign w:val="center"/>
                </w:tcPr>
                <w:p w14:paraId="31F886D9">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污染指标</w:t>
                  </w:r>
                </w:p>
              </w:tc>
              <w:tc>
                <w:tcPr>
                  <w:tcW w:w="3055" w:type="pct"/>
                  <w:vAlign w:val="center"/>
                </w:tcPr>
                <w:p w14:paraId="72B27701">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防治措施</w:t>
                  </w:r>
                </w:p>
              </w:tc>
            </w:tr>
            <w:tr w14:paraId="4070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restart"/>
                  <w:vAlign w:val="center"/>
                </w:tcPr>
                <w:p w14:paraId="75EFE979">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w:t>
                  </w:r>
                </w:p>
              </w:tc>
              <w:tc>
                <w:tcPr>
                  <w:tcW w:w="733" w:type="pct"/>
                  <w:vAlign w:val="center"/>
                </w:tcPr>
                <w:p w14:paraId="6DAA4541">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原料装卸、堆存</w:t>
                  </w:r>
                </w:p>
              </w:tc>
              <w:tc>
                <w:tcPr>
                  <w:tcW w:w="625" w:type="pct"/>
                  <w:vAlign w:val="center"/>
                </w:tcPr>
                <w:p w14:paraId="3028DB54">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颗粒物</w:t>
                  </w:r>
                </w:p>
              </w:tc>
              <w:tc>
                <w:tcPr>
                  <w:tcW w:w="3055" w:type="pct"/>
                  <w:vAlign w:val="center"/>
                </w:tcPr>
                <w:p w14:paraId="11F2C36E">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搭建彩钢瓦大棚，三面围挡，并洒水降尘。</w:t>
                  </w:r>
                </w:p>
              </w:tc>
            </w:tr>
            <w:tr w14:paraId="63CA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40E6BFA5">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428959AE">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成品装卸堆存</w:t>
                  </w:r>
                </w:p>
              </w:tc>
              <w:tc>
                <w:tcPr>
                  <w:tcW w:w="625" w:type="pct"/>
                  <w:vAlign w:val="center"/>
                </w:tcPr>
                <w:p w14:paraId="0EBED47E">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颗粒物</w:t>
                  </w:r>
                </w:p>
              </w:tc>
              <w:tc>
                <w:tcPr>
                  <w:tcW w:w="3055" w:type="pct"/>
                  <w:vAlign w:val="center"/>
                </w:tcPr>
                <w:p w14:paraId="3BF0AD29">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搭建彩钢瓦大棚，三面围挡，并洒水降尘。</w:t>
                  </w:r>
                </w:p>
              </w:tc>
            </w:tr>
            <w:tr w14:paraId="36BE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1E5241E9">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7EB8E27C">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物料运输</w:t>
                  </w:r>
                </w:p>
              </w:tc>
              <w:tc>
                <w:tcPr>
                  <w:tcW w:w="625" w:type="pct"/>
                  <w:vAlign w:val="center"/>
                </w:tcPr>
                <w:p w14:paraId="3CFA58AC">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颗粒物</w:t>
                  </w:r>
                </w:p>
              </w:tc>
              <w:tc>
                <w:tcPr>
                  <w:tcW w:w="3055" w:type="pct"/>
                  <w:vAlign w:val="center"/>
                </w:tcPr>
                <w:p w14:paraId="4E9D796E">
                  <w:pPr>
                    <w:pStyle w:val="4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rPr>
                    <w:t>运输车辆加盖苫布、控制车速、道路洒水抑尘</w:t>
                  </w:r>
                  <w:r>
                    <w:rPr>
                      <w:rFonts w:hint="default" w:ascii="Times New Roman" w:hAnsi="Times New Roman" w:cs="Times New Roman"/>
                      <w:b w:val="0"/>
                      <w:bCs w:val="0"/>
                      <w:color w:val="auto"/>
                      <w:kern w:val="0"/>
                      <w:sz w:val="21"/>
                      <w:szCs w:val="21"/>
                      <w:lang w:eastAsia="zh-CN"/>
                    </w:rPr>
                    <w:t>。</w:t>
                  </w:r>
                </w:p>
              </w:tc>
            </w:tr>
            <w:tr w14:paraId="62E2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1469B489">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07D0F453">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食堂油烟</w:t>
                  </w:r>
                </w:p>
              </w:tc>
              <w:tc>
                <w:tcPr>
                  <w:tcW w:w="625" w:type="pct"/>
                  <w:vAlign w:val="center"/>
                </w:tcPr>
                <w:p w14:paraId="35860DB5">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油烟</w:t>
                  </w:r>
                </w:p>
              </w:tc>
              <w:tc>
                <w:tcPr>
                  <w:tcW w:w="3055" w:type="pct"/>
                  <w:vAlign w:val="center"/>
                </w:tcPr>
                <w:p w14:paraId="6B7757E4">
                  <w:pPr>
                    <w:pStyle w:val="42"/>
                    <w:spacing w:line="240" w:lineRule="auto"/>
                    <w:ind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油烟净化装置处理后排放。</w:t>
                  </w:r>
                </w:p>
              </w:tc>
            </w:tr>
            <w:tr w14:paraId="3A92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055145C1">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5E877C82">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燃油废气</w:t>
                  </w:r>
                </w:p>
              </w:tc>
              <w:tc>
                <w:tcPr>
                  <w:tcW w:w="625" w:type="pct"/>
                  <w:vAlign w:val="center"/>
                </w:tcPr>
                <w:p w14:paraId="0F3C8C57">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尾气</w:t>
                  </w:r>
                </w:p>
              </w:tc>
              <w:tc>
                <w:tcPr>
                  <w:tcW w:w="3055" w:type="pct"/>
                  <w:vAlign w:val="center"/>
                </w:tcPr>
                <w:p w14:paraId="28EB55D7">
                  <w:pPr>
                    <w:pStyle w:val="42"/>
                    <w:spacing w:line="240" w:lineRule="auto"/>
                    <w:ind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车辆、设备定期维护，使用高质量燃油。</w:t>
                  </w:r>
                </w:p>
              </w:tc>
            </w:tr>
            <w:tr w14:paraId="5205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2EC08A80">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噪声</w:t>
                  </w:r>
                </w:p>
              </w:tc>
              <w:tc>
                <w:tcPr>
                  <w:tcW w:w="733" w:type="pct"/>
                  <w:vAlign w:val="center"/>
                </w:tcPr>
                <w:p w14:paraId="5EB59A8E">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设备运行</w:t>
                  </w:r>
                </w:p>
              </w:tc>
              <w:tc>
                <w:tcPr>
                  <w:tcW w:w="625" w:type="pct"/>
                  <w:vAlign w:val="center"/>
                </w:tcPr>
                <w:p w14:paraId="75EED755">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噪声</w:t>
                  </w:r>
                </w:p>
              </w:tc>
              <w:tc>
                <w:tcPr>
                  <w:tcW w:w="3055" w:type="pct"/>
                  <w:vAlign w:val="center"/>
                </w:tcPr>
                <w:p w14:paraId="5284C8B8">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选用低噪设备</w:t>
                  </w:r>
                  <w:r>
                    <w:rPr>
                      <w:rFonts w:hint="default" w:ascii="Times New Roman" w:hAnsi="Times New Roman" w:cs="Times New Roman"/>
                      <w:color w:val="auto"/>
                      <w:sz w:val="21"/>
                      <w:szCs w:val="21"/>
                    </w:rPr>
                    <w:t>；破碎机、</w:t>
                  </w:r>
                  <w:r>
                    <w:rPr>
                      <w:rFonts w:hint="default" w:ascii="Times New Roman" w:hAnsi="Times New Roman" w:cs="Times New Roman"/>
                      <w:color w:val="auto"/>
                      <w:sz w:val="21"/>
                      <w:szCs w:val="21"/>
                      <w:lang w:val="en-US" w:eastAsia="zh-CN"/>
                    </w:rPr>
                    <w:t>筛分</w:t>
                  </w:r>
                  <w:r>
                    <w:rPr>
                      <w:rFonts w:hint="default" w:ascii="Times New Roman" w:hAnsi="Times New Roman" w:cs="Times New Roman"/>
                      <w:color w:val="auto"/>
                      <w:sz w:val="21"/>
                      <w:szCs w:val="21"/>
                    </w:rPr>
                    <w:t>机</w:t>
                  </w:r>
                  <w:r>
                    <w:rPr>
                      <w:rFonts w:hint="default" w:ascii="Times New Roman" w:hAnsi="Times New Roman" w:cs="Times New Roman"/>
                      <w:color w:val="auto"/>
                      <w:sz w:val="21"/>
                      <w:szCs w:val="21"/>
                      <w:lang w:val="en-US" w:eastAsia="zh-CN"/>
                    </w:rPr>
                    <w:t>定期维护，安装减震垫片；</w:t>
                  </w:r>
                </w:p>
              </w:tc>
            </w:tr>
            <w:tr w14:paraId="327C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restart"/>
                  <w:vAlign w:val="center"/>
                </w:tcPr>
                <w:p w14:paraId="0E264C92">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固废</w:t>
                  </w:r>
                </w:p>
              </w:tc>
              <w:tc>
                <w:tcPr>
                  <w:tcW w:w="733" w:type="pct"/>
                  <w:vAlign w:val="center"/>
                </w:tcPr>
                <w:p w14:paraId="7E23A6EA">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生活垃圾</w:t>
                  </w:r>
                </w:p>
              </w:tc>
              <w:tc>
                <w:tcPr>
                  <w:tcW w:w="625" w:type="pct"/>
                  <w:vAlign w:val="center"/>
                </w:tcPr>
                <w:p w14:paraId="3168E5EC">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纸张、果皮</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塑料、厨余垃圾</w:t>
                  </w:r>
                </w:p>
              </w:tc>
              <w:tc>
                <w:tcPr>
                  <w:tcW w:w="3055" w:type="pct"/>
                  <w:vAlign w:val="center"/>
                </w:tcPr>
                <w:p w14:paraId="61A3932B">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垃圾桶收集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运送至</w:t>
                  </w:r>
                  <w:r>
                    <w:rPr>
                      <w:rFonts w:hint="eastAsia" w:cs="Times New Roman"/>
                      <w:color w:val="auto"/>
                      <w:sz w:val="21"/>
                      <w:szCs w:val="21"/>
                      <w:lang w:val="en-US" w:eastAsia="zh-CN"/>
                    </w:rPr>
                    <w:t>法果村</w:t>
                  </w:r>
                  <w:r>
                    <w:rPr>
                      <w:rFonts w:hint="default" w:ascii="Times New Roman" w:hAnsi="Times New Roman" w:cs="Times New Roman"/>
                      <w:color w:val="auto"/>
                      <w:sz w:val="21"/>
                      <w:szCs w:val="21"/>
                      <w:lang w:val="en-US" w:eastAsia="zh-CN"/>
                    </w:rPr>
                    <w:t>生活垃圾处置点处置。</w:t>
                  </w:r>
                </w:p>
              </w:tc>
            </w:tr>
            <w:tr w14:paraId="6A3D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3F63BD20">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5F0F4E5B">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洗砂底泥</w:t>
                  </w:r>
                </w:p>
              </w:tc>
              <w:tc>
                <w:tcPr>
                  <w:tcW w:w="625" w:type="pct"/>
                  <w:vAlign w:val="center"/>
                </w:tcPr>
                <w:p w14:paraId="3CF2A3C6">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泥土</w:t>
                  </w:r>
                </w:p>
              </w:tc>
              <w:tc>
                <w:tcPr>
                  <w:tcW w:w="3055" w:type="pct"/>
                  <w:vMerge w:val="restart"/>
                  <w:vAlign w:val="center"/>
                </w:tcPr>
                <w:p w14:paraId="1B8C8B1A">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通过压滤机压滤后（含水率≤40%），外运至砖厂制砖；对砖厂消纳不完及在砖厂停产期间产生的泥饼，泥饼运至珠峰采石场用于露天采空区土地复垦。</w:t>
                  </w:r>
                </w:p>
              </w:tc>
            </w:tr>
            <w:tr w14:paraId="6CBE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31B0FEB8">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3752C696">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沉淀池底泥</w:t>
                  </w:r>
                </w:p>
              </w:tc>
              <w:tc>
                <w:tcPr>
                  <w:tcW w:w="625" w:type="pct"/>
                  <w:vAlign w:val="center"/>
                </w:tcPr>
                <w:p w14:paraId="710933BA">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泥土</w:t>
                  </w:r>
                </w:p>
              </w:tc>
              <w:tc>
                <w:tcPr>
                  <w:tcW w:w="3055" w:type="pct"/>
                  <w:vMerge w:val="continue"/>
                  <w:vAlign w:val="center"/>
                </w:tcPr>
                <w:p w14:paraId="10DA1CCA">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r>
            <w:tr w14:paraId="653D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1C54E442">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7359D0BA">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化粪池污泥</w:t>
                  </w:r>
                </w:p>
              </w:tc>
              <w:tc>
                <w:tcPr>
                  <w:tcW w:w="625" w:type="pct"/>
                  <w:vAlign w:val="center"/>
                </w:tcPr>
                <w:p w14:paraId="18F763DF">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污泥</w:t>
                  </w:r>
                </w:p>
              </w:tc>
              <w:tc>
                <w:tcPr>
                  <w:tcW w:w="3055" w:type="pct"/>
                  <w:vAlign w:val="center"/>
                </w:tcPr>
                <w:p w14:paraId="0CEE8B22">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定委托当地环卫部门定期清掏。</w:t>
                  </w:r>
                </w:p>
              </w:tc>
            </w:tr>
            <w:tr w14:paraId="6F4E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1B4860A0">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56F79E13">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危险废物</w:t>
                  </w:r>
                </w:p>
              </w:tc>
              <w:tc>
                <w:tcPr>
                  <w:tcW w:w="625" w:type="pct"/>
                  <w:vAlign w:val="center"/>
                </w:tcPr>
                <w:p w14:paraId="7A0BF717">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废润滑油</w:t>
                  </w:r>
                  <w:r>
                    <w:rPr>
                      <w:rFonts w:hint="eastAsia" w:cs="Times New Roman"/>
                      <w:b w:val="0"/>
                      <w:bCs w:val="0"/>
                      <w:color w:val="auto"/>
                      <w:sz w:val="21"/>
                      <w:szCs w:val="21"/>
                      <w:vertAlign w:val="baseline"/>
                      <w:lang w:val="en-US" w:eastAsia="zh-CN"/>
                    </w:rPr>
                    <w:t>、废润滑油桶</w:t>
                  </w:r>
                </w:p>
              </w:tc>
              <w:tc>
                <w:tcPr>
                  <w:tcW w:w="3055" w:type="pct"/>
                  <w:vAlign w:val="center"/>
                </w:tcPr>
                <w:p w14:paraId="1E786D76">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设置危废暂存间（5m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废润滑油</w:t>
                  </w:r>
                  <w:r>
                    <w:rPr>
                      <w:rFonts w:hint="default" w:ascii="Times New Roman" w:hAnsi="Times New Roman" w:cs="Times New Roman"/>
                      <w:b w:val="0"/>
                      <w:bCs w:val="0"/>
                      <w:color w:val="auto"/>
                      <w:sz w:val="21"/>
                      <w:szCs w:val="21"/>
                      <w:vertAlign w:val="baseline"/>
                      <w:lang w:val="en-US" w:eastAsia="zh-CN"/>
                    </w:rPr>
                    <w:t>用桶收集，存放于危废暂存间，委托有资质的单位定期处置。</w:t>
                  </w:r>
                </w:p>
              </w:tc>
            </w:tr>
            <w:tr w14:paraId="334E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restart"/>
                  <w:vAlign w:val="center"/>
                </w:tcPr>
                <w:p w14:paraId="76154EB5">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废水</w:t>
                  </w:r>
                </w:p>
              </w:tc>
              <w:tc>
                <w:tcPr>
                  <w:tcW w:w="733" w:type="pct"/>
                  <w:vAlign w:val="center"/>
                </w:tcPr>
                <w:p w14:paraId="72C6265D">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生活污水</w:t>
                  </w:r>
                </w:p>
              </w:tc>
              <w:tc>
                <w:tcPr>
                  <w:tcW w:w="625" w:type="pct"/>
                  <w:vAlign w:val="center"/>
                </w:tcPr>
                <w:p w14:paraId="3D0B2C47">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CODcr、BOD</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、TN、TP</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动植物油</w:t>
                  </w:r>
                </w:p>
              </w:tc>
              <w:tc>
                <w:tcPr>
                  <w:tcW w:w="3055" w:type="pct"/>
                  <w:vAlign w:val="center"/>
                </w:tcPr>
                <w:p w14:paraId="0E0A363B">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新建一个</w:t>
                  </w:r>
                  <w:r>
                    <w:rPr>
                      <w:rFonts w:hint="default" w:ascii="Times New Roman" w:hAnsi="Times New Roman" w:cs="Times New Roman"/>
                      <w:color w:val="auto"/>
                      <w:sz w:val="21"/>
                      <w:szCs w:val="21"/>
                    </w:rPr>
                    <w:t>隔油池</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食堂废水排入隔油池将浮油隔离开来，然后排入</w:t>
                  </w:r>
                  <w:r>
                    <w:rPr>
                      <w:rFonts w:hint="default" w:ascii="Times New Roman" w:hAnsi="Times New Roman" w:cs="Times New Roman"/>
                      <w:color w:val="auto"/>
                      <w:sz w:val="21"/>
                      <w:szCs w:val="21"/>
                    </w:rPr>
                    <w:t>化粪池</w:t>
                  </w:r>
                  <w:r>
                    <w:rPr>
                      <w:rFonts w:hint="default" w:ascii="Times New Roman" w:hAnsi="Times New Roman" w:cs="Times New Roman"/>
                      <w:color w:val="auto"/>
                      <w:sz w:val="21"/>
                      <w:szCs w:val="21"/>
                      <w:lang w:val="en-US" w:eastAsia="zh-CN"/>
                    </w:rPr>
                    <w:t>中，其他生活污水直接排入原法果红砖厂化粪池中（3.0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），经化粪池处理后，</w:t>
                  </w:r>
                  <w:r>
                    <w:rPr>
                      <w:rFonts w:hint="default" w:ascii="Times New Roman" w:hAnsi="Times New Roman" w:cs="Times New Roman"/>
                      <w:color w:val="auto"/>
                      <w:lang w:val="en-US" w:eastAsia="zh-CN"/>
                    </w:rPr>
                    <w:t>定期使用吸粪车清运</w:t>
                  </w:r>
                  <w:r>
                    <w:rPr>
                      <w:rFonts w:hint="eastAsia" w:cs="Times New Roman"/>
                      <w:color w:val="auto"/>
                      <w:lang w:val="en-US" w:eastAsia="zh-CN"/>
                    </w:rPr>
                    <w:t>至华宁县污水处理厂处理</w:t>
                  </w:r>
                  <w:r>
                    <w:rPr>
                      <w:rFonts w:hint="default" w:ascii="Times New Roman" w:hAnsi="Times New Roman" w:cs="Times New Roman"/>
                      <w:color w:val="auto"/>
                      <w:lang w:val="en-US" w:eastAsia="zh-CN"/>
                    </w:rPr>
                    <w:t>。</w:t>
                  </w:r>
                </w:p>
              </w:tc>
            </w:tr>
            <w:tr w14:paraId="6810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1E916460">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67932065">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生产废水</w:t>
                  </w:r>
                  <w:r>
                    <w:rPr>
                      <w:rFonts w:hint="eastAsia" w:cs="Times New Roman"/>
                      <w:b w:val="0"/>
                      <w:bCs w:val="0"/>
                      <w:color w:val="auto"/>
                      <w:sz w:val="21"/>
                      <w:szCs w:val="21"/>
                      <w:vertAlign w:val="baseline"/>
                      <w:lang w:val="en-US" w:eastAsia="zh-CN"/>
                    </w:rPr>
                    <w:t>（洗砂废水、压滤废水）</w:t>
                  </w:r>
                </w:p>
              </w:tc>
              <w:tc>
                <w:tcPr>
                  <w:tcW w:w="625" w:type="pct"/>
                  <w:vAlign w:val="center"/>
                </w:tcPr>
                <w:p w14:paraId="393077BB">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SS</w:t>
                  </w:r>
                </w:p>
              </w:tc>
              <w:tc>
                <w:tcPr>
                  <w:tcW w:w="3055" w:type="pct"/>
                  <w:vAlign w:val="center"/>
                </w:tcPr>
                <w:p w14:paraId="0B52BE0E">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通过管道进入沉淀池（120m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），沉淀后上清液进入清水循环池（240m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），回用于洗砂和厂区洒水降尘。</w:t>
                  </w:r>
                </w:p>
              </w:tc>
            </w:tr>
            <w:tr w14:paraId="4DBD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0A9AD0CA">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65F97962">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降尘</w:t>
                  </w:r>
                  <w:r>
                    <w:rPr>
                      <w:rFonts w:hint="eastAsia" w:ascii="Times New Roman" w:hAnsi="Times New Roman" w:cs="Times New Roman"/>
                      <w:b w:val="0"/>
                      <w:bCs w:val="0"/>
                      <w:color w:val="auto"/>
                      <w:sz w:val="21"/>
                      <w:szCs w:val="21"/>
                      <w:vertAlign w:val="baseline"/>
                      <w:lang w:val="en-US" w:eastAsia="zh-CN"/>
                    </w:rPr>
                    <w:t>用水</w:t>
                  </w:r>
                </w:p>
              </w:tc>
              <w:tc>
                <w:tcPr>
                  <w:tcW w:w="625" w:type="pct"/>
                  <w:vAlign w:val="center"/>
                </w:tcPr>
                <w:p w14:paraId="67008AD7">
                  <w:pPr>
                    <w:pStyle w:val="42"/>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SS</w:t>
                  </w:r>
                </w:p>
              </w:tc>
              <w:tc>
                <w:tcPr>
                  <w:tcW w:w="3055" w:type="pct"/>
                  <w:vAlign w:val="center"/>
                </w:tcPr>
                <w:p w14:paraId="4DE64D81">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自然蒸发，不外排。</w:t>
                  </w:r>
                </w:p>
              </w:tc>
            </w:tr>
            <w:tr w14:paraId="2A89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1DDBE3FB">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733" w:type="pct"/>
                  <w:vAlign w:val="center"/>
                </w:tcPr>
                <w:p w14:paraId="4BEF9CF4">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洗车废水</w:t>
                  </w:r>
                </w:p>
              </w:tc>
              <w:tc>
                <w:tcPr>
                  <w:tcW w:w="625" w:type="pct"/>
                  <w:vAlign w:val="center"/>
                </w:tcPr>
                <w:p w14:paraId="43ACF0F1">
                  <w:pPr>
                    <w:pStyle w:val="42"/>
                    <w:numPr>
                      <w:ilvl w:val="0"/>
                      <w:numId w:val="0"/>
                    </w:numPr>
                    <w:spacing w:line="240" w:lineRule="auto"/>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SS</w:t>
                  </w:r>
                </w:p>
              </w:tc>
              <w:tc>
                <w:tcPr>
                  <w:tcW w:w="3055" w:type="pct"/>
                  <w:vAlign w:val="center"/>
                </w:tcPr>
                <w:p w14:paraId="04F48959">
                  <w:pPr>
                    <w:pStyle w:val="42"/>
                    <w:numPr>
                      <w:ilvl w:val="0"/>
                      <w:numId w:val="0"/>
                    </w:numPr>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在车辆冲洗区域设置一个沉淀池（</w:t>
                  </w:r>
                  <w:r>
                    <w:rPr>
                      <w:rFonts w:hint="eastAsia" w:cs="Times New Roman"/>
                      <w:color w:val="auto"/>
                      <w:sz w:val="21"/>
                      <w:szCs w:val="21"/>
                      <w:vertAlign w:val="baseline"/>
                      <w:lang w:val="en-US" w:eastAsia="zh-CN"/>
                    </w:rPr>
                    <w:t>5</w:t>
                  </w: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），冲洗废水经沉淀后回用于车辆冲洗。</w:t>
                  </w:r>
                </w:p>
              </w:tc>
            </w:tr>
          </w:tbl>
          <w:p w14:paraId="7009C999">
            <w:pPr>
              <w:pStyle w:val="42"/>
              <w:numPr>
                <w:ilvl w:val="0"/>
                <w:numId w:val="0"/>
              </w:numPr>
              <w:spacing w:line="360" w:lineRule="auto"/>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3物料平衡</w:t>
            </w:r>
          </w:p>
          <w:p w14:paraId="6C7E0524">
            <w:pPr>
              <w:pStyle w:val="42"/>
              <w:numPr>
                <w:ilvl w:val="0"/>
                <w:numId w:val="0"/>
              </w:numPr>
              <w:spacing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本项目物料平衡见表2-</w:t>
            </w:r>
            <w:r>
              <w:rPr>
                <w:rFonts w:hint="eastAsia" w:ascii="Times New Roman" w:hAnsi="Times New Roman" w:cs="Times New Roman"/>
                <w:b w:val="0"/>
                <w:bCs w:val="0"/>
                <w:color w:val="auto"/>
                <w:sz w:val="24"/>
                <w:szCs w:val="24"/>
                <w:lang w:val="en-US" w:eastAsia="zh-CN"/>
              </w:rPr>
              <w:t>10</w:t>
            </w:r>
            <w:r>
              <w:rPr>
                <w:rFonts w:hint="default" w:ascii="Times New Roman" w:hAnsi="Times New Roman" w:cs="Times New Roman"/>
                <w:b w:val="0"/>
                <w:bCs w:val="0"/>
                <w:color w:val="auto"/>
                <w:sz w:val="24"/>
                <w:szCs w:val="24"/>
                <w:lang w:val="en-US" w:eastAsia="zh-CN"/>
              </w:rPr>
              <w:t>、图2-</w:t>
            </w:r>
            <w:r>
              <w:rPr>
                <w:rFonts w:hint="eastAsia" w:cs="Times New Roman"/>
                <w:b w:val="0"/>
                <w:bCs w:val="0"/>
                <w:color w:val="auto"/>
                <w:sz w:val="24"/>
                <w:szCs w:val="24"/>
                <w:lang w:val="en-US" w:eastAsia="zh-CN"/>
              </w:rPr>
              <w:t>7</w:t>
            </w:r>
            <w:r>
              <w:rPr>
                <w:rFonts w:hint="default" w:ascii="Times New Roman" w:hAnsi="Times New Roman" w:cs="Times New Roman"/>
                <w:b w:val="0"/>
                <w:bCs w:val="0"/>
                <w:color w:val="auto"/>
                <w:sz w:val="24"/>
                <w:szCs w:val="24"/>
                <w:lang w:val="en-US" w:eastAsia="zh-CN"/>
              </w:rPr>
              <w:t>所示。</w:t>
            </w:r>
          </w:p>
          <w:p w14:paraId="04CDCCBB">
            <w:pPr>
              <w:pStyle w:val="42"/>
              <w:numPr>
                <w:ilvl w:val="0"/>
                <w:numId w:val="0"/>
              </w:numPr>
              <w:spacing w:line="360" w:lineRule="auto"/>
              <w:jc w:val="cente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10</w:t>
            </w:r>
            <w:r>
              <w:rPr>
                <w:rFonts w:hint="default" w:ascii="Times New Roman" w:hAnsi="Times New Roman" w:cs="Times New Roman"/>
                <w:b/>
                <w:bCs/>
                <w:color w:val="auto"/>
                <w:sz w:val="21"/>
                <w:szCs w:val="21"/>
                <w:lang w:val="en-US" w:eastAsia="zh-CN"/>
              </w:rPr>
              <w:t>本项目尾料处理加工物料平衡表  单位：t/a</w:t>
            </w:r>
          </w:p>
          <w:tbl>
            <w:tblPr>
              <w:tblStyle w:val="17"/>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16"/>
              <w:gridCol w:w="774"/>
              <w:gridCol w:w="728"/>
              <w:gridCol w:w="810"/>
              <w:gridCol w:w="450"/>
              <w:gridCol w:w="1515"/>
              <w:gridCol w:w="775"/>
              <w:gridCol w:w="755"/>
              <w:gridCol w:w="1260"/>
              <w:gridCol w:w="1121"/>
            </w:tblGrid>
            <w:tr w14:paraId="5E06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restart"/>
                  <w:vAlign w:val="center"/>
                </w:tcPr>
                <w:p w14:paraId="4D77317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序号</w:t>
                  </w:r>
                </w:p>
              </w:tc>
              <w:tc>
                <w:tcPr>
                  <w:tcW w:w="2828" w:type="dxa"/>
                  <w:gridSpan w:val="4"/>
                  <w:vAlign w:val="center"/>
                </w:tcPr>
                <w:p w14:paraId="6F04B037">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输入</w:t>
                  </w:r>
                </w:p>
              </w:tc>
              <w:tc>
                <w:tcPr>
                  <w:tcW w:w="4755" w:type="dxa"/>
                  <w:gridSpan w:val="5"/>
                  <w:vAlign w:val="center"/>
                </w:tcPr>
                <w:p w14:paraId="2815979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输出</w:t>
                  </w:r>
                </w:p>
              </w:tc>
              <w:tc>
                <w:tcPr>
                  <w:tcW w:w="1121" w:type="dxa"/>
                  <w:vMerge w:val="restart"/>
                  <w:vAlign w:val="center"/>
                </w:tcPr>
                <w:p w14:paraId="33E0D21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备注</w:t>
                  </w:r>
                </w:p>
              </w:tc>
            </w:tr>
            <w:tr w14:paraId="706F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vAlign w:val="center"/>
                </w:tcPr>
                <w:p w14:paraId="484D656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516" w:type="dxa"/>
                  <w:vAlign w:val="center"/>
                </w:tcPr>
                <w:p w14:paraId="2B24D86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名称</w:t>
                  </w:r>
                </w:p>
              </w:tc>
              <w:tc>
                <w:tcPr>
                  <w:tcW w:w="2312" w:type="dxa"/>
                  <w:gridSpan w:val="3"/>
                  <w:vAlign w:val="center"/>
                </w:tcPr>
                <w:p w14:paraId="247E5ED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用量（t/a）</w:t>
                  </w:r>
                </w:p>
              </w:tc>
              <w:tc>
                <w:tcPr>
                  <w:tcW w:w="1965" w:type="dxa"/>
                  <w:gridSpan w:val="2"/>
                  <w:vAlign w:val="center"/>
                </w:tcPr>
                <w:p w14:paraId="3DDCB75A">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名称</w:t>
                  </w:r>
                </w:p>
              </w:tc>
              <w:tc>
                <w:tcPr>
                  <w:tcW w:w="2790" w:type="dxa"/>
                  <w:gridSpan w:val="3"/>
                  <w:vAlign w:val="center"/>
                </w:tcPr>
                <w:p w14:paraId="18D23A51">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产出量（t/a）</w:t>
                  </w:r>
                </w:p>
              </w:tc>
              <w:tc>
                <w:tcPr>
                  <w:tcW w:w="1121" w:type="dxa"/>
                  <w:vMerge w:val="continue"/>
                  <w:vAlign w:val="center"/>
                </w:tcPr>
                <w:p w14:paraId="33E2FAA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5740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40" w:type="dxa"/>
                  <w:vMerge w:val="restart"/>
                  <w:vAlign w:val="center"/>
                </w:tcPr>
                <w:p w14:paraId="750C941C">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516" w:type="dxa"/>
                  <w:vMerge w:val="restart"/>
                  <w:vAlign w:val="center"/>
                </w:tcPr>
                <w:p w14:paraId="138AFBA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尾料</w:t>
                  </w:r>
                </w:p>
              </w:tc>
              <w:tc>
                <w:tcPr>
                  <w:tcW w:w="774" w:type="dxa"/>
                  <w:vMerge w:val="restart"/>
                  <w:vAlign w:val="center"/>
                </w:tcPr>
                <w:p w14:paraId="09D9DA2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100000</w:t>
                  </w:r>
                </w:p>
              </w:tc>
              <w:tc>
                <w:tcPr>
                  <w:tcW w:w="728" w:type="dxa"/>
                  <w:vMerge w:val="restart"/>
                  <w:vAlign w:val="center"/>
                </w:tcPr>
                <w:p w14:paraId="638FED4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石料</w:t>
                  </w:r>
                </w:p>
              </w:tc>
              <w:tc>
                <w:tcPr>
                  <w:tcW w:w="810" w:type="dxa"/>
                  <w:vMerge w:val="restart"/>
                  <w:vAlign w:val="center"/>
                </w:tcPr>
                <w:p w14:paraId="6F534A9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82800</w:t>
                  </w:r>
                </w:p>
              </w:tc>
              <w:tc>
                <w:tcPr>
                  <w:tcW w:w="450" w:type="dxa"/>
                  <w:vMerge w:val="restart"/>
                  <w:vAlign w:val="center"/>
                </w:tcPr>
                <w:p w14:paraId="175E0C8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产品</w:t>
                  </w:r>
                </w:p>
              </w:tc>
              <w:tc>
                <w:tcPr>
                  <w:tcW w:w="1515" w:type="dxa"/>
                  <w:shd w:val="clear" w:color="auto" w:fill="auto"/>
                  <w:vAlign w:val="center"/>
                </w:tcPr>
                <w:p w14:paraId="2D40665C">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＞18mm骨料</w:t>
                  </w:r>
                </w:p>
              </w:tc>
              <w:tc>
                <w:tcPr>
                  <w:tcW w:w="775" w:type="dxa"/>
                  <w:vMerge w:val="restart"/>
                  <w:vAlign w:val="center"/>
                </w:tcPr>
                <w:p w14:paraId="5F113F37">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90000</w:t>
                  </w:r>
                </w:p>
              </w:tc>
              <w:tc>
                <w:tcPr>
                  <w:tcW w:w="755" w:type="dxa"/>
                  <w:vMerge w:val="restart"/>
                  <w:shd w:val="clear" w:color="auto" w:fill="auto"/>
                  <w:vAlign w:val="center"/>
                </w:tcPr>
                <w:p w14:paraId="7B67D0E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石料</w:t>
                  </w:r>
                </w:p>
              </w:tc>
              <w:tc>
                <w:tcPr>
                  <w:tcW w:w="1260" w:type="dxa"/>
                  <w:vMerge w:val="restart"/>
                  <w:shd w:val="clear" w:color="auto" w:fill="auto"/>
                  <w:vAlign w:val="center"/>
                </w:tcPr>
                <w:p w14:paraId="601CC64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82800</w:t>
                  </w:r>
                </w:p>
              </w:tc>
              <w:tc>
                <w:tcPr>
                  <w:tcW w:w="1121" w:type="dxa"/>
                  <w:vMerge w:val="restart"/>
                  <w:vAlign w:val="center"/>
                </w:tcPr>
                <w:p w14:paraId="647AD6E7">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color w:val="auto"/>
                      <w:sz w:val="21"/>
                      <w:szCs w:val="21"/>
                      <w:vertAlign w:val="baseline"/>
                      <w:lang w:val="en-US" w:eastAsia="zh-CN"/>
                    </w:rPr>
                    <w:t>原料含水率3%，</w:t>
                  </w:r>
                  <w:r>
                    <w:rPr>
                      <w:rFonts w:hint="eastAsia" w:ascii="Times New Roman" w:hAnsi="Times New Roman" w:cs="Times New Roman"/>
                      <w:color w:val="auto"/>
                      <w:sz w:val="21"/>
                      <w:szCs w:val="21"/>
                      <w:vertAlign w:val="baseline"/>
                      <w:lang w:val="en-US" w:eastAsia="zh-CN"/>
                    </w:rPr>
                    <w:t>产量</w:t>
                  </w:r>
                  <w:r>
                    <w:rPr>
                      <w:rFonts w:hint="eastAsia" w:cs="Times New Roman"/>
                      <w:color w:val="auto"/>
                      <w:sz w:val="21"/>
                      <w:szCs w:val="21"/>
                      <w:vertAlign w:val="baseline"/>
                      <w:lang w:val="en-US" w:eastAsia="zh-CN"/>
                    </w:rPr>
                    <w:t>含水率8%</w:t>
                  </w:r>
                </w:p>
              </w:tc>
            </w:tr>
            <w:tr w14:paraId="2A13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dxa"/>
                  <w:vMerge w:val="continue"/>
                  <w:vAlign w:val="center"/>
                </w:tcPr>
                <w:p w14:paraId="650D5E3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516" w:type="dxa"/>
                  <w:vMerge w:val="continue"/>
                  <w:vAlign w:val="center"/>
                </w:tcPr>
                <w:p w14:paraId="7411ED3B">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4" w:type="dxa"/>
                  <w:vMerge w:val="continue"/>
                  <w:vAlign w:val="center"/>
                </w:tcPr>
                <w:p w14:paraId="2B67B97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28" w:type="dxa"/>
                  <w:vMerge w:val="continue"/>
                  <w:vAlign w:val="center"/>
                </w:tcPr>
                <w:p w14:paraId="058462D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810" w:type="dxa"/>
                  <w:vMerge w:val="continue"/>
                  <w:vAlign w:val="center"/>
                </w:tcPr>
                <w:p w14:paraId="6DABFC28">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450" w:type="dxa"/>
                  <w:vMerge w:val="continue"/>
                  <w:vAlign w:val="center"/>
                </w:tcPr>
                <w:p w14:paraId="146BB69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515" w:type="dxa"/>
                  <w:vMerge w:val="restart"/>
                  <w:shd w:val="clear" w:color="auto" w:fill="auto"/>
                  <w:vAlign w:val="center"/>
                </w:tcPr>
                <w:p w14:paraId="447E4F4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8-18mm骨料</w:t>
                  </w:r>
                </w:p>
              </w:tc>
              <w:tc>
                <w:tcPr>
                  <w:tcW w:w="775" w:type="dxa"/>
                  <w:vMerge w:val="continue"/>
                  <w:vAlign w:val="center"/>
                </w:tcPr>
                <w:p w14:paraId="26B3704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55" w:type="dxa"/>
                  <w:vMerge w:val="continue"/>
                  <w:vAlign w:val="center"/>
                </w:tcPr>
                <w:p w14:paraId="763D552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60" w:type="dxa"/>
                  <w:vMerge w:val="continue"/>
                  <w:vAlign w:val="center"/>
                </w:tcPr>
                <w:p w14:paraId="23AF182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121" w:type="dxa"/>
                  <w:vMerge w:val="continue"/>
                  <w:vAlign w:val="center"/>
                </w:tcPr>
                <w:p w14:paraId="78DDD05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3042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dxa"/>
                  <w:vMerge w:val="continue"/>
                  <w:vAlign w:val="center"/>
                </w:tcPr>
                <w:p w14:paraId="57C0A1F1">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516" w:type="dxa"/>
                  <w:vMerge w:val="continue"/>
                  <w:vAlign w:val="center"/>
                </w:tcPr>
                <w:p w14:paraId="3BE6BB6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4" w:type="dxa"/>
                  <w:vMerge w:val="continue"/>
                  <w:vAlign w:val="center"/>
                </w:tcPr>
                <w:p w14:paraId="6A8F5298">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28" w:type="dxa"/>
                  <w:vMerge w:val="restart"/>
                  <w:vAlign w:val="center"/>
                </w:tcPr>
                <w:p w14:paraId="444BABA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泥（干基）</w:t>
                  </w:r>
                </w:p>
              </w:tc>
              <w:tc>
                <w:tcPr>
                  <w:tcW w:w="810" w:type="dxa"/>
                  <w:vMerge w:val="restart"/>
                  <w:vAlign w:val="center"/>
                </w:tcPr>
                <w:p w14:paraId="5B2E91C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14200</w:t>
                  </w:r>
                </w:p>
              </w:tc>
              <w:tc>
                <w:tcPr>
                  <w:tcW w:w="450" w:type="dxa"/>
                  <w:vMerge w:val="continue"/>
                  <w:vAlign w:val="center"/>
                </w:tcPr>
                <w:p w14:paraId="29744D0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515" w:type="dxa"/>
                  <w:vMerge w:val="continue"/>
                  <w:vAlign w:val="center"/>
                </w:tcPr>
                <w:p w14:paraId="32B0DDD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5" w:type="dxa"/>
                  <w:vMerge w:val="continue"/>
                  <w:vAlign w:val="center"/>
                </w:tcPr>
                <w:p w14:paraId="546E04E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55" w:type="dxa"/>
                  <w:vMerge w:val="continue"/>
                  <w:vAlign w:val="center"/>
                </w:tcPr>
                <w:p w14:paraId="4A2FFA63">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60" w:type="dxa"/>
                  <w:vMerge w:val="continue"/>
                  <w:vAlign w:val="center"/>
                </w:tcPr>
                <w:p w14:paraId="54F2B133">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121" w:type="dxa"/>
                  <w:vMerge w:val="continue"/>
                  <w:vAlign w:val="center"/>
                </w:tcPr>
                <w:p w14:paraId="296FC227">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63DE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40" w:type="dxa"/>
                  <w:vMerge w:val="continue"/>
                  <w:vAlign w:val="center"/>
                </w:tcPr>
                <w:p w14:paraId="52E471D7">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516" w:type="dxa"/>
                  <w:vMerge w:val="continue"/>
                  <w:vAlign w:val="center"/>
                </w:tcPr>
                <w:p w14:paraId="7A1F257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4" w:type="dxa"/>
                  <w:vMerge w:val="continue"/>
                  <w:vAlign w:val="center"/>
                </w:tcPr>
                <w:p w14:paraId="1C38BC1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28" w:type="dxa"/>
                  <w:vMerge w:val="continue"/>
                  <w:vAlign w:val="center"/>
                </w:tcPr>
                <w:p w14:paraId="77400F4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810" w:type="dxa"/>
                  <w:vMerge w:val="continue"/>
                  <w:vAlign w:val="center"/>
                </w:tcPr>
                <w:p w14:paraId="17E3173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450" w:type="dxa"/>
                  <w:vMerge w:val="continue"/>
                  <w:vAlign w:val="center"/>
                </w:tcPr>
                <w:p w14:paraId="01B3AD03">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515" w:type="dxa"/>
                  <w:shd w:val="clear" w:color="auto" w:fill="auto"/>
                  <w:vAlign w:val="center"/>
                </w:tcPr>
                <w:p w14:paraId="672391F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3.5-8mm骨料</w:t>
                  </w:r>
                </w:p>
              </w:tc>
              <w:tc>
                <w:tcPr>
                  <w:tcW w:w="775" w:type="dxa"/>
                  <w:vMerge w:val="continue"/>
                  <w:vAlign w:val="center"/>
                </w:tcPr>
                <w:p w14:paraId="3059ABD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55" w:type="dxa"/>
                  <w:vMerge w:val="restart"/>
                  <w:vAlign w:val="center"/>
                </w:tcPr>
                <w:p w14:paraId="1D13C6EA">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水分</w:t>
                  </w:r>
                </w:p>
              </w:tc>
              <w:tc>
                <w:tcPr>
                  <w:tcW w:w="1260" w:type="dxa"/>
                  <w:vMerge w:val="restart"/>
                  <w:vAlign w:val="center"/>
                </w:tcPr>
                <w:p w14:paraId="43149E2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7200</w:t>
                  </w:r>
                </w:p>
              </w:tc>
              <w:tc>
                <w:tcPr>
                  <w:tcW w:w="1121" w:type="dxa"/>
                  <w:vMerge w:val="continue"/>
                  <w:vAlign w:val="center"/>
                </w:tcPr>
                <w:p w14:paraId="24835981">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6399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dxa"/>
                  <w:vMerge w:val="continue"/>
                  <w:vAlign w:val="center"/>
                </w:tcPr>
                <w:p w14:paraId="7402674C">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516" w:type="dxa"/>
                  <w:vMerge w:val="continue"/>
                  <w:vAlign w:val="center"/>
                </w:tcPr>
                <w:p w14:paraId="7BEB45B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4" w:type="dxa"/>
                  <w:vMerge w:val="continue"/>
                  <w:vAlign w:val="center"/>
                </w:tcPr>
                <w:p w14:paraId="3329ADB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28" w:type="dxa"/>
                  <w:vMerge w:val="continue"/>
                  <w:vAlign w:val="center"/>
                </w:tcPr>
                <w:p w14:paraId="09704631">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810" w:type="dxa"/>
                  <w:vMerge w:val="continue"/>
                  <w:vAlign w:val="center"/>
                </w:tcPr>
                <w:p w14:paraId="00A5E161">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vertAlign w:val="baseline"/>
                      <w:lang w:val="en-US" w:eastAsia="zh-CN"/>
                    </w:rPr>
                  </w:pPr>
                </w:p>
              </w:tc>
              <w:tc>
                <w:tcPr>
                  <w:tcW w:w="450" w:type="dxa"/>
                  <w:vMerge w:val="continue"/>
                  <w:vAlign w:val="center"/>
                </w:tcPr>
                <w:p w14:paraId="05E4B4EC">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515" w:type="dxa"/>
                  <w:vMerge w:val="restart"/>
                  <w:shd w:val="clear" w:color="auto" w:fill="auto"/>
                  <w:vAlign w:val="center"/>
                </w:tcPr>
                <w:p w14:paraId="21FED23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＜3.5mm骨料</w:t>
                  </w:r>
                </w:p>
              </w:tc>
              <w:tc>
                <w:tcPr>
                  <w:tcW w:w="775" w:type="dxa"/>
                  <w:vMerge w:val="continue"/>
                  <w:vAlign w:val="center"/>
                </w:tcPr>
                <w:p w14:paraId="41F234F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55" w:type="dxa"/>
                  <w:vMerge w:val="continue"/>
                  <w:vAlign w:val="center"/>
                </w:tcPr>
                <w:p w14:paraId="71B0E27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60" w:type="dxa"/>
                  <w:vMerge w:val="continue"/>
                  <w:vAlign w:val="center"/>
                </w:tcPr>
                <w:p w14:paraId="0E10F1B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121" w:type="dxa"/>
                  <w:vMerge w:val="continue"/>
                  <w:vAlign w:val="center"/>
                </w:tcPr>
                <w:p w14:paraId="5737963B">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17CC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dxa"/>
                  <w:vMerge w:val="continue"/>
                  <w:vAlign w:val="center"/>
                </w:tcPr>
                <w:p w14:paraId="0442D8D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516" w:type="dxa"/>
                  <w:vMerge w:val="continue"/>
                  <w:vAlign w:val="center"/>
                </w:tcPr>
                <w:p w14:paraId="1E254D1B">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4" w:type="dxa"/>
                  <w:vMerge w:val="continue"/>
                  <w:vAlign w:val="center"/>
                </w:tcPr>
                <w:p w14:paraId="5628093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28" w:type="dxa"/>
                  <w:shd w:val="clear" w:color="auto" w:fill="auto"/>
                  <w:vAlign w:val="center"/>
                </w:tcPr>
                <w:p w14:paraId="41F96DB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水分</w:t>
                  </w:r>
                </w:p>
              </w:tc>
              <w:tc>
                <w:tcPr>
                  <w:tcW w:w="810" w:type="dxa"/>
                  <w:shd w:val="clear" w:color="auto" w:fill="auto"/>
                  <w:vAlign w:val="center"/>
                </w:tcPr>
                <w:p w14:paraId="5ED56B2A">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3000</w:t>
                  </w:r>
                </w:p>
              </w:tc>
              <w:tc>
                <w:tcPr>
                  <w:tcW w:w="450" w:type="dxa"/>
                  <w:vMerge w:val="continue"/>
                  <w:vAlign w:val="center"/>
                </w:tcPr>
                <w:p w14:paraId="3C8756D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515" w:type="dxa"/>
                  <w:vMerge w:val="continue"/>
                  <w:vAlign w:val="center"/>
                </w:tcPr>
                <w:p w14:paraId="1C8CFB09">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5" w:type="dxa"/>
                  <w:vMerge w:val="continue"/>
                  <w:vAlign w:val="center"/>
                </w:tcPr>
                <w:p w14:paraId="141E651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55" w:type="dxa"/>
                  <w:vMerge w:val="continue"/>
                  <w:vAlign w:val="center"/>
                </w:tcPr>
                <w:p w14:paraId="595F2763">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260" w:type="dxa"/>
                  <w:vMerge w:val="continue"/>
                  <w:vAlign w:val="center"/>
                </w:tcPr>
                <w:p w14:paraId="31667B6C">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121" w:type="dxa"/>
                  <w:vMerge w:val="continue"/>
                  <w:vAlign w:val="center"/>
                </w:tcPr>
                <w:p w14:paraId="2D9C2B49">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r>
            <w:tr w14:paraId="71A5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40" w:type="dxa"/>
                  <w:vMerge w:val="restart"/>
                  <w:vAlign w:val="center"/>
                </w:tcPr>
                <w:p w14:paraId="616989F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p>
              </w:tc>
              <w:tc>
                <w:tcPr>
                  <w:tcW w:w="516" w:type="dxa"/>
                  <w:vMerge w:val="restart"/>
                  <w:vAlign w:val="center"/>
                </w:tcPr>
                <w:p w14:paraId="65F71F6B">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w:t>
                  </w:r>
                </w:p>
              </w:tc>
              <w:tc>
                <w:tcPr>
                  <w:tcW w:w="2312" w:type="dxa"/>
                  <w:gridSpan w:val="3"/>
                  <w:vMerge w:val="restart"/>
                  <w:vAlign w:val="center"/>
                </w:tcPr>
                <w:p w14:paraId="2BAAF7F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14681.4</w:t>
                  </w:r>
                </w:p>
              </w:tc>
              <w:tc>
                <w:tcPr>
                  <w:tcW w:w="1965" w:type="dxa"/>
                  <w:gridSpan w:val="2"/>
                  <w:vAlign w:val="center"/>
                </w:tcPr>
                <w:p w14:paraId="5F49D60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洗砂过程自然损耗</w:t>
                  </w:r>
                </w:p>
              </w:tc>
              <w:tc>
                <w:tcPr>
                  <w:tcW w:w="2790" w:type="dxa"/>
                  <w:gridSpan w:val="3"/>
                  <w:vAlign w:val="center"/>
                </w:tcPr>
                <w:p w14:paraId="254A3438">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900</w:t>
                  </w:r>
                </w:p>
              </w:tc>
              <w:tc>
                <w:tcPr>
                  <w:tcW w:w="1121" w:type="dxa"/>
                  <w:vAlign w:val="center"/>
                </w:tcPr>
                <w:p w14:paraId="5C8F555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14:paraId="4CA7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40" w:type="dxa"/>
                  <w:vMerge w:val="continue"/>
                  <w:vAlign w:val="center"/>
                </w:tcPr>
                <w:p w14:paraId="3BC18D6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516" w:type="dxa"/>
                  <w:vMerge w:val="continue"/>
                  <w:vAlign w:val="center"/>
                </w:tcPr>
                <w:p w14:paraId="5A66D02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2312" w:type="dxa"/>
                  <w:gridSpan w:val="3"/>
                  <w:vMerge w:val="continue"/>
                  <w:vAlign w:val="center"/>
                </w:tcPr>
                <w:p w14:paraId="4018A7F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65" w:type="dxa"/>
                  <w:gridSpan w:val="2"/>
                  <w:vAlign w:val="center"/>
                </w:tcPr>
                <w:p w14:paraId="07186F4A">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循环用水</w:t>
                  </w:r>
                </w:p>
              </w:tc>
              <w:tc>
                <w:tcPr>
                  <w:tcW w:w="2790" w:type="dxa"/>
                  <w:gridSpan w:val="3"/>
                  <w:vAlign w:val="center"/>
                </w:tcPr>
                <w:p w14:paraId="20AA79E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101.4</w:t>
                  </w:r>
                </w:p>
              </w:tc>
              <w:tc>
                <w:tcPr>
                  <w:tcW w:w="1121" w:type="dxa"/>
                  <w:vAlign w:val="center"/>
                </w:tcPr>
                <w:p w14:paraId="35191BD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14:paraId="6FB1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40" w:type="dxa"/>
                  <w:vMerge w:val="restart"/>
                  <w:vAlign w:val="center"/>
                </w:tcPr>
                <w:p w14:paraId="6FEC85A7">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2828" w:type="dxa"/>
                  <w:gridSpan w:val="4"/>
                  <w:vMerge w:val="restart"/>
                  <w:vAlign w:val="center"/>
                </w:tcPr>
                <w:p w14:paraId="7D04040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固废</w:t>
                  </w:r>
                </w:p>
              </w:tc>
              <w:tc>
                <w:tcPr>
                  <w:tcW w:w="1965" w:type="dxa"/>
                  <w:gridSpan w:val="2"/>
                  <w:vMerge w:val="restart"/>
                  <w:vAlign w:val="center"/>
                </w:tcPr>
                <w:p w14:paraId="5625CDD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泥饼</w:t>
                  </w:r>
                </w:p>
              </w:tc>
              <w:tc>
                <w:tcPr>
                  <w:tcW w:w="775" w:type="dxa"/>
                  <w:vMerge w:val="restart"/>
                  <w:shd w:val="clear" w:color="auto" w:fill="auto"/>
                  <w:vAlign w:val="center"/>
                </w:tcPr>
                <w:p w14:paraId="0E303D68">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shd w:val="clear" w:fill="FFFF00"/>
                      <w:vertAlign w:val="baseline"/>
                      <w:lang w:val="en-US" w:eastAsia="zh-CN" w:bidi="ar-SA"/>
                    </w:rPr>
                  </w:pPr>
                  <w:r>
                    <w:rPr>
                      <w:rFonts w:hint="eastAsia" w:ascii="Times New Roman" w:hAnsi="Times New Roman" w:cs="Times New Roman"/>
                      <w:b w:val="0"/>
                      <w:bCs w:val="0"/>
                      <w:color w:val="auto"/>
                      <w:sz w:val="21"/>
                      <w:szCs w:val="21"/>
                      <w:shd w:val="clear"/>
                      <w:vertAlign w:val="baseline"/>
                      <w:lang w:val="en-US" w:eastAsia="zh-CN"/>
                    </w:rPr>
                    <w:t>236</w:t>
                  </w:r>
                  <w:r>
                    <w:rPr>
                      <w:rFonts w:hint="eastAsia" w:cs="Times New Roman"/>
                      <w:b w:val="0"/>
                      <w:bCs w:val="0"/>
                      <w:color w:val="auto"/>
                      <w:sz w:val="21"/>
                      <w:szCs w:val="21"/>
                      <w:shd w:val="clear"/>
                      <w:vertAlign w:val="baseline"/>
                      <w:lang w:val="en-US" w:eastAsia="zh-CN"/>
                    </w:rPr>
                    <w:t>72.326</w:t>
                  </w:r>
                </w:p>
                <w:p w14:paraId="599666F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shd w:val="clear" w:fill="FFFF00"/>
                      <w:vertAlign w:val="baseline"/>
                      <w:lang w:val="en-US" w:eastAsia="zh-CN"/>
                    </w:rPr>
                  </w:pPr>
                </w:p>
              </w:tc>
              <w:tc>
                <w:tcPr>
                  <w:tcW w:w="755" w:type="dxa"/>
                  <w:shd w:val="clear" w:color="auto" w:fill="auto"/>
                  <w:vAlign w:val="center"/>
                </w:tcPr>
                <w:p w14:paraId="719B9D8B">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shd w:val="clear"/>
                      <w:vertAlign w:val="baseline"/>
                      <w:lang w:val="en-US" w:eastAsia="zh-CN" w:bidi="ar-SA"/>
                    </w:rPr>
                  </w:pPr>
                  <w:r>
                    <w:rPr>
                      <w:rFonts w:hint="eastAsia" w:cs="Times New Roman"/>
                      <w:b w:val="0"/>
                      <w:bCs w:val="0"/>
                      <w:color w:val="auto"/>
                      <w:sz w:val="21"/>
                      <w:szCs w:val="21"/>
                      <w:vertAlign w:val="baseline"/>
                      <w:lang w:val="en-US" w:eastAsia="zh-CN"/>
                    </w:rPr>
                    <w:t>泥（干基）</w:t>
                  </w:r>
                </w:p>
              </w:tc>
              <w:tc>
                <w:tcPr>
                  <w:tcW w:w="1260" w:type="dxa"/>
                  <w:shd w:val="clear" w:color="auto" w:fill="auto"/>
                  <w:vAlign w:val="center"/>
                </w:tcPr>
                <w:p w14:paraId="74169D73">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shd w:val="clear"/>
                      <w:vertAlign w:val="baseline"/>
                      <w:lang w:val="en-US" w:eastAsia="zh-CN" w:bidi="ar-SA"/>
                    </w:rPr>
                  </w:pPr>
                  <w:r>
                    <w:rPr>
                      <w:rFonts w:hint="eastAsia" w:cs="Times New Roman"/>
                      <w:b w:val="0"/>
                      <w:bCs w:val="0"/>
                      <w:color w:val="auto"/>
                      <w:sz w:val="21"/>
                      <w:szCs w:val="21"/>
                      <w:shd w:val="clear"/>
                      <w:vertAlign w:val="baseline"/>
                      <w:lang w:val="en-US" w:eastAsia="zh-CN"/>
                    </w:rPr>
                    <w:t>14192.326</w:t>
                  </w:r>
                </w:p>
              </w:tc>
              <w:tc>
                <w:tcPr>
                  <w:tcW w:w="1121" w:type="dxa"/>
                  <w:vMerge w:val="restart"/>
                  <w:vAlign w:val="center"/>
                </w:tcPr>
                <w:p w14:paraId="6646F23A">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shd w:val="clear" w:fill="FFFF00"/>
                      <w:vertAlign w:val="baseline"/>
                      <w:lang w:val="en-US" w:eastAsia="zh-CN"/>
                    </w:rPr>
                  </w:pPr>
                  <w:r>
                    <w:rPr>
                      <w:rFonts w:hint="eastAsia" w:ascii="Times New Roman" w:hAnsi="Times New Roman" w:cs="Times New Roman"/>
                      <w:b w:val="0"/>
                      <w:bCs w:val="0"/>
                      <w:color w:val="auto"/>
                      <w:sz w:val="21"/>
                      <w:szCs w:val="21"/>
                      <w:shd w:val="clear"/>
                      <w:vertAlign w:val="baseline"/>
                      <w:lang w:val="en-US" w:eastAsia="zh-CN"/>
                    </w:rPr>
                    <w:t>含水率约为</w:t>
                  </w:r>
                  <w:r>
                    <w:rPr>
                      <w:rFonts w:hint="eastAsia" w:cs="Times New Roman"/>
                      <w:b w:val="0"/>
                      <w:bCs w:val="0"/>
                      <w:color w:val="auto"/>
                      <w:sz w:val="21"/>
                      <w:szCs w:val="21"/>
                      <w:shd w:val="clear"/>
                      <w:vertAlign w:val="baseline"/>
                      <w:lang w:val="en-US" w:eastAsia="zh-CN"/>
                    </w:rPr>
                    <w:t>40</w:t>
                  </w:r>
                  <w:r>
                    <w:rPr>
                      <w:rFonts w:hint="eastAsia" w:ascii="Times New Roman" w:hAnsi="Times New Roman" w:cs="Times New Roman"/>
                      <w:b w:val="0"/>
                      <w:bCs w:val="0"/>
                      <w:color w:val="auto"/>
                      <w:sz w:val="21"/>
                      <w:szCs w:val="21"/>
                      <w:shd w:val="clear"/>
                      <w:vertAlign w:val="baseline"/>
                      <w:lang w:val="en-US" w:eastAsia="zh-CN"/>
                    </w:rPr>
                    <w:t>%</w:t>
                  </w:r>
                </w:p>
              </w:tc>
            </w:tr>
            <w:tr w14:paraId="3E50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40" w:type="dxa"/>
                  <w:vMerge w:val="continue"/>
                  <w:vAlign w:val="center"/>
                </w:tcPr>
                <w:p w14:paraId="284DD5A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val="en-US" w:eastAsia="zh-CN"/>
                    </w:rPr>
                  </w:pPr>
                </w:p>
              </w:tc>
              <w:tc>
                <w:tcPr>
                  <w:tcW w:w="2828" w:type="dxa"/>
                  <w:gridSpan w:val="4"/>
                  <w:vMerge w:val="continue"/>
                  <w:vAlign w:val="center"/>
                </w:tcPr>
                <w:p w14:paraId="335BD3B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val="en-US" w:eastAsia="zh-CN"/>
                    </w:rPr>
                  </w:pPr>
                </w:p>
              </w:tc>
              <w:tc>
                <w:tcPr>
                  <w:tcW w:w="1965" w:type="dxa"/>
                  <w:gridSpan w:val="2"/>
                  <w:vMerge w:val="continue"/>
                  <w:vAlign w:val="center"/>
                </w:tcPr>
                <w:p w14:paraId="6C7BAFF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775" w:type="dxa"/>
                  <w:vMerge w:val="continue"/>
                  <w:shd w:val="clear" w:color="auto" w:fill="auto"/>
                  <w:vAlign w:val="center"/>
                </w:tcPr>
                <w:p w14:paraId="5B5AD39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shd w:val="clear"/>
                      <w:vertAlign w:val="baseline"/>
                      <w:lang w:val="en-US" w:eastAsia="zh-CN" w:bidi="ar-SA"/>
                    </w:rPr>
                  </w:pPr>
                </w:p>
              </w:tc>
              <w:tc>
                <w:tcPr>
                  <w:tcW w:w="755" w:type="dxa"/>
                  <w:shd w:val="clear" w:color="auto" w:fill="auto"/>
                  <w:vAlign w:val="center"/>
                </w:tcPr>
                <w:p w14:paraId="54BD489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shd w:val="clear"/>
                      <w:vertAlign w:val="baseline"/>
                      <w:lang w:val="en-US" w:eastAsia="zh-CN" w:bidi="ar-SA"/>
                    </w:rPr>
                  </w:pPr>
                  <w:r>
                    <w:rPr>
                      <w:rFonts w:hint="eastAsia" w:cs="Times New Roman"/>
                      <w:b w:val="0"/>
                      <w:bCs w:val="0"/>
                      <w:color w:val="auto"/>
                      <w:sz w:val="21"/>
                      <w:szCs w:val="21"/>
                      <w:vertAlign w:val="baseline"/>
                      <w:lang w:val="en-US" w:eastAsia="zh-CN"/>
                    </w:rPr>
                    <w:t>水分</w:t>
                  </w:r>
                </w:p>
              </w:tc>
              <w:tc>
                <w:tcPr>
                  <w:tcW w:w="1260" w:type="dxa"/>
                  <w:shd w:val="clear" w:color="auto" w:fill="auto"/>
                  <w:vAlign w:val="center"/>
                </w:tcPr>
                <w:p w14:paraId="7D1BF253">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shd w:val="clear"/>
                      <w:vertAlign w:val="baseline"/>
                      <w:lang w:val="en-US" w:eastAsia="zh-CN" w:bidi="ar-SA"/>
                    </w:rPr>
                  </w:pPr>
                  <w:r>
                    <w:rPr>
                      <w:rFonts w:hint="eastAsia" w:cs="Times New Roman"/>
                      <w:b w:val="0"/>
                      <w:bCs w:val="0"/>
                      <w:color w:val="auto"/>
                      <w:sz w:val="21"/>
                      <w:szCs w:val="21"/>
                      <w:shd w:val="clear"/>
                      <w:vertAlign w:val="baseline"/>
                      <w:lang w:val="en-US" w:eastAsia="zh-CN"/>
                    </w:rPr>
                    <w:t>9480</w:t>
                  </w:r>
                </w:p>
              </w:tc>
              <w:tc>
                <w:tcPr>
                  <w:tcW w:w="1121" w:type="dxa"/>
                  <w:vMerge w:val="continue"/>
                  <w:vAlign w:val="center"/>
                </w:tcPr>
                <w:p w14:paraId="6D6CF48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shd w:val="clear"/>
                      <w:vertAlign w:val="baseline"/>
                      <w:lang w:val="en-US" w:eastAsia="zh-CN"/>
                    </w:rPr>
                  </w:pPr>
                </w:p>
              </w:tc>
            </w:tr>
            <w:tr w14:paraId="74EC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40" w:type="dxa"/>
                  <w:vMerge w:val="continue"/>
                  <w:vAlign w:val="center"/>
                </w:tcPr>
                <w:p w14:paraId="0C95A5E8">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vertAlign w:val="baseline"/>
                      <w:lang w:val="en-US" w:eastAsia="zh-CN"/>
                    </w:rPr>
                  </w:pPr>
                </w:p>
              </w:tc>
              <w:tc>
                <w:tcPr>
                  <w:tcW w:w="2828" w:type="dxa"/>
                  <w:gridSpan w:val="4"/>
                  <w:vMerge w:val="continue"/>
                  <w:vAlign w:val="center"/>
                </w:tcPr>
                <w:p w14:paraId="26180801">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1965" w:type="dxa"/>
                  <w:gridSpan w:val="2"/>
                  <w:vAlign w:val="center"/>
                </w:tcPr>
                <w:p w14:paraId="631A5DCD">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无组织粉尘</w:t>
                  </w:r>
                </w:p>
              </w:tc>
              <w:tc>
                <w:tcPr>
                  <w:tcW w:w="2790" w:type="dxa"/>
                  <w:gridSpan w:val="3"/>
                  <w:shd w:val="clear" w:color="auto" w:fill="auto"/>
                  <w:vAlign w:val="center"/>
                </w:tcPr>
                <w:p w14:paraId="6426549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shd w:val="clear" w:fill="FFFF00"/>
                      <w:vertAlign w:val="baseline"/>
                      <w:lang w:val="en-US" w:eastAsia="zh-CN" w:bidi="ar-SA"/>
                    </w:rPr>
                  </w:pPr>
                  <w:r>
                    <w:rPr>
                      <w:rFonts w:hint="eastAsia" w:cs="Times New Roman"/>
                      <w:b w:val="0"/>
                      <w:bCs w:val="0"/>
                      <w:color w:val="auto"/>
                      <w:sz w:val="21"/>
                      <w:szCs w:val="21"/>
                      <w:shd w:val="clear"/>
                      <w:vertAlign w:val="baseline"/>
                      <w:lang w:val="en-US" w:eastAsia="zh-CN"/>
                    </w:rPr>
                    <w:t>7.674</w:t>
                  </w:r>
                </w:p>
              </w:tc>
              <w:tc>
                <w:tcPr>
                  <w:tcW w:w="1121" w:type="dxa"/>
                  <w:vAlign w:val="center"/>
                </w:tcPr>
                <w:p w14:paraId="2D7D926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shd w:val="clear" w:fill="FFFF00"/>
                      <w:vertAlign w:val="baseline"/>
                      <w:lang w:val="en-US" w:eastAsia="zh-CN"/>
                    </w:rPr>
                  </w:pPr>
                  <w:r>
                    <w:rPr>
                      <w:rFonts w:hint="eastAsia" w:ascii="Times New Roman" w:hAnsi="Times New Roman" w:cs="Times New Roman"/>
                      <w:b w:val="0"/>
                      <w:bCs w:val="0"/>
                      <w:color w:val="auto"/>
                      <w:sz w:val="21"/>
                      <w:szCs w:val="21"/>
                      <w:shd w:val="clear"/>
                      <w:vertAlign w:val="baseline"/>
                      <w:lang w:val="en-US" w:eastAsia="zh-CN"/>
                    </w:rPr>
                    <w:t>/</w:t>
                  </w:r>
                </w:p>
              </w:tc>
            </w:tr>
            <w:tr w14:paraId="58D6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38E8A74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合计</w:t>
                  </w:r>
                </w:p>
              </w:tc>
              <w:tc>
                <w:tcPr>
                  <w:tcW w:w="516" w:type="dxa"/>
                  <w:vAlign w:val="center"/>
                </w:tcPr>
                <w:p w14:paraId="2D202ADA">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输入</w:t>
                  </w:r>
                </w:p>
              </w:tc>
              <w:tc>
                <w:tcPr>
                  <w:tcW w:w="2312" w:type="dxa"/>
                  <w:gridSpan w:val="3"/>
                  <w:vAlign w:val="center"/>
                </w:tcPr>
                <w:p w14:paraId="19196B2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114681.4</w:t>
                  </w:r>
                </w:p>
              </w:tc>
              <w:tc>
                <w:tcPr>
                  <w:tcW w:w="1965" w:type="dxa"/>
                  <w:gridSpan w:val="2"/>
                  <w:vAlign w:val="center"/>
                </w:tcPr>
                <w:p w14:paraId="048ADBB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输出</w:t>
                  </w:r>
                </w:p>
              </w:tc>
              <w:tc>
                <w:tcPr>
                  <w:tcW w:w="2790" w:type="dxa"/>
                  <w:gridSpan w:val="3"/>
                  <w:vAlign w:val="center"/>
                </w:tcPr>
                <w:p w14:paraId="7D484E2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114681.4</w:t>
                  </w:r>
                </w:p>
              </w:tc>
              <w:tc>
                <w:tcPr>
                  <w:tcW w:w="1121" w:type="dxa"/>
                  <w:vAlign w:val="center"/>
                </w:tcPr>
                <w:p w14:paraId="2F63F87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r>
          </w:tbl>
          <w:p w14:paraId="5A86403C">
            <w:pPr>
              <w:pStyle w:val="42"/>
              <w:numPr>
                <w:ilvl w:val="0"/>
                <w:numId w:val="0"/>
              </w:numPr>
              <w:spacing w:line="360" w:lineRule="auto"/>
              <w:ind w:firstLine="480" w:firstLineChars="200"/>
              <w:jc w:val="both"/>
              <w:rPr>
                <w:rFonts w:hint="default" w:ascii="Times New Roman" w:hAnsi="Times New Roman" w:cs="Times New Roman"/>
                <w:b w:val="0"/>
                <w:bCs w:val="0"/>
                <w:color w:val="auto"/>
                <w:sz w:val="24"/>
                <w:szCs w:val="24"/>
                <w:lang w:val="en-US" w:eastAsia="zh-CN"/>
              </w:rPr>
            </w:pPr>
          </w:p>
          <w:p w14:paraId="50E2B878">
            <w:pPr>
              <w:pStyle w:val="42"/>
              <w:numPr>
                <w:ilvl w:val="0"/>
                <w:numId w:val="0"/>
              </w:num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object>
                <v:shape id="_x0000_i1029" o:spt="75" type="#_x0000_t75" style="height:150.75pt;width:390.75pt;" o:ole="t" filled="f" o:preferrelative="t" stroked="f" coordsize="21600,21600">
                  <v:path/>
                  <v:fill on="f" focussize="0,0"/>
                  <v:stroke on="f"/>
                  <v:imagedata r:id="rId22" o:title=""/>
                  <o:lock v:ext="edit" aspectratio="f"/>
                  <w10:wrap type="none"/>
                  <w10:anchorlock/>
                </v:shape>
                <o:OLEObject Type="Embed" ProgID="Visio.Drawing.11" ShapeID="_x0000_i1029" DrawAspect="Content" ObjectID="_1468075729" r:id="rId21">
                  <o:LockedField>false</o:LockedField>
                </o:OLEObject>
              </w:object>
            </w:r>
          </w:p>
          <w:p w14:paraId="2EA598EF">
            <w:pPr>
              <w:pStyle w:val="42"/>
              <w:numPr>
                <w:ilvl w:val="0"/>
                <w:numId w:val="0"/>
              </w:num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项目物料平衡图  单位：t/a</w:t>
            </w:r>
          </w:p>
        </w:tc>
      </w:tr>
      <w:tr w14:paraId="79AB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vAlign w:val="center"/>
          </w:tcPr>
          <w:p w14:paraId="57099B63">
            <w:pPr>
              <w:pStyle w:val="40"/>
              <w:jc w:val="center"/>
              <w:rPr>
                <w:rFonts w:hint="default" w:ascii="Times New Roman" w:hAnsi="Times New Roman" w:cs="Times New Roman"/>
                <w:color w:val="auto"/>
              </w:rPr>
            </w:pPr>
            <w:r>
              <w:rPr>
                <w:rFonts w:hint="default" w:ascii="Times New Roman" w:hAnsi="Times New Roman" w:cs="Times New Roman"/>
                <w:color w:val="auto"/>
              </w:rPr>
              <w:t>与项目有关的原有环境污染问题</w:t>
            </w:r>
          </w:p>
        </w:tc>
        <w:tc>
          <w:tcPr>
            <w:tcW w:w="9330" w:type="dxa"/>
          </w:tcPr>
          <w:p w14:paraId="4E5784EF">
            <w:pPr>
              <w:rPr>
                <w:rFonts w:hint="default" w:ascii="Times New Roman" w:hAnsi="Times New Roman" w:cs="Times New Roman"/>
                <w:color w:val="auto"/>
                <w:lang w:val="en-US" w:eastAsia="zh-CN"/>
              </w:rPr>
            </w:pPr>
          </w:p>
          <w:p w14:paraId="41250BC3">
            <w:pPr>
              <w:rPr>
                <w:rFonts w:hint="default" w:ascii="Times New Roman" w:hAnsi="Times New Roman" w:cs="Times New Roman"/>
                <w:color w:val="auto"/>
                <w:lang w:val="en-US" w:eastAsia="zh-CN"/>
              </w:rPr>
            </w:pPr>
          </w:p>
          <w:p w14:paraId="4B195011">
            <w:pPr>
              <w:rPr>
                <w:rFonts w:hint="default" w:ascii="Times New Roman" w:hAnsi="Times New Roman" w:cs="Times New Roman"/>
                <w:color w:val="auto"/>
                <w:lang w:val="en-US" w:eastAsia="zh-CN"/>
              </w:rPr>
            </w:pPr>
          </w:p>
          <w:p w14:paraId="4B012253">
            <w:pPr>
              <w:rPr>
                <w:rFonts w:hint="default" w:ascii="Times New Roman" w:hAnsi="Times New Roman" w:cs="Times New Roman"/>
                <w:color w:val="auto"/>
                <w:lang w:val="en-US" w:eastAsia="zh-CN"/>
              </w:rPr>
            </w:pPr>
          </w:p>
          <w:p w14:paraId="32D086F9">
            <w:pPr>
              <w:rPr>
                <w:rFonts w:hint="default" w:ascii="Times New Roman" w:hAnsi="Times New Roman" w:cs="Times New Roman"/>
                <w:color w:val="auto"/>
                <w:lang w:val="en-US" w:eastAsia="zh-CN"/>
              </w:rPr>
            </w:pPr>
          </w:p>
          <w:p w14:paraId="7BEE975E">
            <w:pPr>
              <w:rPr>
                <w:rFonts w:hint="default" w:ascii="Times New Roman" w:hAnsi="Times New Roman" w:cs="Times New Roman"/>
                <w:color w:val="auto"/>
                <w:lang w:val="en-US" w:eastAsia="zh-CN"/>
              </w:rPr>
            </w:pPr>
          </w:p>
          <w:p w14:paraId="6A0B0503">
            <w:pPr>
              <w:rPr>
                <w:rFonts w:hint="default" w:ascii="Times New Roman" w:hAnsi="Times New Roman" w:cs="Times New Roman"/>
                <w:color w:val="auto"/>
                <w:lang w:val="en-US" w:eastAsia="zh-CN"/>
              </w:rPr>
            </w:pPr>
          </w:p>
          <w:p w14:paraId="2DB381F5">
            <w:pPr>
              <w:rPr>
                <w:rFonts w:hint="default" w:ascii="Times New Roman" w:hAnsi="Times New Roman" w:cs="Times New Roman"/>
                <w:color w:val="auto"/>
                <w:lang w:val="en-US" w:eastAsia="zh-CN"/>
              </w:rPr>
            </w:pPr>
          </w:p>
          <w:p w14:paraId="21E90DA7">
            <w:pPr>
              <w:rPr>
                <w:rFonts w:hint="default" w:ascii="Times New Roman" w:hAnsi="Times New Roman" w:cs="Times New Roman"/>
                <w:color w:val="auto"/>
                <w:lang w:val="en-US" w:eastAsia="zh-CN"/>
              </w:rPr>
            </w:pPr>
          </w:p>
          <w:p w14:paraId="2B07AF1C">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本项目建设租用</w:t>
            </w:r>
            <w:r>
              <w:rPr>
                <w:rFonts w:hint="default" w:ascii="Times New Roman" w:hAnsi="Times New Roman" w:eastAsia="宋体" w:cs="Times New Roman"/>
                <w:color w:val="auto"/>
                <w:lang w:val="en-US" w:eastAsia="zh-CN"/>
              </w:rPr>
              <w:t>原</w:t>
            </w:r>
            <w:r>
              <w:rPr>
                <w:rFonts w:hint="default" w:ascii="Times New Roman" w:hAnsi="Times New Roman" w:cs="Times New Roman"/>
                <w:color w:val="auto"/>
                <w:lang w:val="en-US" w:eastAsia="zh-CN"/>
              </w:rPr>
              <w:t>有</w:t>
            </w:r>
            <w:r>
              <w:rPr>
                <w:rFonts w:hint="default" w:ascii="Times New Roman" w:hAnsi="Times New Roman" w:eastAsia="宋体" w:cs="Times New Roman"/>
                <w:color w:val="auto"/>
                <w:lang w:val="en-US" w:eastAsia="zh-CN"/>
              </w:rPr>
              <w:t>砖场</w:t>
            </w:r>
            <w:r>
              <w:rPr>
                <w:rFonts w:hint="default" w:ascii="Times New Roman" w:hAnsi="Times New Roman" w:cs="Times New Roman"/>
                <w:color w:val="auto"/>
                <w:lang w:val="en-US" w:eastAsia="zh-CN"/>
              </w:rPr>
              <w:t>场地</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不新增用地，</w:t>
            </w:r>
            <w:r>
              <w:rPr>
                <w:rFonts w:hint="default" w:ascii="Times New Roman" w:hAnsi="Times New Roman" w:eastAsia="宋体" w:cs="Times New Roman"/>
                <w:color w:val="auto"/>
                <w:lang w:val="en-US" w:eastAsia="zh-CN"/>
              </w:rPr>
              <w:t>场地地表裸露无原生植物，</w:t>
            </w:r>
            <w:r>
              <w:rPr>
                <w:rFonts w:hint="eastAsia" w:cs="Times New Roman"/>
                <w:color w:val="auto"/>
                <w:lang w:val="en-US" w:eastAsia="zh-CN"/>
              </w:rPr>
              <w:t>无遗留</w:t>
            </w:r>
            <w:r>
              <w:rPr>
                <w:rFonts w:hint="default" w:ascii="Times New Roman" w:hAnsi="Times New Roman" w:eastAsia="宋体" w:cs="Times New Roman"/>
                <w:color w:val="auto"/>
                <w:lang w:val="en-US" w:eastAsia="zh-CN"/>
              </w:rPr>
              <w:t>环境</w:t>
            </w:r>
            <w:r>
              <w:rPr>
                <w:rFonts w:hint="eastAsia" w:cs="Times New Roman"/>
                <w:color w:val="auto"/>
                <w:lang w:val="en-US" w:eastAsia="zh-CN"/>
              </w:rPr>
              <w:t>污染</w:t>
            </w:r>
            <w:r>
              <w:rPr>
                <w:rFonts w:hint="default" w:ascii="Times New Roman" w:hAnsi="Times New Roman" w:eastAsia="宋体" w:cs="Times New Roman"/>
                <w:color w:val="auto"/>
                <w:lang w:val="en-US" w:eastAsia="zh-CN"/>
              </w:rPr>
              <w:t>问题。</w:t>
            </w:r>
            <w:r>
              <w:rPr>
                <w:rFonts w:hint="default" w:ascii="Times New Roman" w:hAnsi="Times New Roman" w:cs="Times New Roman"/>
                <w:color w:val="auto"/>
                <w:lang w:val="en-US" w:eastAsia="zh-CN"/>
              </w:rPr>
              <w:t>本项目依托原有砖场场地及办公生活区。</w:t>
            </w:r>
          </w:p>
          <w:p w14:paraId="2B852A27">
            <w:pPr>
              <w:rPr>
                <w:rFonts w:hint="default" w:ascii="Times New Roman" w:hAnsi="Times New Roman" w:cs="Times New Roman"/>
                <w:color w:val="auto"/>
                <w:lang w:val="en-US" w:eastAsia="zh-CN"/>
              </w:rPr>
            </w:pPr>
          </w:p>
          <w:p w14:paraId="79E93117">
            <w:pPr>
              <w:rPr>
                <w:rFonts w:hint="default" w:ascii="Times New Roman" w:hAnsi="Times New Roman" w:cs="Times New Roman"/>
                <w:color w:val="auto"/>
                <w:lang w:val="en-US" w:eastAsia="zh-CN"/>
              </w:rPr>
            </w:pPr>
          </w:p>
          <w:p w14:paraId="1537948E">
            <w:pPr>
              <w:rPr>
                <w:rFonts w:hint="default" w:ascii="Times New Roman" w:hAnsi="Times New Roman" w:cs="Times New Roman"/>
                <w:color w:val="auto"/>
                <w:lang w:val="en-US" w:eastAsia="zh-CN"/>
              </w:rPr>
            </w:pPr>
          </w:p>
          <w:p w14:paraId="46E5F831">
            <w:pPr>
              <w:rPr>
                <w:rFonts w:hint="default" w:ascii="Times New Roman" w:hAnsi="Times New Roman" w:cs="Times New Roman"/>
                <w:color w:val="auto"/>
                <w:lang w:val="en-US" w:eastAsia="zh-CN"/>
              </w:rPr>
            </w:pPr>
          </w:p>
          <w:p w14:paraId="3953948A">
            <w:pPr>
              <w:rPr>
                <w:rFonts w:hint="default" w:ascii="Times New Roman" w:hAnsi="Times New Roman" w:cs="Times New Roman"/>
                <w:color w:val="auto"/>
                <w:lang w:val="en-US" w:eastAsia="zh-CN"/>
              </w:rPr>
            </w:pPr>
          </w:p>
          <w:p w14:paraId="282C1B11">
            <w:pPr>
              <w:rPr>
                <w:rFonts w:hint="default" w:ascii="Times New Roman" w:hAnsi="Times New Roman" w:cs="Times New Roman"/>
                <w:color w:val="auto"/>
                <w:lang w:val="en-US" w:eastAsia="zh-CN"/>
              </w:rPr>
            </w:pPr>
          </w:p>
          <w:p w14:paraId="1E246359">
            <w:pPr>
              <w:rPr>
                <w:rFonts w:hint="default" w:ascii="Times New Roman" w:hAnsi="Times New Roman" w:cs="Times New Roman"/>
                <w:color w:val="auto"/>
                <w:lang w:val="en-US" w:eastAsia="zh-CN"/>
              </w:rPr>
            </w:pPr>
          </w:p>
          <w:p w14:paraId="2022C065">
            <w:pPr>
              <w:rPr>
                <w:rFonts w:hint="default" w:ascii="Times New Roman" w:hAnsi="Times New Roman" w:cs="Times New Roman"/>
                <w:color w:val="auto"/>
                <w:lang w:val="en-US" w:eastAsia="zh-CN"/>
              </w:rPr>
            </w:pPr>
          </w:p>
          <w:p w14:paraId="60C6C6A2">
            <w:pPr>
              <w:rPr>
                <w:rFonts w:hint="default" w:ascii="Times New Roman" w:hAnsi="Times New Roman" w:cs="Times New Roman"/>
                <w:color w:val="auto"/>
                <w:lang w:val="en-US" w:eastAsia="zh-CN"/>
              </w:rPr>
            </w:pPr>
          </w:p>
          <w:p w14:paraId="52F93D46">
            <w:pPr>
              <w:rPr>
                <w:rFonts w:hint="default" w:ascii="Times New Roman" w:hAnsi="Times New Roman" w:cs="Times New Roman"/>
                <w:color w:val="auto"/>
                <w:lang w:val="en-US" w:eastAsia="zh-CN"/>
              </w:rPr>
            </w:pPr>
          </w:p>
          <w:p w14:paraId="5AB69FA6">
            <w:pPr>
              <w:rPr>
                <w:rFonts w:hint="default" w:ascii="Times New Roman" w:hAnsi="Times New Roman" w:cs="Times New Roman"/>
                <w:color w:val="auto"/>
                <w:lang w:val="en-US" w:eastAsia="zh-CN"/>
              </w:rPr>
            </w:pPr>
          </w:p>
          <w:p w14:paraId="544BDBCF">
            <w:pPr>
              <w:rPr>
                <w:rFonts w:hint="default" w:ascii="Times New Roman" w:hAnsi="Times New Roman" w:cs="Times New Roman"/>
                <w:color w:val="auto"/>
                <w:lang w:val="en-US" w:eastAsia="zh-CN"/>
              </w:rPr>
            </w:pPr>
          </w:p>
        </w:tc>
      </w:tr>
    </w:tbl>
    <w:p w14:paraId="6C85C438">
      <w:pPr>
        <w:pStyle w:val="38"/>
        <w:ind w:left="0" w:leftChars="0" w:firstLine="0" w:firstLineChars="0"/>
        <w:rPr>
          <w:rFonts w:hint="default" w:ascii="Times New Roman" w:hAnsi="Times New Roman" w:cs="Times New Roman"/>
          <w:snapToGrid w:val="0"/>
          <w:color w:val="auto"/>
        </w:rPr>
        <w:sectPr>
          <w:footerReference r:id="rId8" w:type="default"/>
          <w:pgSz w:w="11906" w:h="16838"/>
          <w:pgMar w:top="1701" w:right="1417" w:bottom="1644"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1B3CB2D9">
      <w:pPr>
        <w:pStyle w:val="14"/>
        <w:rPr>
          <w:rFonts w:hint="default" w:ascii="Times New Roman" w:hAnsi="Times New Roman" w:cs="Times New Roman"/>
          <w:snapToGrid w:val="0"/>
          <w:color w:val="auto"/>
        </w:rPr>
      </w:pPr>
      <w:bookmarkStart w:id="10" w:name="_Toc19565"/>
      <w:bookmarkStart w:id="11" w:name="_Toc10028"/>
      <w:r>
        <w:rPr>
          <w:rFonts w:hint="default" w:ascii="Times New Roman" w:hAnsi="Times New Roman" w:cs="Times New Roman"/>
          <w:snapToGrid w:val="0"/>
          <w:color w:val="auto"/>
        </w:rPr>
        <w:t>三、区域环境质量现状、环境保护目标及评价标准</w:t>
      </w:r>
      <w:bookmarkEnd w:id="10"/>
      <w:bookmarkEnd w:id="11"/>
    </w:p>
    <w:tbl>
      <w:tblPr>
        <w:tblStyle w:val="16"/>
        <w:tblW w:w="98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462"/>
      </w:tblGrid>
      <w:tr w14:paraId="2BF34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1" w:hRule="atLeast"/>
          <w:jc w:val="center"/>
        </w:trPr>
        <w:tc>
          <w:tcPr>
            <w:tcW w:w="456" w:type="dxa"/>
            <w:vAlign w:val="center"/>
          </w:tcPr>
          <w:p w14:paraId="6AE5CEBB">
            <w:pPr>
              <w:pStyle w:val="40"/>
              <w:rPr>
                <w:rFonts w:hint="default" w:ascii="Times New Roman" w:hAnsi="Times New Roman" w:cs="Times New Roman"/>
                <w:color w:val="auto"/>
              </w:rPr>
            </w:pPr>
            <w:r>
              <w:rPr>
                <w:rFonts w:hint="default" w:ascii="Times New Roman" w:hAnsi="Times New Roman" w:cs="Times New Roman"/>
                <w:color w:val="auto"/>
              </w:rPr>
              <w:t>区域</w:t>
            </w:r>
          </w:p>
          <w:p w14:paraId="10D20900">
            <w:pPr>
              <w:pStyle w:val="40"/>
              <w:rPr>
                <w:rFonts w:hint="default" w:ascii="Times New Roman" w:hAnsi="Times New Roman" w:cs="Times New Roman"/>
                <w:color w:val="auto"/>
              </w:rPr>
            </w:pPr>
            <w:r>
              <w:rPr>
                <w:rFonts w:hint="default" w:ascii="Times New Roman" w:hAnsi="Times New Roman" w:cs="Times New Roman"/>
                <w:color w:val="auto"/>
              </w:rPr>
              <w:t>环境</w:t>
            </w:r>
          </w:p>
          <w:p w14:paraId="6FA85A06">
            <w:pPr>
              <w:pStyle w:val="40"/>
              <w:rPr>
                <w:rFonts w:hint="default" w:ascii="Times New Roman" w:hAnsi="Times New Roman" w:cs="Times New Roman"/>
                <w:color w:val="auto"/>
              </w:rPr>
            </w:pPr>
            <w:r>
              <w:rPr>
                <w:rFonts w:hint="default" w:ascii="Times New Roman" w:hAnsi="Times New Roman" w:cs="Times New Roman"/>
                <w:color w:val="auto"/>
              </w:rPr>
              <w:t>质量</w:t>
            </w:r>
          </w:p>
          <w:p w14:paraId="00971CFE">
            <w:pPr>
              <w:pStyle w:val="40"/>
              <w:rPr>
                <w:rFonts w:hint="default" w:ascii="Times New Roman" w:hAnsi="Times New Roman" w:cs="Times New Roman"/>
                <w:color w:val="auto"/>
              </w:rPr>
            </w:pPr>
            <w:r>
              <w:rPr>
                <w:rFonts w:hint="default" w:ascii="Times New Roman" w:hAnsi="Times New Roman" w:cs="Times New Roman"/>
                <w:color w:val="auto"/>
              </w:rPr>
              <w:t>现状</w:t>
            </w:r>
          </w:p>
        </w:tc>
        <w:tc>
          <w:tcPr>
            <w:tcW w:w="9415" w:type="dxa"/>
            <w:vAlign w:val="center"/>
          </w:tcPr>
          <w:p w14:paraId="195C8DCE">
            <w:pPr>
              <w:ind w:left="0" w:leftChars="0" w:firstLine="0" w:firstLineChars="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环境</w:t>
            </w:r>
            <w:r>
              <w:rPr>
                <w:rFonts w:hint="eastAsia" w:ascii="Times New Roman" w:hAnsi="Times New Roman" w:cs="Times New Roman"/>
                <w:b/>
                <w:bCs/>
                <w:color w:val="auto"/>
                <w:lang w:val="en-US" w:eastAsia="zh-CN"/>
              </w:rPr>
              <w:t>空气</w:t>
            </w:r>
            <w:r>
              <w:rPr>
                <w:rFonts w:hint="default" w:ascii="Times New Roman" w:hAnsi="Times New Roman" w:cs="Times New Roman"/>
                <w:b/>
                <w:bCs/>
                <w:color w:val="auto"/>
                <w:lang w:val="en-US" w:eastAsia="zh-CN"/>
              </w:rPr>
              <w:t>质量现状</w:t>
            </w:r>
          </w:p>
          <w:p w14:paraId="55EA45C4">
            <w:pPr>
              <w:ind w:left="0" w:leftChars="0" w:firstLine="0" w:firstLineChars="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1.1环境空气质量标准</w:t>
            </w:r>
          </w:p>
          <w:p w14:paraId="19773339">
            <w:pPr>
              <w:widowControl/>
              <w:ind w:firstLine="480"/>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项目位</w:t>
            </w:r>
            <w:r>
              <w:rPr>
                <w:rFonts w:hint="default" w:ascii="Times New Roman" w:hAnsi="Times New Roman" w:cs="Times New Roman"/>
                <w:color w:val="auto"/>
                <w:highlight w:val="none"/>
              </w:rPr>
              <w:t>于云南省玉溪市</w:t>
            </w:r>
            <w:r>
              <w:rPr>
                <w:rFonts w:hint="default" w:ascii="Times New Roman" w:hAnsi="Times New Roman" w:cs="Times New Roman"/>
                <w:color w:val="auto"/>
                <w:highlight w:val="none"/>
                <w:lang w:val="en-US" w:eastAsia="zh-CN"/>
              </w:rPr>
              <w:t>华宁</w:t>
            </w:r>
            <w:r>
              <w:rPr>
                <w:rFonts w:hint="default" w:ascii="Times New Roman" w:hAnsi="Times New Roman" w:cs="Times New Roman"/>
                <w:color w:val="auto"/>
                <w:highlight w:val="none"/>
              </w:rPr>
              <w:t>县</w:t>
            </w:r>
            <w:r>
              <w:rPr>
                <w:rFonts w:hint="default" w:ascii="Times New Roman" w:hAnsi="Times New Roman" w:cs="Times New Roman"/>
                <w:color w:val="auto"/>
                <w:highlight w:val="none"/>
                <w:lang w:val="en-US" w:eastAsia="zh-CN"/>
              </w:rPr>
              <w:t>宁州街道法果村</w:t>
            </w:r>
            <w:r>
              <w:rPr>
                <w:rFonts w:hint="default" w:ascii="Times New Roman" w:hAnsi="Times New Roman" w:cs="Times New Roman"/>
                <w:color w:val="auto"/>
                <w:highlight w:val="none"/>
              </w:rPr>
              <w:t>，项目区属环境空气功能</w:t>
            </w:r>
            <w:r>
              <w:rPr>
                <w:rFonts w:hint="default" w:ascii="Times New Roman" w:hAnsi="Times New Roman" w:cs="Times New Roman"/>
                <w:color w:val="auto"/>
                <w:kern w:val="0"/>
                <w:szCs w:val="20"/>
                <w:highlight w:val="none"/>
              </w:rPr>
              <w:t>区二类区（</w:t>
            </w:r>
            <w:r>
              <w:rPr>
                <w:rFonts w:hint="default" w:ascii="Times New Roman" w:hAnsi="Times New Roman" w:cs="Times New Roman"/>
                <w:color w:val="auto"/>
                <w:kern w:val="0"/>
                <w:highlight w:val="none"/>
              </w:rPr>
              <w:t>城镇规划中确定的居住区、商业交通居民混合区、文化区、一般工业区和农村地区</w:t>
            </w:r>
            <w:r>
              <w:rPr>
                <w:rFonts w:hint="default" w:ascii="Times New Roman" w:hAnsi="Times New Roman" w:cs="Times New Roman"/>
                <w:color w:val="auto"/>
                <w:kern w:val="0"/>
                <w:szCs w:val="20"/>
                <w:highlight w:val="none"/>
              </w:rPr>
              <w:t>），环境</w:t>
            </w:r>
            <w:r>
              <w:rPr>
                <w:rFonts w:hint="default" w:ascii="Times New Roman" w:hAnsi="Times New Roman" w:cs="Times New Roman"/>
                <w:color w:val="auto"/>
                <w:kern w:val="0"/>
                <w:highlight w:val="none"/>
              </w:rPr>
              <w:t>空气执行《环境空气质量标准》（GB3095-2026）</w:t>
            </w:r>
            <w:r>
              <w:rPr>
                <w:rFonts w:hint="eastAsia" w:cs="Times New Roman"/>
                <w:color w:val="auto"/>
                <w:kern w:val="0"/>
                <w:highlight w:val="none"/>
                <w:lang w:eastAsia="zh-CN"/>
              </w:rPr>
              <w:t>中</w:t>
            </w:r>
            <w:r>
              <w:rPr>
                <w:rFonts w:hint="eastAsia" w:cs="Times New Roman"/>
                <w:color w:val="auto"/>
                <w:kern w:val="0"/>
                <w:highlight w:val="none"/>
                <w:lang w:val="en-US" w:eastAsia="zh-CN"/>
              </w:rPr>
              <w:t>的二级标准，SO</w:t>
            </w:r>
            <w:r>
              <w:rPr>
                <w:rFonts w:hint="eastAsia" w:cs="Times New Roman"/>
                <w:color w:val="auto"/>
                <w:kern w:val="0"/>
                <w:highlight w:val="none"/>
                <w:vertAlign w:val="subscript"/>
                <w:lang w:val="en-US" w:eastAsia="zh-CN"/>
              </w:rPr>
              <w:t>2</w:t>
            </w:r>
            <w:r>
              <w:rPr>
                <w:rFonts w:hint="eastAsia" w:cs="Times New Roman"/>
                <w:color w:val="auto"/>
                <w:kern w:val="0"/>
                <w:highlight w:val="none"/>
                <w:lang w:val="en-US" w:eastAsia="zh-CN"/>
              </w:rPr>
              <w:t>、NO</w:t>
            </w:r>
            <w:r>
              <w:rPr>
                <w:rFonts w:hint="eastAsia" w:cs="Times New Roman"/>
                <w:color w:val="auto"/>
                <w:kern w:val="0"/>
                <w:highlight w:val="none"/>
                <w:vertAlign w:val="subscript"/>
                <w:lang w:val="en-US" w:eastAsia="zh-CN"/>
              </w:rPr>
              <w:t>2</w:t>
            </w:r>
            <w:r>
              <w:rPr>
                <w:rFonts w:hint="eastAsia" w:cs="Times New Roman"/>
                <w:color w:val="auto"/>
                <w:kern w:val="0"/>
                <w:highlight w:val="none"/>
                <w:lang w:val="en-US" w:eastAsia="zh-CN"/>
              </w:rPr>
              <w:t>、PM</w:t>
            </w:r>
            <w:r>
              <w:rPr>
                <w:rFonts w:hint="eastAsia" w:cs="Times New Roman"/>
                <w:color w:val="auto"/>
                <w:kern w:val="0"/>
                <w:highlight w:val="none"/>
                <w:vertAlign w:val="subscript"/>
                <w:lang w:val="en-US" w:eastAsia="zh-CN"/>
              </w:rPr>
              <w:t>10</w:t>
            </w:r>
            <w:r>
              <w:rPr>
                <w:rFonts w:hint="eastAsia" w:cs="Times New Roman"/>
                <w:color w:val="auto"/>
                <w:kern w:val="0"/>
                <w:highlight w:val="none"/>
                <w:lang w:val="en-US" w:eastAsia="zh-CN"/>
              </w:rPr>
              <w:t>、PM</w:t>
            </w:r>
            <w:r>
              <w:rPr>
                <w:rFonts w:hint="eastAsia" w:cs="Times New Roman"/>
                <w:color w:val="auto"/>
                <w:kern w:val="0"/>
                <w:highlight w:val="none"/>
                <w:vertAlign w:val="subscript"/>
                <w:lang w:val="en-US" w:eastAsia="zh-CN"/>
              </w:rPr>
              <w:t>2.5</w:t>
            </w:r>
            <w:r>
              <w:rPr>
                <w:rFonts w:hint="eastAsia" w:cs="Times New Roman"/>
                <w:color w:val="auto"/>
                <w:kern w:val="0"/>
                <w:highlight w:val="none"/>
                <w:lang w:val="en-US" w:eastAsia="zh-CN"/>
              </w:rPr>
              <w:t>、O</w:t>
            </w:r>
            <w:r>
              <w:rPr>
                <w:rFonts w:hint="eastAsia" w:cs="Times New Roman"/>
                <w:color w:val="auto"/>
                <w:kern w:val="0"/>
                <w:highlight w:val="none"/>
                <w:vertAlign w:val="subscript"/>
                <w:lang w:val="en-US" w:eastAsia="zh-CN"/>
              </w:rPr>
              <w:t>3</w:t>
            </w:r>
            <w:r>
              <w:rPr>
                <w:rFonts w:hint="eastAsia" w:cs="Times New Roman"/>
                <w:color w:val="auto"/>
                <w:kern w:val="0"/>
                <w:highlight w:val="none"/>
                <w:lang w:val="en-US" w:eastAsia="zh-CN"/>
              </w:rPr>
              <w:t>、CO六项污染物</w:t>
            </w:r>
            <w:r>
              <w:rPr>
                <w:rFonts w:hint="default" w:ascii="Times New Roman" w:hAnsi="Times New Roman" w:cs="Times New Roman"/>
                <w:color w:val="auto"/>
                <w:kern w:val="0"/>
                <w:highlight w:val="none"/>
              </w:rPr>
              <w:t>2030年12月31日前</w:t>
            </w:r>
            <w:r>
              <w:rPr>
                <w:rFonts w:hint="eastAsia" w:cs="Times New Roman"/>
                <w:color w:val="auto"/>
                <w:kern w:val="0"/>
                <w:highlight w:val="none"/>
                <w:lang w:val="en-US" w:eastAsia="zh-CN"/>
              </w:rPr>
              <w:t>执行表1</w:t>
            </w:r>
            <w:r>
              <w:rPr>
                <w:rFonts w:hint="default" w:ascii="Times New Roman" w:hAnsi="Times New Roman" w:cs="Times New Roman"/>
                <w:color w:val="auto"/>
                <w:kern w:val="0"/>
                <w:highlight w:val="none"/>
              </w:rPr>
              <w:t>过渡阶段浓度限制</w:t>
            </w:r>
            <w:r>
              <w:rPr>
                <w:rFonts w:hint="eastAsia" w:cs="Times New Roman"/>
                <w:color w:val="auto"/>
                <w:kern w:val="0"/>
                <w:highlight w:val="none"/>
                <w:lang w:eastAsia="zh-CN"/>
              </w:rPr>
              <w:t>中</w:t>
            </w:r>
            <w:r>
              <w:rPr>
                <w:rFonts w:hint="eastAsia" w:cs="Times New Roman"/>
                <w:color w:val="auto"/>
                <w:kern w:val="0"/>
                <w:highlight w:val="none"/>
                <w:lang w:val="en-US" w:eastAsia="zh-CN"/>
              </w:rPr>
              <w:t>二级标准</w:t>
            </w:r>
            <w:r>
              <w:rPr>
                <w:rFonts w:hint="default" w:ascii="Times New Roman" w:hAnsi="Times New Roman" w:cs="Times New Roman"/>
                <w:color w:val="auto"/>
                <w:kern w:val="0"/>
                <w:highlight w:val="none"/>
              </w:rPr>
              <w:t>，自2031年1月1日起执行该标准浓度限制</w:t>
            </w:r>
            <w:r>
              <w:rPr>
                <w:rFonts w:hint="eastAsia" w:cs="Times New Roman"/>
                <w:color w:val="auto"/>
                <w:kern w:val="0"/>
                <w:highlight w:val="none"/>
                <w:lang w:val="en-US" w:eastAsia="zh-CN"/>
              </w:rPr>
              <w:t>二级标准</w:t>
            </w:r>
            <w:r>
              <w:rPr>
                <w:rFonts w:hint="default" w:ascii="Times New Roman" w:hAnsi="Times New Roman" w:cs="Times New Roman"/>
                <w:color w:val="auto"/>
                <w:kern w:val="0"/>
                <w:highlight w:val="none"/>
              </w:rPr>
              <w:t>要求</w:t>
            </w:r>
            <w:r>
              <w:rPr>
                <w:rFonts w:hint="eastAsia" w:cs="Times New Roman"/>
                <w:color w:val="auto"/>
                <w:kern w:val="0"/>
                <w:highlight w:val="none"/>
                <w:lang w:eastAsia="zh-CN"/>
              </w:rPr>
              <w:t>，</w:t>
            </w:r>
            <w:r>
              <w:rPr>
                <w:rFonts w:hint="eastAsia" w:cs="Times New Roman"/>
                <w:color w:val="auto"/>
                <w:kern w:val="0"/>
                <w:highlight w:val="none"/>
                <w:lang w:val="en-US" w:eastAsia="zh-CN"/>
              </w:rPr>
              <w:t>TSP执行表2二级浓度限值，</w:t>
            </w:r>
            <w:r>
              <w:rPr>
                <w:rFonts w:hint="default" w:ascii="Times New Roman" w:hAnsi="Times New Roman" w:cs="Times New Roman"/>
                <w:color w:val="auto"/>
                <w:kern w:val="0"/>
                <w:szCs w:val="20"/>
                <w:highlight w:val="none"/>
              </w:rPr>
              <w:t>标准值见表3-1。</w:t>
            </w:r>
          </w:p>
          <w:p w14:paraId="02DF9C86">
            <w:pPr>
              <w:pStyle w:val="54"/>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表3-1  环境空气质量标准</w:t>
            </w:r>
          </w:p>
          <w:tbl>
            <w:tblPr>
              <w:tblStyle w:val="16"/>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883"/>
              <w:gridCol w:w="2634"/>
              <w:gridCol w:w="2127"/>
              <w:gridCol w:w="1029"/>
            </w:tblGrid>
            <w:tr w14:paraId="3C91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07" w:type="pct"/>
                  <w:vMerge w:val="restart"/>
                  <w:noWrap w:val="0"/>
                  <w:vAlign w:val="center"/>
                </w:tcPr>
                <w:p w14:paraId="34C03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aps w:val="0"/>
                      <w:color w:val="auto"/>
                      <w:sz w:val="21"/>
                      <w:szCs w:val="21"/>
                    </w:rPr>
                  </w:pPr>
                  <w:r>
                    <w:rPr>
                      <w:rFonts w:hint="default" w:ascii="Times New Roman" w:hAnsi="Times New Roman" w:eastAsia="宋体" w:cs="Times New Roman"/>
                      <w:b/>
                      <w:bCs/>
                      <w:caps w:val="0"/>
                      <w:color w:val="auto"/>
                      <w:sz w:val="21"/>
                      <w:szCs w:val="21"/>
                    </w:rPr>
                    <w:t>污染物</w:t>
                  </w:r>
                </w:p>
              </w:tc>
              <w:tc>
                <w:tcPr>
                  <w:tcW w:w="1029" w:type="pct"/>
                  <w:vMerge w:val="restart"/>
                  <w:noWrap w:val="0"/>
                  <w:vAlign w:val="center"/>
                </w:tcPr>
                <w:p w14:paraId="382CC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aps w:val="0"/>
                      <w:color w:val="auto"/>
                      <w:sz w:val="21"/>
                      <w:szCs w:val="21"/>
                    </w:rPr>
                  </w:pPr>
                  <w:r>
                    <w:rPr>
                      <w:rFonts w:hint="eastAsia" w:ascii="Times New Roman" w:hAnsi="Times New Roman" w:eastAsia="宋体" w:cs="Times New Roman"/>
                      <w:b/>
                      <w:bCs/>
                      <w:caps w:val="0"/>
                      <w:color w:val="auto"/>
                      <w:sz w:val="21"/>
                      <w:szCs w:val="21"/>
                      <w:lang w:val="en-US" w:eastAsia="zh-CN"/>
                    </w:rPr>
                    <w:t>平均</w:t>
                  </w:r>
                  <w:r>
                    <w:rPr>
                      <w:rFonts w:hint="default" w:ascii="Times New Roman" w:hAnsi="Times New Roman" w:eastAsia="宋体" w:cs="Times New Roman"/>
                      <w:b/>
                      <w:bCs/>
                      <w:caps w:val="0"/>
                      <w:color w:val="auto"/>
                      <w:sz w:val="21"/>
                      <w:szCs w:val="21"/>
                    </w:rPr>
                    <w:t>时间</w:t>
                  </w:r>
                </w:p>
              </w:tc>
              <w:tc>
                <w:tcPr>
                  <w:tcW w:w="2601" w:type="pct"/>
                  <w:gridSpan w:val="2"/>
                  <w:noWrap w:val="0"/>
                  <w:vAlign w:val="center"/>
                </w:tcPr>
                <w:p w14:paraId="020AB4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bCs/>
                      <w:caps w:val="0"/>
                      <w:color w:val="auto"/>
                      <w:sz w:val="21"/>
                      <w:szCs w:val="21"/>
                      <w:lang w:val="en-US" w:eastAsia="zh-CN"/>
                    </w:rPr>
                  </w:pPr>
                  <w:r>
                    <w:rPr>
                      <w:rFonts w:hint="eastAsia" w:ascii="Times New Roman" w:hAnsi="Times New Roman" w:eastAsia="宋体" w:cs="Times New Roman"/>
                      <w:b/>
                      <w:bCs/>
                      <w:caps w:val="0"/>
                      <w:color w:val="auto"/>
                      <w:sz w:val="21"/>
                      <w:szCs w:val="21"/>
                      <w:lang w:val="en-US" w:eastAsia="zh-CN"/>
                    </w:rPr>
                    <w:t>GB3095-2026二级标准</w:t>
                  </w:r>
                </w:p>
              </w:tc>
              <w:tc>
                <w:tcPr>
                  <w:tcW w:w="562" w:type="pct"/>
                  <w:vMerge w:val="restart"/>
                  <w:noWrap w:val="0"/>
                  <w:vAlign w:val="center"/>
                </w:tcPr>
                <w:p w14:paraId="5FFD5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aps w:val="0"/>
                      <w:color w:val="auto"/>
                      <w:sz w:val="21"/>
                      <w:szCs w:val="21"/>
                    </w:rPr>
                  </w:pPr>
                  <w:r>
                    <w:rPr>
                      <w:rFonts w:hint="default" w:ascii="Times New Roman" w:hAnsi="Times New Roman" w:eastAsia="宋体" w:cs="Times New Roman"/>
                      <w:b/>
                      <w:bCs/>
                      <w:caps w:val="0"/>
                      <w:color w:val="auto"/>
                      <w:sz w:val="21"/>
                      <w:szCs w:val="21"/>
                    </w:rPr>
                    <w:t>单位</w:t>
                  </w:r>
                </w:p>
              </w:tc>
            </w:tr>
            <w:tr w14:paraId="014B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pct"/>
                  <w:vMerge w:val="continue"/>
                  <w:noWrap w:val="0"/>
                  <w:vAlign w:val="center"/>
                </w:tcPr>
                <w:p w14:paraId="3CE21A41">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vMerge w:val="continue"/>
                  <w:noWrap w:val="0"/>
                  <w:vAlign w:val="center"/>
                </w:tcPr>
                <w:p w14:paraId="5D85A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aps w:val="0"/>
                      <w:color w:val="auto"/>
                      <w:sz w:val="21"/>
                      <w:szCs w:val="21"/>
                    </w:rPr>
                  </w:pPr>
                </w:p>
              </w:tc>
              <w:tc>
                <w:tcPr>
                  <w:tcW w:w="1439" w:type="pct"/>
                  <w:shd w:val="clear" w:color="auto" w:fill="auto"/>
                  <w:noWrap w:val="0"/>
                  <w:vAlign w:val="center"/>
                </w:tcPr>
                <w:p w14:paraId="4311B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aps w:val="0"/>
                      <w:color w:val="auto"/>
                      <w:sz w:val="21"/>
                      <w:szCs w:val="21"/>
                      <w:lang w:val="en-US" w:eastAsia="zh-CN"/>
                    </w:rPr>
                  </w:pPr>
                  <w:r>
                    <w:rPr>
                      <w:rFonts w:hint="eastAsia" w:ascii="Times New Roman" w:hAnsi="Times New Roman" w:eastAsia="宋体" w:cs="Times New Roman"/>
                      <w:b/>
                      <w:bCs/>
                      <w:caps w:val="0"/>
                      <w:color w:val="auto"/>
                      <w:sz w:val="21"/>
                      <w:szCs w:val="21"/>
                      <w:lang w:val="en-US" w:eastAsia="zh-CN"/>
                    </w:rPr>
                    <w:t>过渡阶段浓度限制</w:t>
                  </w:r>
                </w:p>
                <w:p w14:paraId="1A929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aps w:val="0"/>
                      <w:color w:val="auto"/>
                      <w:kern w:val="2"/>
                      <w:sz w:val="21"/>
                      <w:szCs w:val="21"/>
                      <w:lang w:val="en-US" w:eastAsia="zh-CN" w:bidi="ar-SA"/>
                    </w:rPr>
                  </w:pPr>
                  <w:r>
                    <w:rPr>
                      <w:rFonts w:hint="eastAsia" w:ascii="Times New Roman" w:hAnsi="Times New Roman" w:eastAsia="宋体" w:cs="Times New Roman"/>
                      <w:b/>
                      <w:bCs/>
                      <w:caps w:val="0"/>
                      <w:color w:val="auto"/>
                      <w:sz w:val="21"/>
                      <w:szCs w:val="21"/>
                      <w:lang w:val="en-US" w:eastAsia="zh-CN"/>
                    </w:rPr>
                    <w:t>（2026年3月1日-2030年12月31日）</w:t>
                  </w:r>
                </w:p>
              </w:tc>
              <w:tc>
                <w:tcPr>
                  <w:tcW w:w="1161" w:type="pct"/>
                  <w:shd w:val="clear" w:color="auto" w:fill="auto"/>
                  <w:noWrap w:val="0"/>
                  <w:vAlign w:val="center"/>
                </w:tcPr>
                <w:p w14:paraId="093AF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aps w:val="0"/>
                      <w:color w:val="auto"/>
                      <w:sz w:val="21"/>
                      <w:szCs w:val="21"/>
                      <w:lang w:val="en-US" w:eastAsia="zh-CN"/>
                    </w:rPr>
                  </w:pPr>
                  <w:r>
                    <w:rPr>
                      <w:rFonts w:hint="eastAsia" w:ascii="Times New Roman" w:hAnsi="Times New Roman" w:eastAsia="宋体" w:cs="Times New Roman"/>
                      <w:b/>
                      <w:bCs/>
                      <w:caps w:val="0"/>
                      <w:color w:val="auto"/>
                      <w:sz w:val="21"/>
                      <w:szCs w:val="21"/>
                      <w:lang w:val="en-US" w:eastAsia="zh-CN"/>
                    </w:rPr>
                    <w:t>浓度限值</w:t>
                  </w:r>
                </w:p>
                <w:p w14:paraId="3BB300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aps w:val="0"/>
                      <w:color w:val="auto"/>
                      <w:kern w:val="2"/>
                      <w:sz w:val="21"/>
                      <w:szCs w:val="21"/>
                      <w:lang w:val="en-US" w:eastAsia="zh-CN" w:bidi="ar-SA"/>
                    </w:rPr>
                  </w:pPr>
                  <w:r>
                    <w:rPr>
                      <w:rFonts w:hint="eastAsia" w:ascii="Times New Roman" w:hAnsi="Times New Roman" w:eastAsia="宋体" w:cs="Times New Roman"/>
                      <w:b/>
                      <w:bCs/>
                      <w:caps w:val="0"/>
                      <w:color w:val="auto"/>
                      <w:sz w:val="21"/>
                      <w:szCs w:val="21"/>
                      <w:lang w:val="en-US" w:eastAsia="zh-CN"/>
                    </w:rPr>
                    <w:t>2031年1月1日起</w:t>
                  </w:r>
                </w:p>
              </w:tc>
              <w:tc>
                <w:tcPr>
                  <w:tcW w:w="562" w:type="pct"/>
                  <w:vMerge w:val="continue"/>
                  <w:noWrap w:val="0"/>
                  <w:vAlign w:val="center"/>
                </w:tcPr>
                <w:p w14:paraId="1F523597">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5B57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restart"/>
                  <w:noWrap w:val="0"/>
                  <w:vAlign w:val="center"/>
                </w:tcPr>
                <w:p w14:paraId="1EF76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二氧化硫（SO</w:t>
                  </w:r>
                  <w:r>
                    <w:rPr>
                      <w:rFonts w:hint="default" w:ascii="Times New Roman" w:hAnsi="Times New Roman" w:eastAsia="宋体" w:cs="Times New Roman"/>
                      <w:caps w:val="0"/>
                      <w:color w:val="auto"/>
                      <w:sz w:val="21"/>
                      <w:szCs w:val="21"/>
                      <w:vertAlign w:val="subscript"/>
                    </w:rPr>
                    <w:t>2</w:t>
                  </w:r>
                  <w:r>
                    <w:rPr>
                      <w:rFonts w:hint="default" w:ascii="Times New Roman" w:hAnsi="Times New Roman" w:eastAsia="宋体" w:cs="Times New Roman"/>
                      <w:caps w:val="0"/>
                      <w:color w:val="auto"/>
                      <w:sz w:val="21"/>
                      <w:szCs w:val="21"/>
                    </w:rPr>
                    <w:t>）</w:t>
                  </w:r>
                </w:p>
              </w:tc>
              <w:tc>
                <w:tcPr>
                  <w:tcW w:w="1029" w:type="pct"/>
                  <w:noWrap w:val="0"/>
                  <w:vAlign w:val="center"/>
                </w:tcPr>
                <w:p w14:paraId="42429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年平均</w:t>
                  </w:r>
                </w:p>
              </w:tc>
              <w:tc>
                <w:tcPr>
                  <w:tcW w:w="1439" w:type="pct"/>
                  <w:noWrap w:val="0"/>
                  <w:vAlign w:val="center"/>
                </w:tcPr>
                <w:p w14:paraId="045BE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60</w:t>
                  </w:r>
                </w:p>
              </w:tc>
              <w:tc>
                <w:tcPr>
                  <w:tcW w:w="1161" w:type="pct"/>
                  <w:noWrap w:val="0"/>
                  <w:vAlign w:val="center"/>
                </w:tcPr>
                <w:p w14:paraId="6EFBD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20</w:t>
                  </w:r>
                </w:p>
              </w:tc>
              <w:tc>
                <w:tcPr>
                  <w:tcW w:w="562" w:type="pct"/>
                  <w:vMerge w:val="restart"/>
                  <w:noWrap w:val="0"/>
                  <w:vAlign w:val="center"/>
                </w:tcPr>
                <w:p w14:paraId="463D2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μg/m</w:t>
                  </w:r>
                  <w:r>
                    <w:rPr>
                      <w:rFonts w:hint="default" w:ascii="Times New Roman" w:hAnsi="Times New Roman" w:eastAsia="宋体" w:cs="Times New Roman"/>
                      <w:caps w:val="0"/>
                      <w:color w:val="auto"/>
                      <w:sz w:val="21"/>
                      <w:szCs w:val="21"/>
                      <w:vertAlign w:val="superscript"/>
                    </w:rPr>
                    <w:t>3</w:t>
                  </w:r>
                </w:p>
              </w:tc>
            </w:tr>
            <w:tr w14:paraId="5392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07" w:type="pct"/>
                  <w:vMerge w:val="continue"/>
                  <w:noWrap w:val="0"/>
                  <w:vAlign w:val="center"/>
                </w:tcPr>
                <w:p w14:paraId="14B6F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3E160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eastAsia" w:ascii="Times New Roman" w:hAnsi="Times New Roman" w:eastAsia="宋体" w:cs="Times New Roman"/>
                      <w:caps w:val="0"/>
                      <w:color w:val="auto"/>
                      <w:sz w:val="21"/>
                      <w:szCs w:val="21"/>
                      <w:lang w:val="en-US" w:eastAsia="zh-CN"/>
                    </w:rPr>
                    <w:t>日</w:t>
                  </w:r>
                  <w:r>
                    <w:rPr>
                      <w:rFonts w:hint="default" w:ascii="Times New Roman" w:hAnsi="Times New Roman" w:eastAsia="宋体" w:cs="Times New Roman"/>
                      <w:caps w:val="0"/>
                      <w:color w:val="auto"/>
                      <w:sz w:val="21"/>
                      <w:szCs w:val="21"/>
                    </w:rPr>
                    <w:t>平均</w:t>
                  </w:r>
                </w:p>
              </w:tc>
              <w:tc>
                <w:tcPr>
                  <w:tcW w:w="1439" w:type="pct"/>
                  <w:noWrap w:val="0"/>
                  <w:vAlign w:val="center"/>
                </w:tcPr>
                <w:p w14:paraId="24DBF5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150</w:t>
                  </w:r>
                </w:p>
              </w:tc>
              <w:tc>
                <w:tcPr>
                  <w:tcW w:w="1161" w:type="pct"/>
                  <w:noWrap w:val="0"/>
                  <w:vAlign w:val="center"/>
                </w:tcPr>
                <w:p w14:paraId="74AB1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50</w:t>
                  </w:r>
                </w:p>
              </w:tc>
              <w:tc>
                <w:tcPr>
                  <w:tcW w:w="562" w:type="pct"/>
                  <w:vMerge w:val="continue"/>
                  <w:noWrap w:val="0"/>
                  <w:vAlign w:val="center"/>
                </w:tcPr>
                <w:p w14:paraId="281D9094">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5F70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continue"/>
                  <w:noWrap w:val="0"/>
                  <w:vAlign w:val="center"/>
                </w:tcPr>
                <w:p w14:paraId="16B8C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43B73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1小时平均</w:t>
                  </w:r>
                </w:p>
              </w:tc>
              <w:tc>
                <w:tcPr>
                  <w:tcW w:w="1439" w:type="pct"/>
                  <w:noWrap w:val="0"/>
                  <w:vAlign w:val="center"/>
                </w:tcPr>
                <w:p w14:paraId="48A38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500</w:t>
                  </w:r>
                </w:p>
              </w:tc>
              <w:tc>
                <w:tcPr>
                  <w:tcW w:w="1161" w:type="pct"/>
                  <w:noWrap w:val="0"/>
                  <w:vAlign w:val="center"/>
                </w:tcPr>
                <w:p w14:paraId="60DCD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150</w:t>
                  </w:r>
                </w:p>
              </w:tc>
              <w:tc>
                <w:tcPr>
                  <w:tcW w:w="562" w:type="pct"/>
                  <w:vMerge w:val="continue"/>
                  <w:noWrap w:val="0"/>
                  <w:vAlign w:val="center"/>
                </w:tcPr>
                <w:p w14:paraId="7D1D62EB">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5A61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restart"/>
                  <w:noWrap w:val="0"/>
                  <w:vAlign w:val="center"/>
                </w:tcPr>
                <w:p w14:paraId="41C3E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二氧化氮（NO</w:t>
                  </w:r>
                  <w:r>
                    <w:rPr>
                      <w:rFonts w:hint="default" w:ascii="Times New Roman" w:hAnsi="Times New Roman" w:eastAsia="宋体" w:cs="Times New Roman"/>
                      <w:caps w:val="0"/>
                      <w:color w:val="auto"/>
                      <w:sz w:val="21"/>
                      <w:szCs w:val="21"/>
                      <w:vertAlign w:val="subscript"/>
                    </w:rPr>
                    <w:t>2</w:t>
                  </w:r>
                  <w:r>
                    <w:rPr>
                      <w:rFonts w:hint="default" w:ascii="Times New Roman" w:hAnsi="Times New Roman" w:eastAsia="宋体" w:cs="Times New Roman"/>
                      <w:caps w:val="0"/>
                      <w:color w:val="auto"/>
                      <w:sz w:val="21"/>
                      <w:szCs w:val="21"/>
                    </w:rPr>
                    <w:t>）</w:t>
                  </w:r>
                </w:p>
              </w:tc>
              <w:tc>
                <w:tcPr>
                  <w:tcW w:w="1029" w:type="pct"/>
                  <w:noWrap w:val="0"/>
                  <w:vAlign w:val="center"/>
                </w:tcPr>
                <w:p w14:paraId="6CAE5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年平均</w:t>
                  </w:r>
                </w:p>
              </w:tc>
              <w:tc>
                <w:tcPr>
                  <w:tcW w:w="1439" w:type="pct"/>
                  <w:noWrap w:val="0"/>
                  <w:vAlign w:val="center"/>
                </w:tcPr>
                <w:p w14:paraId="15913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40</w:t>
                  </w:r>
                </w:p>
              </w:tc>
              <w:tc>
                <w:tcPr>
                  <w:tcW w:w="1161" w:type="pct"/>
                  <w:noWrap w:val="0"/>
                  <w:vAlign w:val="center"/>
                </w:tcPr>
                <w:p w14:paraId="0476B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30</w:t>
                  </w:r>
                </w:p>
              </w:tc>
              <w:tc>
                <w:tcPr>
                  <w:tcW w:w="562" w:type="pct"/>
                  <w:vMerge w:val="continue"/>
                  <w:noWrap w:val="0"/>
                  <w:vAlign w:val="center"/>
                </w:tcPr>
                <w:p w14:paraId="2E7A95C0">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5055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continue"/>
                  <w:noWrap w:val="0"/>
                  <w:vAlign w:val="center"/>
                </w:tcPr>
                <w:p w14:paraId="17407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5E0C0E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lang w:val="en-US" w:eastAsia="zh-CN"/>
                    </w:rPr>
                    <w:t>日</w:t>
                  </w:r>
                  <w:r>
                    <w:rPr>
                      <w:rFonts w:hint="default" w:ascii="Times New Roman" w:hAnsi="Times New Roman" w:eastAsia="宋体" w:cs="Times New Roman"/>
                      <w:caps w:val="0"/>
                      <w:color w:val="auto"/>
                      <w:sz w:val="21"/>
                      <w:szCs w:val="21"/>
                    </w:rPr>
                    <w:t>平均</w:t>
                  </w:r>
                </w:p>
              </w:tc>
              <w:tc>
                <w:tcPr>
                  <w:tcW w:w="1439" w:type="pct"/>
                  <w:noWrap w:val="0"/>
                  <w:vAlign w:val="center"/>
                </w:tcPr>
                <w:p w14:paraId="7470E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80</w:t>
                  </w:r>
                </w:p>
              </w:tc>
              <w:tc>
                <w:tcPr>
                  <w:tcW w:w="1161" w:type="pct"/>
                  <w:noWrap w:val="0"/>
                  <w:vAlign w:val="center"/>
                </w:tcPr>
                <w:p w14:paraId="2FDA2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50</w:t>
                  </w:r>
                </w:p>
              </w:tc>
              <w:tc>
                <w:tcPr>
                  <w:tcW w:w="562" w:type="pct"/>
                  <w:vMerge w:val="continue"/>
                  <w:noWrap w:val="0"/>
                  <w:vAlign w:val="center"/>
                </w:tcPr>
                <w:p w14:paraId="605D7D57">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0CA7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continue"/>
                  <w:noWrap w:val="0"/>
                  <w:vAlign w:val="center"/>
                </w:tcPr>
                <w:p w14:paraId="263A5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65E4E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1小时平均</w:t>
                  </w:r>
                </w:p>
              </w:tc>
              <w:tc>
                <w:tcPr>
                  <w:tcW w:w="1439" w:type="pct"/>
                  <w:noWrap w:val="0"/>
                  <w:vAlign w:val="center"/>
                </w:tcPr>
                <w:p w14:paraId="4E9BE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200</w:t>
                  </w:r>
                </w:p>
              </w:tc>
              <w:tc>
                <w:tcPr>
                  <w:tcW w:w="1161" w:type="pct"/>
                  <w:noWrap w:val="0"/>
                  <w:vAlign w:val="center"/>
                </w:tcPr>
                <w:p w14:paraId="0604F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200</w:t>
                  </w:r>
                </w:p>
              </w:tc>
              <w:tc>
                <w:tcPr>
                  <w:tcW w:w="562" w:type="pct"/>
                  <w:vMerge w:val="continue"/>
                  <w:noWrap w:val="0"/>
                  <w:vAlign w:val="center"/>
                </w:tcPr>
                <w:p w14:paraId="21EBF7E2">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0CE8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restart"/>
                  <w:noWrap w:val="0"/>
                  <w:vAlign w:val="center"/>
                </w:tcPr>
                <w:p w14:paraId="5BA99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一氧化碳（CO）</w:t>
                  </w:r>
                </w:p>
              </w:tc>
              <w:tc>
                <w:tcPr>
                  <w:tcW w:w="1029" w:type="pct"/>
                  <w:noWrap w:val="0"/>
                  <w:vAlign w:val="center"/>
                </w:tcPr>
                <w:p w14:paraId="7238E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caps w:val="0"/>
                      <w:color w:val="auto"/>
                      <w:sz w:val="21"/>
                      <w:szCs w:val="21"/>
                      <w:lang w:eastAsia="zh-CN"/>
                    </w:rPr>
                  </w:pPr>
                  <w:r>
                    <w:rPr>
                      <w:rFonts w:hint="eastAsia" w:ascii="Times New Roman" w:hAnsi="Times New Roman" w:eastAsia="宋体" w:cs="Times New Roman"/>
                      <w:caps w:val="0"/>
                      <w:color w:val="auto"/>
                      <w:sz w:val="21"/>
                      <w:szCs w:val="21"/>
                      <w:lang w:eastAsia="zh-CN"/>
                    </w:rPr>
                    <w:t>日平均</w:t>
                  </w:r>
                </w:p>
              </w:tc>
              <w:tc>
                <w:tcPr>
                  <w:tcW w:w="1439" w:type="pct"/>
                  <w:noWrap w:val="0"/>
                  <w:vAlign w:val="center"/>
                </w:tcPr>
                <w:p w14:paraId="6FC43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4</w:t>
                  </w:r>
                </w:p>
              </w:tc>
              <w:tc>
                <w:tcPr>
                  <w:tcW w:w="1161" w:type="pct"/>
                  <w:noWrap w:val="0"/>
                  <w:vAlign w:val="center"/>
                </w:tcPr>
                <w:p w14:paraId="65DA5E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4</w:t>
                  </w:r>
                </w:p>
              </w:tc>
              <w:tc>
                <w:tcPr>
                  <w:tcW w:w="562" w:type="pct"/>
                  <w:vMerge w:val="restart"/>
                  <w:noWrap w:val="0"/>
                  <w:vAlign w:val="center"/>
                </w:tcPr>
                <w:p w14:paraId="142F7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mg/m</w:t>
                  </w:r>
                  <w:r>
                    <w:rPr>
                      <w:rFonts w:hint="default" w:ascii="Times New Roman" w:hAnsi="Times New Roman" w:eastAsia="宋体" w:cs="Times New Roman"/>
                      <w:caps w:val="0"/>
                      <w:color w:val="auto"/>
                      <w:sz w:val="21"/>
                      <w:szCs w:val="21"/>
                      <w:vertAlign w:val="superscript"/>
                    </w:rPr>
                    <w:t>3</w:t>
                  </w:r>
                </w:p>
              </w:tc>
            </w:tr>
            <w:tr w14:paraId="5065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continue"/>
                  <w:noWrap w:val="0"/>
                  <w:vAlign w:val="center"/>
                </w:tcPr>
                <w:p w14:paraId="28FDD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3617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1小时平均</w:t>
                  </w:r>
                </w:p>
              </w:tc>
              <w:tc>
                <w:tcPr>
                  <w:tcW w:w="1439" w:type="pct"/>
                  <w:noWrap w:val="0"/>
                  <w:vAlign w:val="center"/>
                </w:tcPr>
                <w:p w14:paraId="036ED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10</w:t>
                  </w:r>
                </w:p>
              </w:tc>
              <w:tc>
                <w:tcPr>
                  <w:tcW w:w="1161" w:type="pct"/>
                  <w:noWrap w:val="0"/>
                  <w:vAlign w:val="center"/>
                </w:tcPr>
                <w:p w14:paraId="41BBA6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10</w:t>
                  </w:r>
                </w:p>
              </w:tc>
              <w:tc>
                <w:tcPr>
                  <w:tcW w:w="562" w:type="pct"/>
                  <w:vMerge w:val="continue"/>
                  <w:noWrap w:val="0"/>
                  <w:vAlign w:val="center"/>
                </w:tcPr>
                <w:p w14:paraId="700B8FF7">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3B1E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807" w:type="pct"/>
                  <w:vMerge w:val="restart"/>
                  <w:noWrap w:val="0"/>
                  <w:vAlign w:val="center"/>
                </w:tcPr>
                <w:p w14:paraId="35696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臭氧（O</w:t>
                  </w:r>
                  <w:r>
                    <w:rPr>
                      <w:rFonts w:hint="default" w:ascii="Times New Roman" w:hAnsi="Times New Roman" w:eastAsia="宋体" w:cs="Times New Roman"/>
                      <w:caps w:val="0"/>
                      <w:color w:val="auto"/>
                      <w:sz w:val="21"/>
                      <w:szCs w:val="21"/>
                      <w:vertAlign w:val="subscript"/>
                    </w:rPr>
                    <w:t>3</w:t>
                  </w:r>
                  <w:r>
                    <w:rPr>
                      <w:rFonts w:hint="default" w:ascii="Times New Roman" w:hAnsi="Times New Roman" w:eastAsia="宋体" w:cs="Times New Roman"/>
                      <w:caps w:val="0"/>
                      <w:color w:val="auto"/>
                      <w:sz w:val="21"/>
                      <w:szCs w:val="21"/>
                    </w:rPr>
                    <w:t>）</w:t>
                  </w:r>
                </w:p>
              </w:tc>
              <w:tc>
                <w:tcPr>
                  <w:tcW w:w="1029" w:type="pct"/>
                  <w:noWrap w:val="0"/>
                  <w:vAlign w:val="center"/>
                </w:tcPr>
                <w:p w14:paraId="5E33F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日最大8小时平均</w:t>
                  </w:r>
                </w:p>
              </w:tc>
              <w:tc>
                <w:tcPr>
                  <w:tcW w:w="1439" w:type="pct"/>
                  <w:noWrap w:val="0"/>
                  <w:vAlign w:val="center"/>
                </w:tcPr>
                <w:p w14:paraId="59E62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160</w:t>
                  </w:r>
                </w:p>
              </w:tc>
              <w:tc>
                <w:tcPr>
                  <w:tcW w:w="1161" w:type="pct"/>
                  <w:noWrap w:val="0"/>
                  <w:vAlign w:val="center"/>
                </w:tcPr>
                <w:p w14:paraId="01C5F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160</w:t>
                  </w:r>
                </w:p>
              </w:tc>
              <w:tc>
                <w:tcPr>
                  <w:tcW w:w="562" w:type="pct"/>
                  <w:vMerge w:val="restart"/>
                  <w:noWrap w:val="0"/>
                  <w:vAlign w:val="center"/>
                </w:tcPr>
                <w:p w14:paraId="2D332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μg/m</w:t>
                  </w:r>
                  <w:r>
                    <w:rPr>
                      <w:rFonts w:hint="default" w:ascii="Times New Roman" w:hAnsi="Times New Roman" w:eastAsia="宋体" w:cs="Times New Roman"/>
                      <w:caps w:val="0"/>
                      <w:color w:val="auto"/>
                      <w:sz w:val="21"/>
                      <w:szCs w:val="21"/>
                      <w:vertAlign w:val="superscript"/>
                    </w:rPr>
                    <w:t>3</w:t>
                  </w:r>
                </w:p>
              </w:tc>
            </w:tr>
            <w:tr w14:paraId="7758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continue"/>
                  <w:noWrap w:val="0"/>
                  <w:vAlign w:val="center"/>
                </w:tcPr>
                <w:p w14:paraId="64016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623DE6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1小时平均</w:t>
                  </w:r>
                </w:p>
              </w:tc>
              <w:tc>
                <w:tcPr>
                  <w:tcW w:w="1439" w:type="pct"/>
                  <w:noWrap w:val="0"/>
                  <w:vAlign w:val="center"/>
                </w:tcPr>
                <w:p w14:paraId="0ADF9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200</w:t>
                  </w:r>
                </w:p>
              </w:tc>
              <w:tc>
                <w:tcPr>
                  <w:tcW w:w="1161" w:type="pct"/>
                  <w:noWrap w:val="0"/>
                  <w:vAlign w:val="center"/>
                </w:tcPr>
                <w:p w14:paraId="4F50B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200</w:t>
                  </w:r>
                </w:p>
              </w:tc>
              <w:tc>
                <w:tcPr>
                  <w:tcW w:w="562" w:type="pct"/>
                  <w:vMerge w:val="continue"/>
                  <w:noWrap w:val="0"/>
                  <w:vAlign w:val="center"/>
                </w:tcPr>
                <w:p w14:paraId="49095FC1">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4E71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restart"/>
                  <w:noWrap w:val="0"/>
                  <w:vAlign w:val="center"/>
                </w:tcPr>
                <w:p w14:paraId="1E15B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PM</w:t>
                  </w:r>
                  <w:r>
                    <w:rPr>
                      <w:rFonts w:hint="default" w:ascii="Times New Roman" w:hAnsi="Times New Roman" w:eastAsia="宋体" w:cs="Times New Roman"/>
                      <w:caps w:val="0"/>
                      <w:color w:val="auto"/>
                      <w:sz w:val="21"/>
                      <w:szCs w:val="21"/>
                      <w:vertAlign w:val="subscript"/>
                    </w:rPr>
                    <w:t>10</w:t>
                  </w:r>
                </w:p>
              </w:tc>
              <w:tc>
                <w:tcPr>
                  <w:tcW w:w="1029" w:type="pct"/>
                  <w:noWrap w:val="0"/>
                  <w:vAlign w:val="center"/>
                </w:tcPr>
                <w:p w14:paraId="086D9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年平均</w:t>
                  </w:r>
                </w:p>
              </w:tc>
              <w:tc>
                <w:tcPr>
                  <w:tcW w:w="1439" w:type="pct"/>
                  <w:noWrap w:val="0"/>
                  <w:vAlign w:val="center"/>
                </w:tcPr>
                <w:p w14:paraId="01833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60</w:t>
                  </w:r>
                </w:p>
              </w:tc>
              <w:tc>
                <w:tcPr>
                  <w:tcW w:w="1161" w:type="pct"/>
                  <w:noWrap w:val="0"/>
                  <w:vAlign w:val="center"/>
                </w:tcPr>
                <w:p w14:paraId="07DE7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50</w:t>
                  </w:r>
                </w:p>
              </w:tc>
              <w:tc>
                <w:tcPr>
                  <w:tcW w:w="562" w:type="pct"/>
                  <w:vMerge w:val="continue"/>
                  <w:noWrap w:val="0"/>
                  <w:vAlign w:val="center"/>
                </w:tcPr>
                <w:p w14:paraId="6B765213">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2CBD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continue"/>
                  <w:noWrap w:val="0"/>
                  <w:vAlign w:val="center"/>
                </w:tcPr>
                <w:p w14:paraId="12163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63F1B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caps w:val="0"/>
                      <w:color w:val="auto"/>
                      <w:sz w:val="21"/>
                      <w:szCs w:val="21"/>
                      <w:lang w:eastAsia="zh-CN"/>
                    </w:rPr>
                  </w:pPr>
                  <w:r>
                    <w:rPr>
                      <w:rFonts w:hint="eastAsia" w:ascii="Times New Roman" w:hAnsi="Times New Roman" w:eastAsia="宋体" w:cs="Times New Roman"/>
                      <w:caps w:val="0"/>
                      <w:color w:val="auto"/>
                      <w:sz w:val="21"/>
                      <w:szCs w:val="21"/>
                      <w:lang w:eastAsia="zh-CN"/>
                    </w:rPr>
                    <w:t>日平均</w:t>
                  </w:r>
                </w:p>
              </w:tc>
              <w:tc>
                <w:tcPr>
                  <w:tcW w:w="1439" w:type="pct"/>
                  <w:noWrap w:val="0"/>
                  <w:vAlign w:val="center"/>
                </w:tcPr>
                <w:p w14:paraId="16676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120</w:t>
                  </w:r>
                </w:p>
              </w:tc>
              <w:tc>
                <w:tcPr>
                  <w:tcW w:w="1161" w:type="pct"/>
                  <w:noWrap w:val="0"/>
                  <w:vAlign w:val="center"/>
                </w:tcPr>
                <w:p w14:paraId="5443B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100</w:t>
                  </w:r>
                </w:p>
              </w:tc>
              <w:tc>
                <w:tcPr>
                  <w:tcW w:w="562" w:type="pct"/>
                  <w:vMerge w:val="continue"/>
                  <w:noWrap w:val="0"/>
                  <w:vAlign w:val="center"/>
                </w:tcPr>
                <w:p w14:paraId="38911833">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1541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restart"/>
                  <w:noWrap w:val="0"/>
                  <w:vAlign w:val="center"/>
                </w:tcPr>
                <w:p w14:paraId="225B3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PM</w:t>
                  </w:r>
                  <w:r>
                    <w:rPr>
                      <w:rFonts w:hint="default" w:ascii="Times New Roman" w:hAnsi="Times New Roman" w:eastAsia="宋体" w:cs="Times New Roman"/>
                      <w:caps w:val="0"/>
                      <w:color w:val="auto"/>
                      <w:sz w:val="21"/>
                      <w:szCs w:val="21"/>
                      <w:vertAlign w:val="subscript"/>
                    </w:rPr>
                    <w:t>2.5</w:t>
                  </w:r>
                </w:p>
              </w:tc>
              <w:tc>
                <w:tcPr>
                  <w:tcW w:w="1029" w:type="pct"/>
                  <w:noWrap w:val="0"/>
                  <w:vAlign w:val="center"/>
                </w:tcPr>
                <w:p w14:paraId="4AD1B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年平均</w:t>
                  </w:r>
                </w:p>
              </w:tc>
              <w:tc>
                <w:tcPr>
                  <w:tcW w:w="1439" w:type="pct"/>
                  <w:noWrap w:val="0"/>
                  <w:vAlign w:val="center"/>
                </w:tcPr>
                <w:p w14:paraId="58ADB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30</w:t>
                  </w:r>
                </w:p>
              </w:tc>
              <w:tc>
                <w:tcPr>
                  <w:tcW w:w="1161" w:type="pct"/>
                  <w:noWrap w:val="0"/>
                  <w:vAlign w:val="center"/>
                </w:tcPr>
                <w:p w14:paraId="0FACE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25</w:t>
                  </w:r>
                </w:p>
              </w:tc>
              <w:tc>
                <w:tcPr>
                  <w:tcW w:w="562" w:type="pct"/>
                  <w:vMerge w:val="continue"/>
                  <w:noWrap w:val="0"/>
                  <w:vAlign w:val="center"/>
                </w:tcPr>
                <w:p w14:paraId="04302440">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6F34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7" w:type="pct"/>
                  <w:vMerge w:val="continue"/>
                  <w:noWrap w:val="0"/>
                  <w:vAlign w:val="center"/>
                </w:tcPr>
                <w:p w14:paraId="70978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c>
                <w:tcPr>
                  <w:tcW w:w="1029" w:type="pct"/>
                  <w:noWrap w:val="0"/>
                  <w:vAlign w:val="center"/>
                </w:tcPr>
                <w:p w14:paraId="01A27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caps w:val="0"/>
                      <w:color w:val="auto"/>
                      <w:sz w:val="21"/>
                      <w:szCs w:val="21"/>
                      <w:lang w:eastAsia="zh-CN"/>
                    </w:rPr>
                  </w:pPr>
                  <w:r>
                    <w:rPr>
                      <w:rFonts w:hint="eastAsia" w:ascii="Times New Roman" w:hAnsi="Times New Roman" w:eastAsia="宋体" w:cs="Times New Roman"/>
                      <w:caps w:val="0"/>
                      <w:color w:val="auto"/>
                      <w:sz w:val="21"/>
                      <w:szCs w:val="21"/>
                      <w:lang w:eastAsia="zh-CN"/>
                    </w:rPr>
                    <w:t>日平均</w:t>
                  </w:r>
                </w:p>
              </w:tc>
              <w:tc>
                <w:tcPr>
                  <w:tcW w:w="1439" w:type="pct"/>
                  <w:noWrap w:val="0"/>
                  <w:vAlign w:val="center"/>
                </w:tcPr>
                <w:p w14:paraId="5D6EC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60</w:t>
                  </w:r>
                </w:p>
              </w:tc>
              <w:tc>
                <w:tcPr>
                  <w:tcW w:w="1161" w:type="pct"/>
                  <w:noWrap w:val="0"/>
                  <w:vAlign w:val="center"/>
                </w:tcPr>
                <w:p w14:paraId="541F7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50</w:t>
                  </w:r>
                </w:p>
              </w:tc>
              <w:tc>
                <w:tcPr>
                  <w:tcW w:w="562" w:type="pct"/>
                  <w:vMerge w:val="continue"/>
                  <w:noWrap w:val="0"/>
                  <w:vAlign w:val="center"/>
                </w:tcPr>
                <w:p w14:paraId="723A18C3">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29AD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pct"/>
                  <w:vMerge w:val="restart"/>
                  <w:noWrap w:val="0"/>
                  <w:vAlign w:val="center"/>
                </w:tcPr>
                <w:p w14:paraId="1EC6B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highlight w:val="none"/>
                      <w:lang w:val="en-US" w:eastAsia="zh-CN"/>
                    </w:rPr>
                    <w:t>TSP</w:t>
                  </w:r>
                </w:p>
              </w:tc>
              <w:tc>
                <w:tcPr>
                  <w:tcW w:w="1029" w:type="pct"/>
                  <w:noWrap w:val="0"/>
                  <w:vAlign w:val="center"/>
                </w:tcPr>
                <w:p w14:paraId="198E8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aps w:val="0"/>
                      <w:color w:val="auto"/>
                      <w:sz w:val="21"/>
                      <w:szCs w:val="21"/>
                    </w:rPr>
                  </w:pPr>
                  <w:r>
                    <w:rPr>
                      <w:rFonts w:hint="default" w:ascii="Times New Roman" w:hAnsi="Times New Roman" w:eastAsia="宋体" w:cs="Times New Roman"/>
                      <w:caps w:val="0"/>
                      <w:color w:val="auto"/>
                      <w:sz w:val="21"/>
                      <w:szCs w:val="21"/>
                    </w:rPr>
                    <w:t>年平均</w:t>
                  </w:r>
                </w:p>
              </w:tc>
              <w:tc>
                <w:tcPr>
                  <w:tcW w:w="1439" w:type="pct"/>
                  <w:noWrap w:val="0"/>
                  <w:vAlign w:val="center"/>
                </w:tcPr>
                <w:p w14:paraId="69652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200</w:t>
                  </w:r>
                </w:p>
              </w:tc>
              <w:tc>
                <w:tcPr>
                  <w:tcW w:w="1161" w:type="pct"/>
                  <w:noWrap w:val="0"/>
                  <w:vAlign w:val="center"/>
                </w:tcPr>
                <w:p w14:paraId="18BB4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200</w:t>
                  </w:r>
                </w:p>
              </w:tc>
              <w:tc>
                <w:tcPr>
                  <w:tcW w:w="562" w:type="pct"/>
                  <w:vMerge w:val="continue"/>
                  <w:noWrap w:val="0"/>
                  <w:vAlign w:val="center"/>
                </w:tcPr>
                <w:p w14:paraId="348AA5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r w14:paraId="3885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pct"/>
                  <w:vMerge w:val="continue"/>
                  <w:noWrap w:val="0"/>
                  <w:vAlign w:val="center"/>
                </w:tcPr>
                <w:p w14:paraId="582B7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highlight w:val="yellow"/>
                      <w:lang w:val="en-US" w:eastAsia="zh-CN"/>
                    </w:rPr>
                  </w:pPr>
                </w:p>
              </w:tc>
              <w:tc>
                <w:tcPr>
                  <w:tcW w:w="1029" w:type="pct"/>
                  <w:noWrap w:val="0"/>
                  <w:vAlign w:val="center"/>
                </w:tcPr>
                <w:p w14:paraId="3BB8A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eastAsia="zh-CN"/>
                    </w:rPr>
                    <w:t>日平均</w:t>
                  </w:r>
                </w:p>
              </w:tc>
              <w:tc>
                <w:tcPr>
                  <w:tcW w:w="1439" w:type="pct"/>
                  <w:noWrap w:val="0"/>
                  <w:vAlign w:val="center"/>
                </w:tcPr>
                <w:p w14:paraId="5F3AE4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300</w:t>
                  </w:r>
                </w:p>
              </w:tc>
              <w:tc>
                <w:tcPr>
                  <w:tcW w:w="1161" w:type="pct"/>
                  <w:noWrap w:val="0"/>
                  <w:vAlign w:val="center"/>
                </w:tcPr>
                <w:p w14:paraId="027E1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lang w:val="en-US" w:eastAsia="zh-CN"/>
                    </w:rPr>
                  </w:pPr>
                  <w:r>
                    <w:rPr>
                      <w:rFonts w:hint="eastAsia" w:ascii="Times New Roman" w:hAnsi="Times New Roman" w:eastAsia="宋体" w:cs="Times New Roman"/>
                      <w:caps w:val="0"/>
                      <w:color w:val="auto"/>
                      <w:sz w:val="21"/>
                      <w:szCs w:val="21"/>
                      <w:lang w:val="en-US" w:eastAsia="zh-CN"/>
                    </w:rPr>
                    <w:t>300</w:t>
                  </w:r>
                </w:p>
              </w:tc>
              <w:tc>
                <w:tcPr>
                  <w:tcW w:w="562" w:type="pct"/>
                  <w:vMerge w:val="continue"/>
                  <w:noWrap w:val="0"/>
                  <w:vAlign w:val="center"/>
                </w:tcPr>
                <w:p w14:paraId="235F5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aps w:val="0"/>
                      <w:color w:val="auto"/>
                      <w:sz w:val="21"/>
                      <w:szCs w:val="21"/>
                    </w:rPr>
                  </w:pPr>
                </w:p>
              </w:tc>
            </w:tr>
          </w:tbl>
          <w:p w14:paraId="7EAC0C4E">
            <w:pPr>
              <w:ind w:left="0" w:leftChars="0" w:firstLine="0" w:firstLineChars="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1.2环境空气质量现状</w:t>
            </w:r>
          </w:p>
          <w:p w14:paraId="3E16F0A3">
            <w:pPr>
              <w:ind w:left="0" w:leftChars="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（1）基本污染物环境质量现状</w:t>
            </w:r>
          </w:p>
          <w:p w14:paraId="1C34F599">
            <w:pPr>
              <w:rPr>
                <w:rFonts w:hint="default" w:ascii="Times New Roman" w:hAnsi="Times New Roman" w:cs="Times New Roman"/>
                <w:color w:val="auto"/>
              </w:rPr>
            </w:pPr>
            <w:r>
              <w:rPr>
                <w:rFonts w:hint="default" w:ascii="Times New Roman" w:hAnsi="Times New Roman" w:cs="Times New Roman"/>
                <w:color w:val="auto"/>
              </w:rPr>
              <w:t>根据《关于建设项目环境影响报告表编制技术指南（污染影响类）》（试行）大气环境质量“常规污染物引用与建设项目距离近的有效数据，包括近3年的规划环评的监测数据，国家、地方环境空气质量监测网数据或生态环境主管部门公开发布的质量数据”。</w:t>
            </w:r>
          </w:p>
          <w:p w14:paraId="5CA939DD">
            <w:pPr>
              <w:rPr>
                <w:rFonts w:hint="default" w:ascii="Times New Roman" w:hAnsi="Times New Roman" w:cs="Times New Roman"/>
                <w:color w:val="auto"/>
                <w:highlight w:val="none"/>
              </w:rPr>
            </w:pPr>
            <w:r>
              <w:rPr>
                <w:rFonts w:hint="default" w:ascii="Times New Roman" w:hAnsi="Times New Roman" w:cs="Times New Roman"/>
                <w:color w:val="auto"/>
              </w:rPr>
              <w:t>项目选址位于云南省玉溪市</w:t>
            </w:r>
            <w:r>
              <w:rPr>
                <w:rFonts w:hint="default" w:ascii="Times New Roman" w:hAnsi="Times New Roman" w:cs="Times New Roman"/>
                <w:color w:val="auto"/>
                <w:lang w:val="en-US" w:eastAsia="zh-CN"/>
              </w:rPr>
              <w:t>华宁</w:t>
            </w:r>
            <w:r>
              <w:rPr>
                <w:rFonts w:hint="default" w:ascii="Times New Roman" w:hAnsi="Times New Roman" w:cs="Times New Roman"/>
                <w:color w:val="auto"/>
              </w:rPr>
              <w:t>县</w:t>
            </w:r>
            <w:r>
              <w:rPr>
                <w:rFonts w:hint="default" w:ascii="Times New Roman" w:hAnsi="Times New Roman" w:cs="Times New Roman"/>
                <w:color w:val="auto"/>
                <w:lang w:val="en-US" w:eastAsia="zh-CN"/>
              </w:rPr>
              <w:t>宁州街道法果村委会</w:t>
            </w:r>
            <w:r>
              <w:rPr>
                <w:rFonts w:hint="default" w:ascii="Times New Roman" w:hAnsi="Times New Roman" w:cs="Times New Roman"/>
                <w:color w:val="auto"/>
              </w:rPr>
              <w:t>，距离项目最近的环境空气质量自动监测站位于华宁县示范小学，距离本项目约</w:t>
            </w:r>
            <w:r>
              <w:rPr>
                <w:rFonts w:hint="default" w:ascii="Times New Roman" w:hAnsi="Times New Roman" w:cs="Times New Roman"/>
                <w:color w:val="auto"/>
                <w:lang w:val="en-US" w:eastAsia="zh-CN"/>
              </w:rPr>
              <w:t>12.5</w:t>
            </w:r>
            <w:r>
              <w:rPr>
                <w:rFonts w:hint="default" w:ascii="Times New Roman" w:hAnsi="Times New Roman" w:cs="Times New Roman"/>
                <w:color w:val="auto"/>
              </w:rPr>
              <w:t>km。环境空气质量现状引用202</w:t>
            </w:r>
            <w:r>
              <w:rPr>
                <w:rFonts w:hint="eastAsia" w:cs="Times New Roman"/>
                <w:color w:val="auto"/>
                <w:lang w:val="en-US" w:eastAsia="zh-CN"/>
              </w:rPr>
              <w:t>4</w:t>
            </w:r>
            <w:r>
              <w:rPr>
                <w:rFonts w:hint="default" w:ascii="Times New Roman" w:hAnsi="Times New Roman" w:cs="Times New Roman"/>
                <w:color w:val="auto"/>
              </w:rPr>
              <w:t>年华宁县</w:t>
            </w:r>
            <w:r>
              <w:rPr>
                <w:rFonts w:hint="default" w:ascii="Times New Roman" w:hAnsi="Times New Roman" w:cs="Times New Roman"/>
                <w:color w:val="auto"/>
                <w:lang w:eastAsia="zh-CN"/>
              </w:rPr>
              <w:t>环境</w:t>
            </w:r>
            <w:r>
              <w:rPr>
                <w:rFonts w:hint="default" w:ascii="Times New Roman" w:hAnsi="Times New Roman" w:cs="Times New Roman"/>
                <w:color w:val="auto"/>
              </w:rPr>
              <w:t>空气质量</w:t>
            </w:r>
            <w:r>
              <w:rPr>
                <w:rFonts w:hint="default" w:ascii="Times New Roman" w:hAnsi="Times New Roman" w:cs="Times New Roman"/>
                <w:color w:val="auto"/>
                <w:lang w:eastAsia="zh-CN"/>
              </w:rPr>
              <w:t>自动监测站</w:t>
            </w:r>
            <w:r>
              <w:rPr>
                <w:rFonts w:hint="default" w:ascii="Times New Roman" w:hAnsi="Times New Roman" w:cs="Times New Roman"/>
                <w:color w:val="auto"/>
              </w:rPr>
              <w:t>统计数据。详细数据如下表3-2。</w:t>
            </w:r>
          </w:p>
          <w:p w14:paraId="2977A5F2">
            <w:pPr>
              <w:pStyle w:val="54"/>
              <w:rPr>
                <w:rFonts w:hint="default" w:ascii="Times New Roman" w:hAnsi="Times New Roman" w:cs="Times New Roman"/>
                <w:color w:val="auto"/>
                <w:highlight w:val="none"/>
              </w:rPr>
            </w:pPr>
            <w:r>
              <w:rPr>
                <w:rFonts w:hint="default" w:ascii="Times New Roman" w:hAnsi="Times New Roman" w:cs="Times New Roman"/>
                <w:color w:val="auto"/>
                <w:highlight w:val="none"/>
              </w:rPr>
              <w:t>表3-2  202</w:t>
            </w:r>
            <w:r>
              <w:rPr>
                <w:rFonts w:hint="eastAsia" w:cs="Times New Roman"/>
                <w:color w:val="auto"/>
                <w:highlight w:val="none"/>
                <w:lang w:val="en-US" w:eastAsia="zh-CN"/>
              </w:rPr>
              <w:t>4</w:t>
            </w:r>
            <w:r>
              <w:rPr>
                <w:rFonts w:hint="default" w:ascii="Times New Roman" w:hAnsi="Times New Roman" w:cs="Times New Roman"/>
                <w:color w:val="auto"/>
                <w:highlight w:val="none"/>
              </w:rPr>
              <w:t>年华宁县环境空气质量现状监测数据统计表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2256"/>
              <w:gridCol w:w="1720"/>
              <w:gridCol w:w="1449"/>
              <w:gridCol w:w="1530"/>
              <w:gridCol w:w="1010"/>
            </w:tblGrid>
            <w:tr w14:paraId="2223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Align w:val="center"/>
                </w:tcPr>
                <w:p w14:paraId="4211689E">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1222" w:type="pct"/>
                  <w:vAlign w:val="center"/>
                </w:tcPr>
                <w:p w14:paraId="642F16DC">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年评价指标</w:t>
                  </w:r>
                </w:p>
              </w:tc>
              <w:tc>
                <w:tcPr>
                  <w:tcW w:w="932" w:type="pct"/>
                  <w:vAlign w:val="center"/>
                </w:tcPr>
                <w:p w14:paraId="31907173">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现状浓度（µg/m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785" w:type="pct"/>
                  <w:vAlign w:val="center"/>
                </w:tcPr>
                <w:p w14:paraId="25F4E275">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标准值（µg/m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829" w:type="pct"/>
                  <w:vAlign w:val="center"/>
                </w:tcPr>
                <w:p w14:paraId="4EB14734">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占标率/%</w:t>
                  </w:r>
                </w:p>
              </w:tc>
              <w:tc>
                <w:tcPr>
                  <w:tcW w:w="544" w:type="pct"/>
                  <w:vAlign w:val="center"/>
                </w:tcPr>
                <w:p w14:paraId="15797C95">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p w14:paraId="3D253998">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情况</w:t>
                  </w:r>
                </w:p>
              </w:tc>
            </w:tr>
            <w:tr w14:paraId="2BDC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restart"/>
                  <w:vAlign w:val="center"/>
                </w:tcPr>
                <w:p w14:paraId="4DDEC4FD">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222" w:type="pct"/>
                  <w:vAlign w:val="center"/>
                </w:tcPr>
                <w:p w14:paraId="704A86FF">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932" w:type="pct"/>
                  <w:shd w:val="clear" w:color="auto" w:fill="auto"/>
                  <w:vAlign w:val="center"/>
                </w:tcPr>
                <w:p w14:paraId="62E3861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13</w:t>
                  </w:r>
                </w:p>
              </w:tc>
              <w:tc>
                <w:tcPr>
                  <w:tcW w:w="785" w:type="pct"/>
                  <w:shd w:val="clear" w:color="auto" w:fill="auto"/>
                  <w:vAlign w:val="center"/>
                </w:tcPr>
                <w:p w14:paraId="7659004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60</w:t>
                  </w:r>
                </w:p>
              </w:tc>
              <w:tc>
                <w:tcPr>
                  <w:tcW w:w="829" w:type="pct"/>
                  <w:shd w:val="clear" w:color="auto" w:fill="auto"/>
                  <w:vAlign w:val="center"/>
                </w:tcPr>
                <w:p w14:paraId="259FF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21.67</w:t>
                  </w:r>
                </w:p>
              </w:tc>
              <w:tc>
                <w:tcPr>
                  <w:tcW w:w="544" w:type="pct"/>
                  <w:vAlign w:val="center"/>
                </w:tcPr>
                <w:p w14:paraId="2E118CE2">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4598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continue"/>
                  <w:vAlign w:val="center"/>
                </w:tcPr>
                <w:p w14:paraId="2905117A">
                  <w:pPr>
                    <w:pStyle w:val="25"/>
                    <w:rPr>
                      <w:rFonts w:hint="default" w:ascii="Times New Roman" w:hAnsi="Times New Roman" w:cs="Times New Roman"/>
                      <w:color w:val="auto"/>
                      <w:highlight w:val="none"/>
                    </w:rPr>
                  </w:pPr>
                </w:p>
              </w:tc>
              <w:tc>
                <w:tcPr>
                  <w:tcW w:w="1222" w:type="pct"/>
                  <w:vAlign w:val="center"/>
                </w:tcPr>
                <w:p w14:paraId="68610675">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98%日平均质量浓度</w:t>
                  </w:r>
                </w:p>
              </w:tc>
              <w:tc>
                <w:tcPr>
                  <w:tcW w:w="932" w:type="pct"/>
                  <w:shd w:val="clear" w:color="auto" w:fill="auto"/>
                  <w:vAlign w:val="center"/>
                </w:tcPr>
                <w:p w14:paraId="623748F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33.74</w:t>
                  </w:r>
                </w:p>
              </w:tc>
              <w:tc>
                <w:tcPr>
                  <w:tcW w:w="785" w:type="pct"/>
                  <w:shd w:val="clear" w:color="auto" w:fill="auto"/>
                  <w:vAlign w:val="center"/>
                </w:tcPr>
                <w:p w14:paraId="747EE47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150</w:t>
                  </w:r>
                </w:p>
              </w:tc>
              <w:tc>
                <w:tcPr>
                  <w:tcW w:w="829" w:type="pct"/>
                  <w:shd w:val="clear" w:color="auto" w:fill="auto"/>
                  <w:vAlign w:val="center"/>
                </w:tcPr>
                <w:p w14:paraId="5F3FA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22.49</w:t>
                  </w:r>
                </w:p>
              </w:tc>
              <w:tc>
                <w:tcPr>
                  <w:tcW w:w="544" w:type="pct"/>
                  <w:vAlign w:val="center"/>
                </w:tcPr>
                <w:p w14:paraId="71B1D93F">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6E73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restart"/>
                  <w:vAlign w:val="center"/>
                </w:tcPr>
                <w:p w14:paraId="35777A93">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1222" w:type="pct"/>
                  <w:vAlign w:val="center"/>
                </w:tcPr>
                <w:p w14:paraId="73A7F507">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932" w:type="pct"/>
                  <w:shd w:val="clear" w:color="auto" w:fill="auto"/>
                  <w:vAlign w:val="center"/>
                </w:tcPr>
                <w:p w14:paraId="0940FE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17</w:t>
                  </w:r>
                </w:p>
              </w:tc>
              <w:tc>
                <w:tcPr>
                  <w:tcW w:w="785" w:type="pct"/>
                  <w:shd w:val="clear" w:color="auto" w:fill="auto"/>
                  <w:vAlign w:val="center"/>
                </w:tcPr>
                <w:p w14:paraId="7179CA7A">
                  <w:pPr>
                    <w:pStyle w:val="57"/>
                    <w:keepNext w:val="0"/>
                    <w:keepLines w:val="0"/>
                    <w:pageBreakBefore w:val="0"/>
                    <w:widowControl w:val="0"/>
                    <w:kinsoku/>
                    <w:wordWrap/>
                    <w:overflowPunct/>
                    <w:topLinePunct w:val="0"/>
                    <w:autoSpaceDE/>
                    <w:autoSpaceDN/>
                    <w:bidi w:val="0"/>
                    <w:spacing w:before="31" w:beforeLines="0" w:after="31" w:afterLines="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rPr>
                    <w:t>40</w:t>
                  </w:r>
                </w:p>
              </w:tc>
              <w:tc>
                <w:tcPr>
                  <w:tcW w:w="829" w:type="pct"/>
                  <w:shd w:val="clear" w:color="auto" w:fill="auto"/>
                  <w:vAlign w:val="center"/>
                </w:tcPr>
                <w:p w14:paraId="00E56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42.5</w:t>
                  </w:r>
                </w:p>
              </w:tc>
              <w:tc>
                <w:tcPr>
                  <w:tcW w:w="544" w:type="pct"/>
                  <w:vAlign w:val="center"/>
                </w:tcPr>
                <w:p w14:paraId="1682D527">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2E11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continue"/>
                  <w:vAlign w:val="center"/>
                </w:tcPr>
                <w:p w14:paraId="3E02C12D">
                  <w:pPr>
                    <w:pStyle w:val="25"/>
                    <w:rPr>
                      <w:rFonts w:hint="default" w:ascii="Times New Roman" w:hAnsi="Times New Roman" w:cs="Times New Roman"/>
                      <w:color w:val="auto"/>
                      <w:highlight w:val="none"/>
                    </w:rPr>
                  </w:pPr>
                </w:p>
              </w:tc>
              <w:tc>
                <w:tcPr>
                  <w:tcW w:w="1222" w:type="pct"/>
                  <w:vAlign w:val="center"/>
                </w:tcPr>
                <w:p w14:paraId="6F28B162">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98%日平均质量浓度</w:t>
                  </w:r>
                </w:p>
              </w:tc>
              <w:tc>
                <w:tcPr>
                  <w:tcW w:w="932" w:type="pct"/>
                  <w:shd w:val="clear" w:color="auto" w:fill="auto"/>
                  <w:vAlign w:val="center"/>
                </w:tcPr>
                <w:p w14:paraId="21D9827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25</w:t>
                  </w:r>
                </w:p>
              </w:tc>
              <w:tc>
                <w:tcPr>
                  <w:tcW w:w="785" w:type="pct"/>
                  <w:shd w:val="clear" w:color="auto" w:fill="auto"/>
                  <w:vAlign w:val="center"/>
                </w:tcPr>
                <w:p w14:paraId="683D6F04">
                  <w:pPr>
                    <w:pStyle w:val="57"/>
                    <w:keepNext w:val="0"/>
                    <w:keepLines w:val="0"/>
                    <w:pageBreakBefore w:val="0"/>
                    <w:widowControl w:val="0"/>
                    <w:kinsoku/>
                    <w:wordWrap/>
                    <w:overflowPunct/>
                    <w:topLinePunct w:val="0"/>
                    <w:autoSpaceDE/>
                    <w:autoSpaceDN/>
                    <w:bidi w:val="0"/>
                    <w:spacing w:before="31" w:beforeLines="0" w:after="31" w:afterLines="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rPr>
                    <w:t>80</w:t>
                  </w:r>
                </w:p>
              </w:tc>
              <w:tc>
                <w:tcPr>
                  <w:tcW w:w="829" w:type="pct"/>
                  <w:shd w:val="clear" w:color="auto" w:fill="auto"/>
                  <w:vAlign w:val="center"/>
                </w:tcPr>
                <w:p w14:paraId="7D4576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31.25</w:t>
                  </w:r>
                </w:p>
              </w:tc>
              <w:tc>
                <w:tcPr>
                  <w:tcW w:w="544" w:type="pct"/>
                  <w:vAlign w:val="center"/>
                </w:tcPr>
                <w:p w14:paraId="4CCDDFAD">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72A1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restart"/>
                  <w:vAlign w:val="center"/>
                </w:tcPr>
                <w:p w14:paraId="5F07CF4A">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1222" w:type="pct"/>
                  <w:vAlign w:val="center"/>
                </w:tcPr>
                <w:p w14:paraId="4E1E3452">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932" w:type="pct"/>
                  <w:shd w:val="clear" w:color="auto" w:fill="auto"/>
                  <w:vAlign w:val="center"/>
                </w:tcPr>
                <w:p w14:paraId="15CB5C4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31</w:t>
                  </w:r>
                </w:p>
              </w:tc>
              <w:tc>
                <w:tcPr>
                  <w:tcW w:w="785" w:type="pct"/>
                  <w:shd w:val="clear" w:color="auto" w:fill="auto"/>
                  <w:vAlign w:val="center"/>
                </w:tcPr>
                <w:p w14:paraId="3F5832AC">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 w:val="21"/>
                      <w:szCs w:val="21"/>
                      <w:lang w:val="en-US"/>
                    </w:rPr>
                    <w:t>60</w:t>
                  </w:r>
                </w:p>
              </w:tc>
              <w:tc>
                <w:tcPr>
                  <w:tcW w:w="829" w:type="pct"/>
                  <w:shd w:val="clear" w:color="auto" w:fill="auto"/>
                  <w:vAlign w:val="center"/>
                </w:tcPr>
                <w:p w14:paraId="64A2E6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51.67</w:t>
                  </w:r>
                </w:p>
              </w:tc>
              <w:tc>
                <w:tcPr>
                  <w:tcW w:w="544" w:type="pct"/>
                  <w:vAlign w:val="center"/>
                </w:tcPr>
                <w:p w14:paraId="2A3EC8F8">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330E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continue"/>
                  <w:vAlign w:val="center"/>
                </w:tcPr>
                <w:p w14:paraId="781FD35B">
                  <w:pPr>
                    <w:pStyle w:val="25"/>
                    <w:rPr>
                      <w:rFonts w:hint="default" w:ascii="Times New Roman" w:hAnsi="Times New Roman" w:cs="Times New Roman"/>
                      <w:color w:val="auto"/>
                      <w:highlight w:val="none"/>
                    </w:rPr>
                  </w:pPr>
                </w:p>
              </w:tc>
              <w:tc>
                <w:tcPr>
                  <w:tcW w:w="1222" w:type="pct"/>
                  <w:vAlign w:val="center"/>
                </w:tcPr>
                <w:p w14:paraId="6A708BDD">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95%日平均质量浓度</w:t>
                  </w:r>
                </w:p>
              </w:tc>
              <w:tc>
                <w:tcPr>
                  <w:tcW w:w="932" w:type="pct"/>
                  <w:shd w:val="clear" w:color="auto" w:fill="auto"/>
                  <w:vAlign w:val="center"/>
                </w:tcPr>
                <w:p w14:paraId="04F9154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64.85</w:t>
                  </w:r>
                </w:p>
              </w:tc>
              <w:tc>
                <w:tcPr>
                  <w:tcW w:w="785" w:type="pct"/>
                  <w:shd w:val="clear" w:color="auto" w:fill="auto"/>
                  <w:vAlign w:val="center"/>
                </w:tcPr>
                <w:p w14:paraId="1065D623">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 w:val="21"/>
                      <w:szCs w:val="21"/>
                      <w:lang w:val="en-US"/>
                    </w:rPr>
                    <w:t>120</w:t>
                  </w:r>
                </w:p>
              </w:tc>
              <w:tc>
                <w:tcPr>
                  <w:tcW w:w="829" w:type="pct"/>
                  <w:shd w:val="clear" w:color="auto" w:fill="auto"/>
                  <w:vAlign w:val="center"/>
                </w:tcPr>
                <w:p w14:paraId="732DF3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54.04</w:t>
                  </w:r>
                </w:p>
              </w:tc>
              <w:tc>
                <w:tcPr>
                  <w:tcW w:w="544" w:type="pct"/>
                  <w:vAlign w:val="center"/>
                </w:tcPr>
                <w:p w14:paraId="0DF6370D">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4882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restart"/>
                  <w:vAlign w:val="center"/>
                </w:tcPr>
                <w:p w14:paraId="7F65C8A2">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c>
                <w:tcPr>
                  <w:tcW w:w="1222" w:type="pct"/>
                  <w:vAlign w:val="center"/>
                </w:tcPr>
                <w:p w14:paraId="2FD96EC0">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932" w:type="pct"/>
                  <w:shd w:val="clear" w:color="auto" w:fill="auto"/>
                  <w:vAlign w:val="center"/>
                </w:tcPr>
                <w:p w14:paraId="1D44F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w:t>
                  </w:r>
                </w:p>
              </w:tc>
              <w:tc>
                <w:tcPr>
                  <w:tcW w:w="785" w:type="pct"/>
                  <w:shd w:val="clear" w:color="auto" w:fill="auto"/>
                  <w:vAlign w:val="center"/>
                </w:tcPr>
                <w:p w14:paraId="582C6BE9">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 w:val="21"/>
                      <w:szCs w:val="21"/>
                      <w:lang w:val="en-US"/>
                    </w:rPr>
                    <w:t>30</w:t>
                  </w:r>
                </w:p>
              </w:tc>
              <w:tc>
                <w:tcPr>
                  <w:tcW w:w="829" w:type="pct"/>
                  <w:shd w:val="clear" w:color="auto" w:fill="auto"/>
                  <w:vAlign w:val="center"/>
                </w:tcPr>
                <w:p w14:paraId="126B6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66.67</w:t>
                  </w:r>
                </w:p>
              </w:tc>
              <w:tc>
                <w:tcPr>
                  <w:tcW w:w="544" w:type="pct"/>
                  <w:vAlign w:val="center"/>
                </w:tcPr>
                <w:p w14:paraId="2DDE494D">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1549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Merge w:val="continue"/>
                  <w:vAlign w:val="center"/>
                </w:tcPr>
                <w:p w14:paraId="2E180858">
                  <w:pPr>
                    <w:pStyle w:val="25"/>
                    <w:rPr>
                      <w:rFonts w:hint="default" w:ascii="Times New Roman" w:hAnsi="Times New Roman" w:cs="Times New Roman"/>
                      <w:color w:val="auto"/>
                      <w:highlight w:val="none"/>
                    </w:rPr>
                  </w:pPr>
                </w:p>
              </w:tc>
              <w:tc>
                <w:tcPr>
                  <w:tcW w:w="1222" w:type="pct"/>
                  <w:vAlign w:val="center"/>
                </w:tcPr>
                <w:p w14:paraId="04B9D47A">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95%日平均质量浓度</w:t>
                  </w:r>
                </w:p>
              </w:tc>
              <w:tc>
                <w:tcPr>
                  <w:tcW w:w="932" w:type="pct"/>
                  <w:shd w:val="clear" w:color="auto" w:fill="auto"/>
                  <w:vAlign w:val="center"/>
                </w:tcPr>
                <w:p w14:paraId="026E0C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42</w:t>
                  </w:r>
                </w:p>
              </w:tc>
              <w:tc>
                <w:tcPr>
                  <w:tcW w:w="785" w:type="pct"/>
                  <w:shd w:val="clear" w:color="auto" w:fill="auto"/>
                  <w:vAlign w:val="center"/>
                </w:tcPr>
                <w:p w14:paraId="3888C42B">
                  <w:pPr>
                    <w:pStyle w:val="5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 w:val="21"/>
                      <w:szCs w:val="21"/>
                      <w:lang w:val="en-US"/>
                    </w:rPr>
                    <w:t>60</w:t>
                  </w:r>
                </w:p>
              </w:tc>
              <w:tc>
                <w:tcPr>
                  <w:tcW w:w="829" w:type="pct"/>
                  <w:shd w:val="clear" w:color="auto" w:fill="auto"/>
                  <w:vAlign w:val="center"/>
                </w:tcPr>
                <w:p w14:paraId="50FA53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70</w:t>
                  </w:r>
                </w:p>
              </w:tc>
              <w:tc>
                <w:tcPr>
                  <w:tcW w:w="544" w:type="pct"/>
                  <w:vAlign w:val="center"/>
                </w:tcPr>
                <w:p w14:paraId="6795C1E4">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34BB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85" w:type="pct"/>
                  <w:vAlign w:val="center"/>
                </w:tcPr>
                <w:p w14:paraId="03D82F4B">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p>
              </w:tc>
              <w:tc>
                <w:tcPr>
                  <w:tcW w:w="1222" w:type="pct"/>
                  <w:vAlign w:val="center"/>
                </w:tcPr>
                <w:p w14:paraId="5075F1B3">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95%日平均质量浓度</w:t>
                  </w:r>
                </w:p>
              </w:tc>
              <w:tc>
                <w:tcPr>
                  <w:tcW w:w="932" w:type="pct"/>
                  <w:shd w:val="clear" w:color="auto" w:fill="auto"/>
                  <w:vAlign w:val="center"/>
                </w:tcPr>
                <w:p w14:paraId="12E52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952.2</w:t>
                  </w:r>
                </w:p>
              </w:tc>
              <w:tc>
                <w:tcPr>
                  <w:tcW w:w="785" w:type="pct"/>
                  <w:shd w:val="clear" w:color="auto" w:fill="auto"/>
                  <w:vAlign w:val="center"/>
                </w:tcPr>
                <w:p w14:paraId="61D63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4000</w:t>
                  </w:r>
                </w:p>
              </w:tc>
              <w:tc>
                <w:tcPr>
                  <w:tcW w:w="829" w:type="pct"/>
                  <w:shd w:val="clear" w:color="auto" w:fill="auto"/>
                  <w:vAlign w:val="center"/>
                </w:tcPr>
                <w:p w14:paraId="71DC6C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23.81</w:t>
                  </w:r>
                </w:p>
              </w:tc>
              <w:tc>
                <w:tcPr>
                  <w:tcW w:w="544" w:type="pct"/>
                  <w:vAlign w:val="center"/>
                </w:tcPr>
                <w:p w14:paraId="691E83B8">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04BF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Align w:val="center"/>
                </w:tcPr>
                <w:p w14:paraId="7024EBD8">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222" w:type="pct"/>
                  <w:vAlign w:val="center"/>
                </w:tcPr>
                <w:p w14:paraId="460D40AA">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90%日最大8小时平均质量浓度</w:t>
                  </w:r>
                </w:p>
              </w:tc>
              <w:tc>
                <w:tcPr>
                  <w:tcW w:w="932" w:type="pct"/>
                  <w:shd w:val="clear" w:color="auto" w:fill="auto"/>
                  <w:vAlign w:val="center"/>
                </w:tcPr>
                <w:p w14:paraId="150C2BA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124</w:t>
                  </w:r>
                </w:p>
              </w:tc>
              <w:tc>
                <w:tcPr>
                  <w:tcW w:w="785" w:type="pct"/>
                  <w:shd w:val="clear" w:color="auto" w:fill="auto"/>
                  <w:vAlign w:val="center"/>
                </w:tcPr>
                <w:p w14:paraId="6BB136E5">
                  <w:pPr>
                    <w:pStyle w:val="56"/>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rPr>
                    <w:t>160</w:t>
                  </w:r>
                </w:p>
              </w:tc>
              <w:tc>
                <w:tcPr>
                  <w:tcW w:w="829" w:type="pct"/>
                  <w:shd w:val="clear" w:color="auto" w:fill="auto"/>
                  <w:vAlign w:val="center"/>
                </w:tcPr>
                <w:p w14:paraId="0AB70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77.5</w:t>
                  </w:r>
                </w:p>
              </w:tc>
              <w:tc>
                <w:tcPr>
                  <w:tcW w:w="544" w:type="pct"/>
                  <w:vAlign w:val="center"/>
                </w:tcPr>
                <w:p w14:paraId="3AAF9340">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198E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vAlign w:val="center"/>
                </w:tcPr>
                <w:p w14:paraId="585E5542">
                  <w:pPr>
                    <w:pStyle w:val="25"/>
                    <w:rPr>
                      <w:rFonts w:hint="default" w:ascii="Times New Roman" w:hAnsi="Times New Roman" w:cs="Times New Roman"/>
                      <w:color w:val="auto"/>
                      <w:highlight w:val="none"/>
                    </w:rPr>
                  </w:pPr>
                  <w:r>
                    <w:rPr>
                      <w:rFonts w:hint="default" w:ascii="Times New Roman" w:hAnsi="Times New Roman" w:cs="Times New Roman"/>
                      <w:color w:val="auto"/>
                      <w:highlight w:val="none"/>
                    </w:rPr>
                    <w:t>备注：华宁县宁州镇示范小学，坐标：经度102.924722094，纬度：24.197785669</w:t>
                  </w:r>
                </w:p>
              </w:tc>
            </w:tr>
          </w:tbl>
          <w:p w14:paraId="7DB70E8C">
            <w:pPr>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w:t>
            </w:r>
            <w:r>
              <w:rPr>
                <w:rFonts w:hint="default" w:ascii="Times New Roman" w:hAnsi="Times New Roman" w:cs="Times New Roman"/>
                <w:color w:val="auto"/>
                <w:highlight w:val="none"/>
                <w:lang w:val="en-US" w:eastAsia="zh-CN"/>
              </w:rPr>
              <w:t>地</w:t>
            </w:r>
            <w:r>
              <w:rPr>
                <w:rFonts w:hint="default" w:ascii="Times New Roman" w:hAnsi="Times New Roman" w:cs="Times New Roman"/>
                <w:color w:val="auto"/>
                <w:highlight w:val="none"/>
              </w:rPr>
              <w:t>华宁县202</w:t>
            </w:r>
            <w:r>
              <w:rPr>
                <w:rFonts w:hint="eastAsia" w:cs="Times New Roman"/>
                <w:color w:val="auto"/>
                <w:highlight w:val="none"/>
                <w:lang w:val="en-US" w:eastAsia="zh-CN"/>
              </w:rPr>
              <w:t>4</w:t>
            </w:r>
            <w:r>
              <w:rPr>
                <w:rFonts w:hint="default" w:ascii="Times New Roman" w:hAnsi="Times New Roman" w:cs="Times New Roman"/>
                <w:color w:val="auto"/>
                <w:highlight w:val="none"/>
              </w:rPr>
              <w:t>年SO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六项基本污染物均满足《环境空气质量标准》（GB3095-20</w:t>
            </w:r>
            <w:r>
              <w:rPr>
                <w:rFonts w:hint="eastAsia" w:cs="Times New Roman"/>
                <w:color w:val="auto"/>
                <w:highlight w:val="none"/>
                <w:lang w:val="en-US" w:eastAsia="zh-CN"/>
              </w:rPr>
              <w:t>26</w:t>
            </w:r>
            <w:r>
              <w:rPr>
                <w:rFonts w:hint="default" w:ascii="Times New Roman" w:hAnsi="Times New Roman" w:cs="Times New Roman"/>
                <w:color w:val="auto"/>
                <w:highlight w:val="none"/>
              </w:rPr>
              <w:t>）</w:t>
            </w:r>
            <w:r>
              <w:rPr>
                <w:rFonts w:hint="eastAsia" w:cs="Times New Roman"/>
                <w:color w:val="auto"/>
                <w:highlight w:val="none"/>
                <w:lang w:val="en-US" w:eastAsia="zh-CN"/>
              </w:rPr>
              <w:t>表1中</w:t>
            </w:r>
            <w:r>
              <w:rPr>
                <w:rFonts w:hint="default" w:ascii="Times New Roman" w:hAnsi="Times New Roman" w:cs="Times New Roman"/>
                <w:color w:val="auto"/>
                <w:highlight w:val="none"/>
              </w:rPr>
              <w:t>过渡阶段浓度限制中的二级</w:t>
            </w:r>
            <w:r>
              <w:rPr>
                <w:rFonts w:hint="eastAsia" w:cs="Times New Roman"/>
                <w:color w:val="auto"/>
                <w:highlight w:val="none"/>
                <w:lang w:val="en-US" w:eastAsia="zh-CN"/>
              </w:rPr>
              <w:t>浓度</w:t>
            </w:r>
            <w:r>
              <w:rPr>
                <w:rFonts w:hint="default" w:ascii="Times New Roman" w:hAnsi="Times New Roman" w:cs="Times New Roman"/>
                <w:color w:val="auto"/>
                <w:highlight w:val="none"/>
              </w:rPr>
              <w:t>限值</w:t>
            </w:r>
            <w:r>
              <w:rPr>
                <w:rFonts w:hint="eastAsia" w:cs="Times New Roman"/>
                <w:color w:val="auto"/>
                <w:highlight w:val="none"/>
                <w:lang w:eastAsia="zh-CN"/>
              </w:rPr>
              <w:t>，</w:t>
            </w:r>
            <w:r>
              <w:rPr>
                <w:rFonts w:hint="default" w:ascii="Times New Roman" w:hAnsi="Times New Roman" w:cs="Times New Roman"/>
                <w:color w:val="auto"/>
                <w:highlight w:val="none"/>
              </w:rPr>
              <w:t>项目所在区域为环境空气质量达标区。</w:t>
            </w:r>
          </w:p>
          <w:p w14:paraId="0C51E0F8">
            <w:pPr>
              <w:pStyle w:val="27"/>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（2）特征污染物环境质量现状</w:t>
            </w:r>
          </w:p>
          <w:p w14:paraId="50CE8B84">
            <w:pPr>
              <w:pStyle w:val="2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项目特征污染物为TSP</w:t>
            </w:r>
            <w:r>
              <w:rPr>
                <w:rFonts w:hint="eastAsia" w:ascii="Times New Roman" w:cs="Times New Roman"/>
                <w:color w:val="auto"/>
                <w:lang w:val="en-US" w:eastAsia="zh-CN"/>
              </w:rPr>
              <w:t>，</w:t>
            </w:r>
            <w:r>
              <w:rPr>
                <w:rFonts w:hint="default" w:ascii="Times New Roman" w:hAnsi="Times New Roman" w:cs="Times New Roman"/>
                <w:color w:val="auto"/>
                <w:lang w:val="en-US" w:eastAsia="zh-CN"/>
              </w:rPr>
              <w:t>本次环评委托云南速测环境科技有限公司</w:t>
            </w:r>
            <w:r>
              <w:rPr>
                <w:rFonts w:hint="eastAsia" w:ascii="Times New Roman" w:cs="Times New Roman"/>
                <w:color w:val="auto"/>
                <w:lang w:val="en-US" w:eastAsia="zh-CN"/>
              </w:rPr>
              <w:t>2025年06月10日至06月13日</w:t>
            </w:r>
            <w:r>
              <w:rPr>
                <w:rFonts w:hint="default" w:ascii="Times New Roman" w:hAnsi="Times New Roman" w:cs="Times New Roman"/>
                <w:color w:val="auto"/>
                <w:lang w:val="en-US" w:eastAsia="zh-CN"/>
              </w:rPr>
              <w:t>对项目厂界上下风向处进行大气环境质量现状监测，以下是监测内容。</w:t>
            </w:r>
          </w:p>
          <w:p w14:paraId="4E433F08">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①监测因子</w:t>
            </w:r>
          </w:p>
          <w:p w14:paraId="57A149BA">
            <w:pPr>
              <w:pStyle w:val="2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TSP。</w:t>
            </w:r>
          </w:p>
          <w:p w14:paraId="08A7AEF6">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②监测点位</w:t>
            </w:r>
          </w:p>
          <w:p w14:paraId="3AB3CB5F">
            <w:pPr>
              <w:pStyle w:val="2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本项目厂界上风向设置一个监测点位，下风向设置三个监测点位</w:t>
            </w:r>
            <w:r>
              <w:rPr>
                <w:rFonts w:hint="eastAsia" w:ascii="Times New Roman" w:hAnsi="Times New Roman" w:cs="Times New Roman"/>
                <w:color w:val="auto"/>
                <w:lang w:val="en-US" w:eastAsia="zh-CN"/>
              </w:rPr>
              <w:t>，监测点位布置图详见附图6。</w:t>
            </w:r>
          </w:p>
          <w:p w14:paraId="7A13B9B1">
            <w:pPr>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lang w:val="en-US" w:eastAsia="zh-CN"/>
              </w:rPr>
              <w:t>表3-3大气环境质量现状监测点位</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137"/>
              <w:gridCol w:w="1463"/>
              <w:gridCol w:w="1785"/>
              <w:gridCol w:w="2266"/>
            </w:tblGrid>
            <w:tr w14:paraId="39DF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08DA7F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编号</w:t>
                  </w:r>
                </w:p>
              </w:tc>
              <w:tc>
                <w:tcPr>
                  <w:tcW w:w="2137" w:type="dxa"/>
                  <w:vAlign w:val="center"/>
                </w:tcPr>
                <w:p w14:paraId="43D0B4A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监测点位</w:t>
                  </w:r>
                </w:p>
              </w:tc>
              <w:tc>
                <w:tcPr>
                  <w:tcW w:w="1463" w:type="dxa"/>
                  <w:vAlign w:val="center"/>
                </w:tcPr>
                <w:p w14:paraId="59E2CD2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监测项目</w:t>
                  </w:r>
                </w:p>
              </w:tc>
              <w:tc>
                <w:tcPr>
                  <w:tcW w:w="1785" w:type="dxa"/>
                  <w:vAlign w:val="center"/>
                </w:tcPr>
                <w:p w14:paraId="009C0AF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频率</w:t>
                  </w:r>
                </w:p>
              </w:tc>
              <w:tc>
                <w:tcPr>
                  <w:tcW w:w="2266" w:type="dxa"/>
                  <w:vAlign w:val="center"/>
                </w:tcPr>
                <w:p w14:paraId="07AE289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质量标准</w:t>
                  </w:r>
                </w:p>
              </w:tc>
            </w:tr>
            <w:tr w14:paraId="7BC2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1645ED0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G1</w:t>
                  </w:r>
                </w:p>
              </w:tc>
              <w:tc>
                <w:tcPr>
                  <w:tcW w:w="2137" w:type="dxa"/>
                  <w:vAlign w:val="center"/>
                </w:tcPr>
                <w:p w14:paraId="3CDE423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厂界上风向设置1个监测点位</w:t>
                  </w:r>
                </w:p>
              </w:tc>
              <w:tc>
                <w:tcPr>
                  <w:tcW w:w="1463" w:type="dxa"/>
                  <w:vMerge w:val="restart"/>
                  <w:vAlign w:val="center"/>
                </w:tcPr>
                <w:p w14:paraId="7E1DC72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TSP</w:t>
                  </w:r>
                </w:p>
              </w:tc>
              <w:tc>
                <w:tcPr>
                  <w:tcW w:w="1785" w:type="dxa"/>
                  <w:vMerge w:val="restart"/>
                  <w:vAlign w:val="center"/>
                </w:tcPr>
                <w:p w14:paraId="3CCE0DC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连续监测3天，每天监测1次</w:t>
                  </w:r>
                </w:p>
              </w:tc>
              <w:tc>
                <w:tcPr>
                  <w:tcW w:w="2266" w:type="dxa"/>
                  <w:vMerge w:val="restart"/>
                  <w:vAlign w:val="center"/>
                </w:tcPr>
                <w:p w14:paraId="385FE04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《环境空气质量标准》（GB3095-2012）中二类标准</w:t>
                  </w:r>
                </w:p>
              </w:tc>
            </w:tr>
            <w:tr w14:paraId="5CBC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15BF0BA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G2、G3、G4</w:t>
                  </w:r>
                </w:p>
              </w:tc>
              <w:tc>
                <w:tcPr>
                  <w:tcW w:w="2137" w:type="dxa"/>
                  <w:vAlign w:val="center"/>
                </w:tcPr>
                <w:p w14:paraId="7611443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厂界下风向设置3个监测点位</w:t>
                  </w:r>
                </w:p>
              </w:tc>
              <w:tc>
                <w:tcPr>
                  <w:tcW w:w="1463" w:type="dxa"/>
                  <w:vMerge w:val="continue"/>
                  <w:vAlign w:val="center"/>
                </w:tcPr>
                <w:p w14:paraId="57F9EAF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785" w:type="dxa"/>
                  <w:vMerge w:val="continue"/>
                  <w:vAlign w:val="center"/>
                </w:tcPr>
                <w:p w14:paraId="1D827F7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2266" w:type="dxa"/>
                  <w:vMerge w:val="continue"/>
                  <w:vAlign w:val="center"/>
                </w:tcPr>
                <w:p w14:paraId="7B616A7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bl>
          <w:p w14:paraId="68DC8112">
            <w:pPr>
              <w:pStyle w:val="2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③</w:t>
            </w:r>
            <w:r>
              <w:rPr>
                <w:rFonts w:hint="default" w:ascii="Times New Roman" w:hAnsi="Times New Roman" w:cs="Times New Roman"/>
                <w:color w:val="auto"/>
                <w:lang w:val="en-US" w:eastAsia="zh-CN"/>
              </w:rPr>
              <w:t>监测结果</w:t>
            </w:r>
          </w:p>
          <w:p w14:paraId="4358C242">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本项目于2025年6月10日至6月13日</w:t>
            </w:r>
            <w:r>
              <w:rPr>
                <w:rFonts w:hint="eastAsia" w:cs="Times New Roman"/>
                <w:color w:val="auto"/>
                <w:lang w:val="en-US" w:eastAsia="zh-CN"/>
              </w:rPr>
              <w:t>进行</w:t>
            </w:r>
            <w:r>
              <w:rPr>
                <w:rFonts w:hint="default" w:ascii="Times New Roman" w:hAnsi="Times New Roman" w:cs="Times New Roman"/>
                <w:color w:val="auto"/>
                <w:lang w:val="en-US" w:eastAsia="zh-CN"/>
              </w:rPr>
              <w:t>现场监测，监测结果如下表所示。</w:t>
            </w:r>
          </w:p>
          <w:p w14:paraId="70ECC675">
            <w:pPr>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4特征污染物TSP</w:t>
            </w:r>
            <w:r>
              <w:rPr>
                <w:rFonts w:hint="default" w:ascii="Times New Roman" w:hAnsi="Times New Roman" w:cs="Times New Roman"/>
                <w:b/>
                <w:bCs/>
                <w:color w:val="auto"/>
                <w:sz w:val="21"/>
                <w:szCs w:val="21"/>
                <w:lang w:val="en-US" w:eastAsia="zh-CN"/>
              </w:rPr>
              <w:t>环境质量现状监测结果</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950"/>
              <w:gridCol w:w="2040"/>
              <w:gridCol w:w="2535"/>
              <w:gridCol w:w="1125"/>
            </w:tblGrid>
            <w:tr w14:paraId="08F7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539" w:type="dxa"/>
                  <w:vMerge w:val="restart"/>
                  <w:vAlign w:val="center"/>
                </w:tcPr>
                <w:p w14:paraId="1E5AF24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采样日期</w:t>
                  </w:r>
                </w:p>
              </w:tc>
              <w:tc>
                <w:tcPr>
                  <w:tcW w:w="1950" w:type="dxa"/>
                  <w:vMerge w:val="restart"/>
                  <w:vAlign w:val="center"/>
                </w:tcPr>
                <w:p w14:paraId="2C03F97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采样地点</w:t>
                  </w:r>
                </w:p>
              </w:tc>
              <w:tc>
                <w:tcPr>
                  <w:tcW w:w="2040" w:type="dxa"/>
                  <w:vMerge w:val="restart"/>
                  <w:vAlign w:val="center"/>
                </w:tcPr>
                <w:p w14:paraId="27E1489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采样时段</w:t>
                  </w:r>
                </w:p>
              </w:tc>
              <w:tc>
                <w:tcPr>
                  <w:tcW w:w="2535" w:type="dxa"/>
                  <w:vMerge w:val="restart"/>
                  <w:vAlign w:val="center"/>
                </w:tcPr>
                <w:p w14:paraId="1CF85C6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样品编号</w:t>
                  </w:r>
                </w:p>
              </w:tc>
              <w:tc>
                <w:tcPr>
                  <w:tcW w:w="1125" w:type="dxa"/>
                  <w:vAlign w:val="center"/>
                </w:tcPr>
                <w:p w14:paraId="38D6D47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r>
            <w:tr w14:paraId="7BFD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539" w:type="dxa"/>
                  <w:vMerge w:val="continue"/>
                  <w:vAlign w:val="center"/>
                </w:tcPr>
                <w:p w14:paraId="42D7E8B6">
                  <w:pPr>
                    <w:spacing w:line="240" w:lineRule="auto"/>
                    <w:ind w:left="0" w:leftChars="0" w:firstLine="0" w:firstLineChars="0"/>
                    <w:jc w:val="center"/>
                    <w:rPr>
                      <w:rFonts w:hint="default" w:ascii="Times New Roman" w:hAnsi="Times New Roman" w:cs="Times New Roman"/>
                      <w:color w:val="auto"/>
                      <w:sz w:val="21"/>
                      <w:szCs w:val="21"/>
                    </w:rPr>
                  </w:pPr>
                </w:p>
              </w:tc>
              <w:tc>
                <w:tcPr>
                  <w:tcW w:w="1950" w:type="dxa"/>
                  <w:vMerge w:val="continue"/>
                  <w:vAlign w:val="center"/>
                </w:tcPr>
                <w:p w14:paraId="5077A90B">
                  <w:pPr>
                    <w:spacing w:line="240" w:lineRule="auto"/>
                    <w:ind w:left="0" w:leftChars="0" w:firstLine="0" w:firstLineChars="0"/>
                    <w:jc w:val="center"/>
                    <w:rPr>
                      <w:rFonts w:hint="default" w:ascii="Times New Roman" w:hAnsi="Times New Roman" w:cs="Times New Roman"/>
                      <w:color w:val="auto"/>
                      <w:sz w:val="21"/>
                      <w:szCs w:val="21"/>
                    </w:rPr>
                  </w:pPr>
                </w:p>
              </w:tc>
              <w:tc>
                <w:tcPr>
                  <w:tcW w:w="2040" w:type="dxa"/>
                  <w:vMerge w:val="continue"/>
                  <w:vAlign w:val="center"/>
                </w:tcPr>
                <w:p w14:paraId="08CE0E18">
                  <w:pPr>
                    <w:spacing w:line="240" w:lineRule="auto"/>
                    <w:ind w:left="0" w:leftChars="0" w:firstLine="0" w:firstLineChars="0"/>
                    <w:jc w:val="center"/>
                    <w:rPr>
                      <w:rFonts w:hint="default" w:ascii="Times New Roman" w:hAnsi="Times New Roman" w:cs="Times New Roman"/>
                      <w:color w:val="auto"/>
                      <w:sz w:val="21"/>
                      <w:szCs w:val="21"/>
                    </w:rPr>
                  </w:pPr>
                </w:p>
              </w:tc>
              <w:tc>
                <w:tcPr>
                  <w:tcW w:w="2535" w:type="dxa"/>
                  <w:vMerge w:val="continue"/>
                  <w:vAlign w:val="center"/>
                </w:tcPr>
                <w:p w14:paraId="57BA5EF6">
                  <w:pPr>
                    <w:spacing w:line="240" w:lineRule="auto"/>
                    <w:ind w:left="0" w:leftChars="0" w:firstLine="0" w:firstLineChars="0"/>
                    <w:jc w:val="center"/>
                    <w:rPr>
                      <w:rFonts w:hint="default" w:ascii="Times New Roman" w:hAnsi="Times New Roman" w:cs="Times New Roman"/>
                      <w:color w:val="auto"/>
                      <w:sz w:val="21"/>
                      <w:szCs w:val="21"/>
                    </w:rPr>
                  </w:pPr>
                </w:p>
              </w:tc>
              <w:tc>
                <w:tcPr>
                  <w:tcW w:w="1125" w:type="dxa"/>
                  <w:vAlign w:val="center"/>
                </w:tcPr>
                <w:p w14:paraId="0DF42E6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color w:val="auto"/>
                      <w:sz w:val="21"/>
                      <w:szCs w:val="21"/>
                      <w:lang w:val="en-US" w:eastAsia="zh-CN"/>
                    </w:rPr>
                    <w:t>μg/m</w:t>
                  </w:r>
                  <w:r>
                    <w:rPr>
                      <w:rFonts w:hint="default" w:ascii="Times New Roman" w:hAnsi="Times New Roman" w:cs="Times New Roman"/>
                      <w:b w:val="0"/>
                      <w:bCs/>
                      <w:color w:val="auto"/>
                      <w:sz w:val="21"/>
                      <w:szCs w:val="21"/>
                      <w:vertAlign w:val="superscript"/>
                      <w:lang w:val="en-US" w:eastAsia="zh-CN"/>
                    </w:rPr>
                    <w:t>3</w:t>
                  </w:r>
                </w:p>
              </w:tc>
            </w:tr>
            <w:tr w14:paraId="715B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restart"/>
                  <w:vAlign w:val="center"/>
                </w:tcPr>
                <w:p w14:paraId="1468F46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2025年6月10日-6月11日</w:t>
                  </w:r>
                </w:p>
              </w:tc>
              <w:tc>
                <w:tcPr>
                  <w:tcW w:w="1950" w:type="dxa"/>
                  <w:vAlign w:val="center"/>
                </w:tcPr>
                <w:p w14:paraId="4C42552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厂界上风向G1</w:t>
                  </w:r>
                </w:p>
              </w:tc>
              <w:tc>
                <w:tcPr>
                  <w:tcW w:w="2040" w:type="dxa"/>
                  <w:vAlign w:val="center"/>
                </w:tcPr>
                <w:p w14:paraId="69148BB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353FC82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W25061001HQ-1-1-1</w:t>
                  </w:r>
                </w:p>
              </w:tc>
              <w:tc>
                <w:tcPr>
                  <w:tcW w:w="1125" w:type="dxa"/>
                  <w:vAlign w:val="center"/>
                </w:tcPr>
                <w:p w14:paraId="4631BAB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78</w:t>
                  </w:r>
                </w:p>
              </w:tc>
            </w:tr>
            <w:tr w14:paraId="4575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418D7C5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vAlign w:val="center"/>
                </w:tcPr>
                <w:p w14:paraId="7FD89BF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厂界下风向G2</w:t>
                  </w:r>
                </w:p>
              </w:tc>
              <w:tc>
                <w:tcPr>
                  <w:tcW w:w="2040" w:type="dxa"/>
                  <w:vAlign w:val="center"/>
                </w:tcPr>
                <w:p w14:paraId="18AC414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6303902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W25061001HQ-2-1-1</w:t>
                  </w:r>
                </w:p>
              </w:tc>
              <w:tc>
                <w:tcPr>
                  <w:tcW w:w="1125" w:type="dxa"/>
                  <w:vAlign w:val="center"/>
                </w:tcPr>
                <w:p w14:paraId="1C062DD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92</w:t>
                  </w:r>
                </w:p>
              </w:tc>
            </w:tr>
            <w:tr w14:paraId="5FB2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6E01266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shd w:val="clear" w:color="auto" w:fill="auto"/>
                  <w:vAlign w:val="center"/>
                </w:tcPr>
                <w:p w14:paraId="013CD427">
                  <w:p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厂界下风向G3</w:t>
                  </w:r>
                </w:p>
              </w:tc>
              <w:tc>
                <w:tcPr>
                  <w:tcW w:w="2040" w:type="dxa"/>
                  <w:vAlign w:val="center"/>
                </w:tcPr>
                <w:p w14:paraId="5CDF2DD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50D7ADA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W25061001HQ-3-1-1</w:t>
                  </w:r>
                </w:p>
              </w:tc>
              <w:tc>
                <w:tcPr>
                  <w:tcW w:w="1125" w:type="dxa"/>
                  <w:vAlign w:val="center"/>
                </w:tcPr>
                <w:p w14:paraId="51F43E7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97</w:t>
                  </w:r>
                </w:p>
              </w:tc>
            </w:tr>
            <w:tr w14:paraId="5D40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4C3C38D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shd w:val="clear" w:color="auto" w:fill="auto"/>
                  <w:vAlign w:val="center"/>
                </w:tcPr>
                <w:p w14:paraId="2588CEE4">
                  <w:p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厂界下风向G4</w:t>
                  </w:r>
                </w:p>
              </w:tc>
              <w:tc>
                <w:tcPr>
                  <w:tcW w:w="2040" w:type="dxa"/>
                  <w:vAlign w:val="center"/>
                </w:tcPr>
                <w:p w14:paraId="649A924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72B6702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W25061001HQ-4-1-1</w:t>
                  </w:r>
                </w:p>
              </w:tc>
              <w:tc>
                <w:tcPr>
                  <w:tcW w:w="1125" w:type="dxa"/>
                  <w:vAlign w:val="center"/>
                </w:tcPr>
                <w:p w14:paraId="7F5524C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99</w:t>
                  </w:r>
                </w:p>
              </w:tc>
            </w:tr>
            <w:tr w14:paraId="703D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restart"/>
                  <w:vAlign w:val="center"/>
                </w:tcPr>
                <w:p w14:paraId="6E57FF0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2025年6月11日-6月12日</w:t>
                  </w:r>
                </w:p>
              </w:tc>
              <w:tc>
                <w:tcPr>
                  <w:tcW w:w="1950" w:type="dxa"/>
                  <w:vAlign w:val="center"/>
                </w:tcPr>
                <w:p w14:paraId="77E89AF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厂界上风向G1</w:t>
                  </w:r>
                </w:p>
              </w:tc>
              <w:tc>
                <w:tcPr>
                  <w:tcW w:w="2040" w:type="dxa"/>
                  <w:vAlign w:val="center"/>
                </w:tcPr>
                <w:p w14:paraId="44FB08F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2A7C467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W25061001HQ-1-2-1</w:t>
                  </w:r>
                </w:p>
              </w:tc>
              <w:tc>
                <w:tcPr>
                  <w:tcW w:w="1125" w:type="dxa"/>
                  <w:vAlign w:val="center"/>
                </w:tcPr>
                <w:p w14:paraId="1F25D90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79</w:t>
                  </w:r>
                </w:p>
              </w:tc>
            </w:tr>
            <w:tr w14:paraId="34D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52421D1A">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vAlign w:val="center"/>
                </w:tcPr>
                <w:p w14:paraId="5064954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厂界下风向G2</w:t>
                  </w:r>
                </w:p>
              </w:tc>
              <w:tc>
                <w:tcPr>
                  <w:tcW w:w="2040" w:type="dxa"/>
                  <w:vAlign w:val="center"/>
                </w:tcPr>
                <w:p w14:paraId="46AA29B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57F0108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W25061001HQ-2-2-1</w:t>
                  </w:r>
                </w:p>
              </w:tc>
              <w:tc>
                <w:tcPr>
                  <w:tcW w:w="1125" w:type="dxa"/>
                  <w:vAlign w:val="center"/>
                </w:tcPr>
                <w:p w14:paraId="17EE95C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91</w:t>
                  </w:r>
                </w:p>
              </w:tc>
            </w:tr>
            <w:tr w14:paraId="2C95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6C4D9F0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vAlign w:val="center"/>
                </w:tcPr>
                <w:p w14:paraId="75675AE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厂界下风向G3</w:t>
                  </w:r>
                </w:p>
              </w:tc>
              <w:tc>
                <w:tcPr>
                  <w:tcW w:w="2040" w:type="dxa"/>
                  <w:vAlign w:val="center"/>
                </w:tcPr>
                <w:p w14:paraId="48A73C1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160803A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W25061001HQ-3-2-1</w:t>
                  </w:r>
                </w:p>
              </w:tc>
              <w:tc>
                <w:tcPr>
                  <w:tcW w:w="1125" w:type="dxa"/>
                  <w:vAlign w:val="center"/>
                </w:tcPr>
                <w:p w14:paraId="7067AB3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98</w:t>
                  </w:r>
                </w:p>
              </w:tc>
            </w:tr>
            <w:tr w14:paraId="2928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7644B52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vAlign w:val="center"/>
                </w:tcPr>
                <w:p w14:paraId="7B746DD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厂界下风向G4</w:t>
                  </w:r>
                </w:p>
              </w:tc>
              <w:tc>
                <w:tcPr>
                  <w:tcW w:w="2040" w:type="dxa"/>
                  <w:vAlign w:val="center"/>
                </w:tcPr>
                <w:p w14:paraId="4AE362E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0961A40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W25061001HQ-4-2-1</w:t>
                  </w:r>
                </w:p>
              </w:tc>
              <w:tc>
                <w:tcPr>
                  <w:tcW w:w="1125" w:type="dxa"/>
                  <w:vAlign w:val="center"/>
                </w:tcPr>
                <w:p w14:paraId="6CFA199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86</w:t>
                  </w:r>
                </w:p>
              </w:tc>
            </w:tr>
            <w:tr w14:paraId="0A93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restart"/>
                  <w:vAlign w:val="center"/>
                </w:tcPr>
                <w:p w14:paraId="2F0F15E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2025年6月12日-6月13日</w:t>
                  </w:r>
                </w:p>
              </w:tc>
              <w:tc>
                <w:tcPr>
                  <w:tcW w:w="1950" w:type="dxa"/>
                  <w:vAlign w:val="center"/>
                </w:tcPr>
                <w:p w14:paraId="268B8D7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厂界上风向G1</w:t>
                  </w:r>
                </w:p>
              </w:tc>
              <w:tc>
                <w:tcPr>
                  <w:tcW w:w="2040" w:type="dxa"/>
                  <w:vAlign w:val="center"/>
                </w:tcPr>
                <w:p w14:paraId="1CAC4BB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7AA643B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W25061001HQ-1-3-1</w:t>
                  </w:r>
                </w:p>
              </w:tc>
              <w:tc>
                <w:tcPr>
                  <w:tcW w:w="1125" w:type="dxa"/>
                  <w:vAlign w:val="center"/>
                </w:tcPr>
                <w:p w14:paraId="0BE529F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w:t>
                  </w:r>
                </w:p>
              </w:tc>
            </w:tr>
            <w:tr w14:paraId="1668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105D518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vAlign w:val="center"/>
                </w:tcPr>
                <w:p w14:paraId="50D270E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厂界下风向G2</w:t>
                  </w:r>
                </w:p>
              </w:tc>
              <w:tc>
                <w:tcPr>
                  <w:tcW w:w="2040" w:type="dxa"/>
                  <w:vAlign w:val="center"/>
                </w:tcPr>
                <w:p w14:paraId="0D71913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015D645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W25061001HQ-2-3-1</w:t>
                  </w:r>
                </w:p>
              </w:tc>
              <w:tc>
                <w:tcPr>
                  <w:tcW w:w="1125" w:type="dxa"/>
                  <w:vAlign w:val="center"/>
                </w:tcPr>
                <w:p w14:paraId="3DC2CCC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89</w:t>
                  </w:r>
                </w:p>
              </w:tc>
            </w:tr>
            <w:tr w14:paraId="280C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1172545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vAlign w:val="center"/>
                </w:tcPr>
                <w:p w14:paraId="36D0718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厂界下风向G3</w:t>
                  </w:r>
                </w:p>
              </w:tc>
              <w:tc>
                <w:tcPr>
                  <w:tcW w:w="2040" w:type="dxa"/>
                  <w:vAlign w:val="center"/>
                </w:tcPr>
                <w:p w14:paraId="5B226D9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7C0833C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W25061001HQ-3-3-1</w:t>
                  </w:r>
                </w:p>
              </w:tc>
              <w:tc>
                <w:tcPr>
                  <w:tcW w:w="1125" w:type="dxa"/>
                  <w:vAlign w:val="center"/>
                </w:tcPr>
                <w:p w14:paraId="6471950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r>
            <w:tr w14:paraId="2218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vAlign w:val="center"/>
                </w:tcPr>
                <w:p w14:paraId="7FBD56D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950" w:type="dxa"/>
                  <w:vAlign w:val="center"/>
                </w:tcPr>
                <w:p w14:paraId="26A848F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厂界下风向G4</w:t>
                  </w:r>
                </w:p>
              </w:tc>
              <w:tc>
                <w:tcPr>
                  <w:tcW w:w="2040" w:type="dxa"/>
                  <w:vAlign w:val="center"/>
                </w:tcPr>
                <w:p w14:paraId="7730B62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18:00--次日18:00</w:t>
                  </w:r>
                </w:p>
              </w:tc>
              <w:tc>
                <w:tcPr>
                  <w:tcW w:w="2535" w:type="dxa"/>
                  <w:vAlign w:val="center"/>
                </w:tcPr>
                <w:p w14:paraId="62380D1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W25061001HQ-4-3-1</w:t>
                  </w:r>
                </w:p>
              </w:tc>
              <w:tc>
                <w:tcPr>
                  <w:tcW w:w="1125" w:type="dxa"/>
                  <w:vAlign w:val="center"/>
                </w:tcPr>
                <w:p w14:paraId="0135E36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92</w:t>
                  </w:r>
                </w:p>
              </w:tc>
            </w:tr>
          </w:tbl>
          <w:p w14:paraId="7D90B675">
            <w:pPr>
              <w:ind w:left="0" w:leftChars="0" w:firstLine="48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根据监测结果可知，监测点TSP最大值为99</w:t>
            </w:r>
            <w:r>
              <w:rPr>
                <w:rFonts w:hint="default" w:ascii="Times New Roman" w:hAnsi="Times New Roman" w:cs="Times New Roman"/>
                <w:b w:val="0"/>
                <w:bCs/>
                <w:color w:val="auto"/>
                <w:sz w:val="24"/>
                <w:szCs w:val="24"/>
                <w:lang w:val="en-US" w:eastAsia="zh-CN"/>
              </w:rPr>
              <w:t>μg/m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vertAlign w:val="baseline"/>
                <w:lang w:val="en-US" w:eastAsia="zh-CN"/>
              </w:rPr>
              <w:t>＜300</w:t>
            </w:r>
            <w:r>
              <w:rPr>
                <w:rFonts w:hint="default" w:ascii="Times New Roman" w:hAnsi="Times New Roman" w:cs="Times New Roman"/>
                <w:b w:val="0"/>
                <w:bCs/>
                <w:color w:val="auto"/>
                <w:sz w:val="24"/>
                <w:szCs w:val="24"/>
                <w:lang w:val="en-US" w:eastAsia="zh-CN"/>
              </w:rPr>
              <w:t>μg/m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color w:val="auto"/>
                <w:lang w:val="en-US" w:eastAsia="zh-CN"/>
              </w:rPr>
              <w:t>，满足</w:t>
            </w:r>
            <w:r>
              <w:rPr>
                <w:rFonts w:hint="default" w:ascii="Times New Roman" w:hAnsi="Times New Roman" w:cs="Times New Roman"/>
                <w:color w:val="auto"/>
                <w:highlight w:val="none"/>
              </w:rPr>
              <w:t>《环境空气质量标准》（GB3095-20</w:t>
            </w:r>
            <w:r>
              <w:rPr>
                <w:rFonts w:hint="eastAsia" w:cs="Times New Roman"/>
                <w:color w:val="auto"/>
                <w:highlight w:val="none"/>
                <w:lang w:val="en-US" w:eastAsia="zh-CN"/>
              </w:rPr>
              <w:t>26</w:t>
            </w:r>
            <w:r>
              <w:rPr>
                <w:rFonts w:hint="default" w:ascii="Times New Roman" w:hAnsi="Times New Roman" w:cs="Times New Roman"/>
                <w:color w:val="auto"/>
                <w:highlight w:val="none"/>
              </w:rPr>
              <w:t>）</w:t>
            </w:r>
            <w:r>
              <w:rPr>
                <w:rFonts w:hint="eastAsia" w:cs="Times New Roman"/>
                <w:color w:val="auto"/>
                <w:highlight w:val="none"/>
                <w:lang w:val="en-US" w:eastAsia="zh-CN"/>
              </w:rPr>
              <w:t>表2</w:t>
            </w:r>
            <w:r>
              <w:rPr>
                <w:rFonts w:hint="default" w:ascii="Times New Roman" w:hAnsi="Times New Roman" w:cs="Times New Roman"/>
                <w:color w:val="auto"/>
                <w:highlight w:val="none"/>
              </w:rPr>
              <w:t>中二级</w:t>
            </w:r>
            <w:r>
              <w:rPr>
                <w:rFonts w:hint="eastAsia" w:ascii="Times New Roman" w:hAnsi="Times New Roman" w:cs="Times New Roman"/>
                <w:color w:val="auto"/>
                <w:highlight w:val="none"/>
                <w:lang w:val="en-US" w:eastAsia="zh-CN"/>
              </w:rPr>
              <w:t>浓度</w:t>
            </w:r>
            <w:r>
              <w:rPr>
                <w:rFonts w:hint="default" w:ascii="Times New Roman" w:hAnsi="Times New Roman" w:cs="Times New Roman"/>
                <w:color w:val="auto"/>
                <w:highlight w:val="none"/>
              </w:rPr>
              <w:t>限值</w:t>
            </w:r>
            <w:r>
              <w:rPr>
                <w:rFonts w:hint="eastAsia" w:cs="Times New Roman"/>
                <w:color w:val="auto"/>
                <w:lang w:val="en-US" w:eastAsia="zh-CN"/>
              </w:rPr>
              <w:t>，</w:t>
            </w:r>
            <w:r>
              <w:rPr>
                <w:rFonts w:hint="default" w:ascii="Times New Roman" w:hAnsi="Times New Roman" w:cs="Times New Roman"/>
                <w:color w:val="auto"/>
                <w:lang w:val="en-US" w:eastAsia="zh-CN"/>
              </w:rPr>
              <w:t>因此项目所在区域环境空气质量良好。</w:t>
            </w:r>
          </w:p>
          <w:p w14:paraId="173D2EDA">
            <w:pPr>
              <w:ind w:left="0" w:leftChars="0" w:firstLine="0" w:firstLineChars="0"/>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2声环境质量</w:t>
            </w:r>
          </w:p>
          <w:p w14:paraId="260C1A6B">
            <w:pPr>
              <w:ind w:left="0" w:leftChars="0" w:firstLine="0" w:firstLineChars="0"/>
              <w:jc w:val="both"/>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2.1声环境质量标准</w:t>
            </w:r>
          </w:p>
          <w:p w14:paraId="375BE904">
            <w:pPr>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本项目位于华宁县宁州街道法果村原法果红砖厂，远离村庄，项目所在区域属于2类声环境功能区，执行《声环境质量标准》（GB3096-2008）2类标准限值，声环境标准限值如下表所示。</w:t>
            </w:r>
          </w:p>
          <w:p w14:paraId="7676E0B5">
            <w:pPr>
              <w:ind w:left="0" w:leftChars="0" w:firstLine="0" w:firstLineChars="0"/>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lang w:val="en-US" w:eastAsia="zh-CN"/>
              </w:rPr>
              <w:t>表3-5  声环境质量标准  单位：dB（A）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9"/>
              <w:gridCol w:w="3070"/>
              <w:gridCol w:w="3070"/>
            </w:tblGrid>
            <w:tr w14:paraId="1A29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dxa"/>
                  <w:vAlign w:val="center"/>
                </w:tcPr>
                <w:p w14:paraId="47AF6A56">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类别</w:t>
                  </w:r>
                </w:p>
              </w:tc>
              <w:tc>
                <w:tcPr>
                  <w:tcW w:w="3070" w:type="dxa"/>
                  <w:vAlign w:val="center"/>
                </w:tcPr>
                <w:p w14:paraId="679ED0F9">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昼间</w:t>
                  </w:r>
                </w:p>
              </w:tc>
              <w:tc>
                <w:tcPr>
                  <w:tcW w:w="3070" w:type="dxa"/>
                  <w:vAlign w:val="center"/>
                </w:tcPr>
                <w:p w14:paraId="164E039D">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夜间</w:t>
                  </w:r>
                </w:p>
              </w:tc>
            </w:tr>
            <w:tr w14:paraId="36EC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dxa"/>
                  <w:vAlign w:val="center"/>
                </w:tcPr>
                <w:p w14:paraId="237FCDAF">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3070" w:type="dxa"/>
                  <w:vAlign w:val="center"/>
                </w:tcPr>
                <w:p w14:paraId="6ECEEAF3">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60</w:t>
                  </w:r>
                </w:p>
              </w:tc>
              <w:tc>
                <w:tcPr>
                  <w:tcW w:w="3070" w:type="dxa"/>
                  <w:vAlign w:val="center"/>
                </w:tcPr>
                <w:p w14:paraId="222E8CD0">
                  <w:p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w:t>
                  </w:r>
                </w:p>
              </w:tc>
            </w:tr>
          </w:tbl>
          <w:p w14:paraId="471CF2BF">
            <w:pPr>
              <w:ind w:left="0" w:leftChars="0" w:firstLine="0" w:firstLineChars="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2.2声环境质量现状</w:t>
            </w:r>
          </w:p>
          <w:p w14:paraId="71F2AD4E">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本次环评委托云南速测环境科技有限公司</w:t>
            </w:r>
            <w:r>
              <w:rPr>
                <w:rFonts w:hint="eastAsia" w:cs="Times New Roman"/>
                <w:color w:val="auto"/>
                <w:lang w:val="en-US" w:eastAsia="zh-CN"/>
              </w:rPr>
              <w:t>于</w:t>
            </w:r>
            <w:r>
              <w:rPr>
                <w:rFonts w:hint="default" w:ascii="Times New Roman" w:hAnsi="Times New Roman" w:cs="Times New Roman"/>
                <w:color w:val="auto"/>
                <w:lang w:val="en-US" w:eastAsia="zh-CN"/>
              </w:rPr>
              <w:t>2025年6月10日对项目厂界四周进行声环境质量现状监</w:t>
            </w:r>
            <w:r>
              <w:rPr>
                <w:rFonts w:hint="eastAsia" w:cs="Times New Roman"/>
                <w:color w:val="auto"/>
                <w:lang w:val="en-US" w:eastAsia="zh-CN"/>
              </w:rPr>
              <w:t>测，</w:t>
            </w:r>
            <w:r>
              <w:rPr>
                <w:rFonts w:hint="default" w:ascii="Times New Roman" w:hAnsi="Times New Roman" w:cs="Times New Roman"/>
                <w:color w:val="auto"/>
                <w:lang w:val="en-US" w:eastAsia="zh-CN"/>
              </w:rPr>
              <w:t>监测结果如下表所示。</w:t>
            </w:r>
          </w:p>
          <w:p w14:paraId="7999205F">
            <w:pPr>
              <w:pStyle w:val="27"/>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ascii="Times New Roman" w:cs="Times New Roman"/>
                <w:b/>
                <w:bCs/>
                <w:color w:val="auto"/>
                <w:sz w:val="21"/>
                <w:szCs w:val="21"/>
                <w:lang w:val="en-US" w:eastAsia="zh-CN"/>
              </w:rPr>
              <w:t>6项目区</w:t>
            </w:r>
            <w:r>
              <w:rPr>
                <w:rFonts w:hint="eastAsia" w:ascii="Times New Roman" w:hAnsi="Times New Roman" w:cs="Times New Roman"/>
                <w:b/>
                <w:bCs/>
                <w:color w:val="auto"/>
                <w:sz w:val="21"/>
                <w:szCs w:val="21"/>
                <w:lang w:val="en-US" w:eastAsia="zh-CN"/>
              </w:rPr>
              <w:t>声</w:t>
            </w:r>
            <w:r>
              <w:rPr>
                <w:rFonts w:hint="default" w:ascii="Times New Roman" w:hAnsi="Times New Roman" w:cs="Times New Roman"/>
                <w:b/>
                <w:bCs/>
                <w:color w:val="auto"/>
                <w:sz w:val="21"/>
                <w:szCs w:val="21"/>
                <w:lang w:val="en-US" w:eastAsia="zh-CN"/>
              </w:rPr>
              <w:t>环境质量现状监测结果</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350"/>
              <w:gridCol w:w="1440"/>
              <w:gridCol w:w="1995"/>
              <w:gridCol w:w="1365"/>
              <w:gridCol w:w="2054"/>
            </w:tblGrid>
            <w:tr w14:paraId="6C2C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Align w:val="center"/>
                </w:tcPr>
                <w:p w14:paraId="603DC9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编号</w:t>
                  </w:r>
                </w:p>
              </w:tc>
              <w:tc>
                <w:tcPr>
                  <w:tcW w:w="1350" w:type="dxa"/>
                  <w:vAlign w:val="center"/>
                </w:tcPr>
                <w:p w14:paraId="0A80F2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监测点位</w:t>
                  </w:r>
                </w:p>
              </w:tc>
              <w:tc>
                <w:tcPr>
                  <w:tcW w:w="1440" w:type="dxa"/>
                  <w:vAlign w:val="center"/>
                </w:tcPr>
                <w:p w14:paraId="4BCDE5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监测项目</w:t>
                  </w:r>
                </w:p>
              </w:tc>
              <w:tc>
                <w:tcPr>
                  <w:tcW w:w="1995" w:type="dxa"/>
                  <w:vAlign w:val="center"/>
                </w:tcPr>
                <w:p w14:paraId="3A9013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日期</w:t>
                  </w:r>
                </w:p>
              </w:tc>
              <w:tc>
                <w:tcPr>
                  <w:tcW w:w="1365" w:type="dxa"/>
                  <w:vAlign w:val="center"/>
                </w:tcPr>
                <w:p w14:paraId="33FF74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时段</w:t>
                  </w:r>
                </w:p>
              </w:tc>
              <w:tc>
                <w:tcPr>
                  <w:tcW w:w="2054" w:type="dxa"/>
                  <w:vAlign w:val="center"/>
                </w:tcPr>
                <w:p w14:paraId="05C701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Leq（A）  单位dB（A）</w:t>
                  </w:r>
                </w:p>
              </w:tc>
            </w:tr>
            <w:tr w14:paraId="2501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vAlign w:val="center"/>
                </w:tcPr>
                <w:p w14:paraId="61BE97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350" w:type="dxa"/>
                  <w:vMerge w:val="restart"/>
                  <w:vAlign w:val="center"/>
                </w:tcPr>
                <w:p w14:paraId="373322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N1</w:t>
                  </w:r>
                </w:p>
              </w:tc>
              <w:tc>
                <w:tcPr>
                  <w:tcW w:w="1440" w:type="dxa"/>
                  <w:vMerge w:val="restart"/>
                  <w:vAlign w:val="center"/>
                </w:tcPr>
                <w:p w14:paraId="136B89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环境噪声</w:t>
                  </w:r>
                </w:p>
              </w:tc>
              <w:tc>
                <w:tcPr>
                  <w:tcW w:w="1995" w:type="dxa"/>
                  <w:vMerge w:val="restart"/>
                  <w:vAlign w:val="center"/>
                </w:tcPr>
                <w:p w14:paraId="26C6F3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2025.06.10</w:t>
                  </w:r>
                </w:p>
              </w:tc>
              <w:tc>
                <w:tcPr>
                  <w:tcW w:w="1365" w:type="dxa"/>
                  <w:vAlign w:val="center"/>
                </w:tcPr>
                <w:p w14:paraId="66ACDA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昼间</w:t>
                  </w:r>
                </w:p>
              </w:tc>
              <w:tc>
                <w:tcPr>
                  <w:tcW w:w="2054" w:type="dxa"/>
                  <w:vAlign w:val="center"/>
                </w:tcPr>
                <w:p w14:paraId="509865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w:t>
                  </w:r>
                </w:p>
              </w:tc>
            </w:tr>
            <w:tr w14:paraId="23C0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vAlign w:val="center"/>
                </w:tcPr>
                <w:p w14:paraId="0BBB16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50" w:type="dxa"/>
                  <w:vMerge w:val="continue"/>
                  <w:vAlign w:val="center"/>
                </w:tcPr>
                <w:p w14:paraId="6D7AED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440" w:type="dxa"/>
                  <w:vMerge w:val="continue"/>
                  <w:vAlign w:val="center"/>
                </w:tcPr>
                <w:p w14:paraId="788B2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995" w:type="dxa"/>
                  <w:vMerge w:val="continue"/>
                  <w:vAlign w:val="center"/>
                </w:tcPr>
                <w:p w14:paraId="135BC7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65" w:type="dxa"/>
                  <w:vAlign w:val="center"/>
                </w:tcPr>
                <w:p w14:paraId="339BE8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夜间</w:t>
                  </w:r>
                </w:p>
              </w:tc>
              <w:tc>
                <w:tcPr>
                  <w:tcW w:w="2054" w:type="dxa"/>
                  <w:vAlign w:val="center"/>
                </w:tcPr>
                <w:p w14:paraId="5F90D7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43</w:t>
                  </w:r>
                </w:p>
              </w:tc>
            </w:tr>
            <w:tr w14:paraId="1FF9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vAlign w:val="center"/>
                </w:tcPr>
                <w:p w14:paraId="7DA0D9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350" w:type="dxa"/>
                  <w:vMerge w:val="restart"/>
                  <w:vAlign w:val="center"/>
                </w:tcPr>
                <w:p w14:paraId="072241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N2</w:t>
                  </w:r>
                </w:p>
              </w:tc>
              <w:tc>
                <w:tcPr>
                  <w:tcW w:w="1440" w:type="dxa"/>
                  <w:vMerge w:val="restart"/>
                  <w:vAlign w:val="center"/>
                </w:tcPr>
                <w:p w14:paraId="1211CA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环境噪声</w:t>
                  </w:r>
                </w:p>
              </w:tc>
              <w:tc>
                <w:tcPr>
                  <w:tcW w:w="1995" w:type="dxa"/>
                  <w:vMerge w:val="restart"/>
                  <w:vAlign w:val="center"/>
                </w:tcPr>
                <w:p w14:paraId="3EB0A3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2025.06.10</w:t>
                  </w:r>
                </w:p>
              </w:tc>
              <w:tc>
                <w:tcPr>
                  <w:tcW w:w="1365" w:type="dxa"/>
                  <w:vAlign w:val="center"/>
                </w:tcPr>
                <w:p w14:paraId="6242CB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昼间</w:t>
                  </w:r>
                </w:p>
              </w:tc>
              <w:tc>
                <w:tcPr>
                  <w:tcW w:w="2054" w:type="dxa"/>
                  <w:vAlign w:val="center"/>
                </w:tcPr>
                <w:p w14:paraId="51602E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58</w:t>
                  </w:r>
                </w:p>
              </w:tc>
            </w:tr>
            <w:tr w14:paraId="748D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vAlign w:val="center"/>
                </w:tcPr>
                <w:p w14:paraId="0D8926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50" w:type="dxa"/>
                  <w:vMerge w:val="continue"/>
                  <w:vAlign w:val="center"/>
                </w:tcPr>
                <w:p w14:paraId="56DBFD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440" w:type="dxa"/>
                  <w:vMerge w:val="continue"/>
                  <w:vAlign w:val="center"/>
                </w:tcPr>
                <w:p w14:paraId="48A0B6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995" w:type="dxa"/>
                  <w:vMerge w:val="continue"/>
                  <w:vAlign w:val="center"/>
                </w:tcPr>
                <w:p w14:paraId="1E3E05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65" w:type="dxa"/>
                  <w:vAlign w:val="center"/>
                </w:tcPr>
                <w:p w14:paraId="53F1AC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夜间</w:t>
                  </w:r>
                </w:p>
              </w:tc>
              <w:tc>
                <w:tcPr>
                  <w:tcW w:w="2054" w:type="dxa"/>
                  <w:vAlign w:val="center"/>
                </w:tcPr>
                <w:p w14:paraId="6BDD82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44</w:t>
                  </w:r>
                </w:p>
              </w:tc>
            </w:tr>
            <w:tr w14:paraId="6360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vAlign w:val="center"/>
                </w:tcPr>
                <w:p w14:paraId="36ACF0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350" w:type="dxa"/>
                  <w:vMerge w:val="restart"/>
                  <w:vAlign w:val="center"/>
                </w:tcPr>
                <w:p w14:paraId="7FE997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N3</w:t>
                  </w:r>
                </w:p>
              </w:tc>
              <w:tc>
                <w:tcPr>
                  <w:tcW w:w="1440" w:type="dxa"/>
                  <w:vMerge w:val="restart"/>
                  <w:vAlign w:val="center"/>
                </w:tcPr>
                <w:p w14:paraId="6B93F6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环境噪声</w:t>
                  </w:r>
                </w:p>
              </w:tc>
              <w:tc>
                <w:tcPr>
                  <w:tcW w:w="1995" w:type="dxa"/>
                  <w:vMerge w:val="restart"/>
                  <w:vAlign w:val="center"/>
                </w:tcPr>
                <w:p w14:paraId="141BF7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2025.06.10</w:t>
                  </w:r>
                </w:p>
              </w:tc>
              <w:tc>
                <w:tcPr>
                  <w:tcW w:w="1365" w:type="dxa"/>
                  <w:vAlign w:val="center"/>
                </w:tcPr>
                <w:p w14:paraId="3E7320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昼间</w:t>
                  </w:r>
                </w:p>
              </w:tc>
              <w:tc>
                <w:tcPr>
                  <w:tcW w:w="2054" w:type="dxa"/>
                  <w:vAlign w:val="center"/>
                </w:tcPr>
                <w:p w14:paraId="659C24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53</w:t>
                  </w:r>
                </w:p>
              </w:tc>
            </w:tr>
            <w:tr w14:paraId="0DAC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vAlign w:val="center"/>
                </w:tcPr>
                <w:p w14:paraId="4EDA43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50" w:type="dxa"/>
                  <w:vMerge w:val="continue"/>
                  <w:vAlign w:val="center"/>
                </w:tcPr>
                <w:p w14:paraId="40867B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440" w:type="dxa"/>
                  <w:vMerge w:val="continue"/>
                  <w:vAlign w:val="center"/>
                </w:tcPr>
                <w:p w14:paraId="1D25AC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995" w:type="dxa"/>
                  <w:vMerge w:val="continue"/>
                  <w:vAlign w:val="center"/>
                </w:tcPr>
                <w:p w14:paraId="34C439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65" w:type="dxa"/>
                  <w:vAlign w:val="center"/>
                </w:tcPr>
                <w:p w14:paraId="0C4636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夜间</w:t>
                  </w:r>
                </w:p>
              </w:tc>
              <w:tc>
                <w:tcPr>
                  <w:tcW w:w="2054" w:type="dxa"/>
                  <w:vAlign w:val="center"/>
                </w:tcPr>
                <w:p w14:paraId="115AE3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46</w:t>
                  </w:r>
                </w:p>
              </w:tc>
            </w:tr>
            <w:tr w14:paraId="6247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vAlign w:val="center"/>
                </w:tcPr>
                <w:p w14:paraId="08FBF6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1350" w:type="dxa"/>
                  <w:vMerge w:val="restart"/>
                  <w:vAlign w:val="center"/>
                </w:tcPr>
                <w:p w14:paraId="684F36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N4</w:t>
                  </w:r>
                </w:p>
              </w:tc>
              <w:tc>
                <w:tcPr>
                  <w:tcW w:w="1440" w:type="dxa"/>
                  <w:vMerge w:val="restart"/>
                  <w:vAlign w:val="center"/>
                </w:tcPr>
                <w:p w14:paraId="05E37F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环境噪声</w:t>
                  </w:r>
                </w:p>
              </w:tc>
              <w:tc>
                <w:tcPr>
                  <w:tcW w:w="1995" w:type="dxa"/>
                  <w:vMerge w:val="restart"/>
                  <w:vAlign w:val="center"/>
                </w:tcPr>
                <w:p w14:paraId="44860C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2025.06.10</w:t>
                  </w:r>
                </w:p>
              </w:tc>
              <w:tc>
                <w:tcPr>
                  <w:tcW w:w="1365" w:type="dxa"/>
                  <w:vAlign w:val="center"/>
                </w:tcPr>
                <w:p w14:paraId="44D80A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昼间</w:t>
                  </w:r>
                </w:p>
              </w:tc>
              <w:tc>
                <w:tcPr>
                  <w:tcW w:w="2054" w:type="dxa"/>
                  <w:vAlign w:val="center"/>
                </w:tcPr>
                <w:p w14:paraId="66DCED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51</w:t>
                  </w:r>
                </w:p>
              </w:tc>
            </w:tr>
            <w:tr w14:paraId="7A03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vAlign w:val="center"/>
                </w:tcPr>
                <w:p w14:paraId="581AC9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50" w:type="dxa"/>
                  <w:vMerge w:val="continue"/>
                  <w:vAlign w:val="center"/>
                </w:tcPr>
                <w:p w14:paraId="56302D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440" w:type="dxa"/>
                  <w:vMerge w:val="continue"/>
                  <w:vAlign w:val="center"/>
                </w:tcPr>
                <w:p w14:paraId="421E58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995" w:type="dxa"/>
                  <w:vMerge w:val="continue"/>
                  <w:vAlign w:val="center"/>
                </w:tcPr>
                <w:p w14:paraId="6D6F09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365" w:type="dxa"/>
                  <w:vAlign w:val="center"/>
                </w:tcPr>
                <w:p w14:paraId="19353F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夜间</w:t>
                  </w:r>
                </w:p>
              </w:tc>
              <w:tc>
                <w:tcPr>
                  <w:tcW w:w="2054" w:type="dxa"/>
                  <w:vAlign w:val="center"/>
                </w:tcPr>
                <w:p w14:paraId="4479C2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44</w:t>
                  </w:r>
                </w:p>
              </w:tc>
            </w:tr>
          </w:tbl>
          <w:p w14:paraId="4AFD8AB4">
            <w:pPr>
              <w:pStyle w:val="37"/>
              <w:numPr>
                <w:ilvl w:val="0"/>
                <w:numId w:val="0"/>
              </w:numPr>
              <w:ind w:firstLine="480" w:firstLineChars="200"/>
              <w:jc w:val="both"/>
              <w:rPr>
                <w:rFonts w:hint="default" w:ascii="Times New Roman" w:hAnsi="Times New Roman" w:cs="Times New Roman"/>
                <w:color w:val="auto"/>
                <w:lang w:val="en-US" w:eastAsia="zh-CN"/>
              </w:rPr>
            </w:pPr>
            <w:r>
              <w:rPr>
                <w:rFonts w:hint="default" w:ascii="Times New Roman" w:hAnsi="Times New Roman" w:cs="Times New Roman"/>
                <w:b w:val="0"/>
                <w:bCs/>
                <w:color w:val="auto"/>
                <w:sz w:val="24"/>
                <w:szCs w:val="24"/>
                <w:lang w:val="en-US" w:eastAsia="zh-CN"/>
              </w:rPr>
              <w:t>根据监测结果显示，该项目昼间最大噪声为58dB，未超过《声环境质量标准》</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GB3096-2008</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2类标准中的昼间标准限值60dB；夜间最大噪声为46dB，未超过《声环境质量标准》</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GB3096-2008</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2类标准中的夜间标准限值50dB；因此项目所在地区声环境质量良好。</w:t>
            </w:r>
          </w:p>
          <w:p w14:paraId="1E25B53A">
            <w:pPr>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3水环境质量</w:t>
            </w:r>
          </w:p>
          <w:p w14:paraId="1F2152DC">
            <w:pPr>
              <w:numPr>
                <w:ilvl w:val="0"/>
                <w:numId w:val="0"/>
              </w:numPr>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w:t>
            </w:r>
            <w:r>
              <w:rPr>
                <w:rFonts w:hint="default" w:ascii="Times New Roman" w:hAnsi="Times New Roman" w:cs="Times New Roman"/>
                <w:b/>
                <w:bCs/>
                <w:color w:val="auto"/>
                <w:sz w:val="24"/>
                <w:szCs w:val="24"/>
                <w:lang w:val="en-US" w:eastAsia="zh-CN"/>
              </w:rPr>
              <w:t>地表水环境质量标准</w:t>
            </w:r>
          </w:p>
          <w:p w14:paraId="325ADD06">
            <w:pPr>
              <w:numPr>
                <w:ilvl w:val="0"/>
                <w:numId w:val="0"/>
              </w:numPr>
              <w:ind w:left="0" w:lef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项目区最近地表径流为项目区东侧</w:t>
            </w:r>
            <w:r>
              <w:rPr>
                <w:rFonts w:hint="default" w:ascii="Times New Roman" w:hAnsi="Times New Roman" w:cs="Times New Roman"/>
                <w:color w:val="auto"/>
                <w:sz w:val="24"/>
                <w:szCs w:val="24"/>
                <w:lang w:val="en-US" w:eastAsia="zh-CN"/>
              </w:rPr>
              <w:t>3.4</w:t>
            </w:r>
            <w:r>
              <w:rPr>
                <w:rFonts w:hint="default" w:ascii="Times New Roman" w:hAnsi="Times New Roman" w:eastAsia="宋体" w:cs="Times New Roman"/>
                <w:color w:val="auto"/>
                <w:sz w:val="24"/>
                <w:szCs w:val="24"/>
              </w:rPr>
              <w:t>km处的龙</w:t>
            </w:r>
            <w:r>
              <w:rPr>
                <w:rFonts w:hint="default" w:ascii="Times New Roman" w:hAnsi="Times New Roman" w:cs="Times New Roman"/>
                <w:color w:val="auto"/>
                <w:sz w:val="24"/>
                <w:szCs w:val="24"/>
                <w:lang w:val="en-US" w:eastAsia="zh-CN"/>
              </w:rPr>
              <w:t>洞</w:t>
            </w:r>
            <w:r>
              <w:rPr>
                <w:rFonts w:hint="default" w:ascii="Times New Roman" w:hAnsi="Times New Roman" w:eastAsia="宋体" w:cs="Times New Roman"/>
                <w:color w:val="auto"/>
                <w:sz w:val="24"/>
                <w:szCs w:val="24"/>
              </w:rPr>
              <w:t>河，龙</w:t>
            </w:r>
            <w:r>
              <w:rPr>
                <w:rFonts w:hint="default" w:ascii="Times New Roman" w:hAnsi="Times New Roman" w:cs="Times New Roman"/>
                <w:color w:val="auto"/>
                <w:sz w:val="24"/>
                <w:szCs w:val="24"/>
                <w:lang w:val="en-US" w:eastAsia="zh-CN"/>
              </w:rPr>
              <w:t>洞</w:t>
            </w:r>
            <w:r>
              <w:rPr>
                <w:rFonts w:hint="default" w:ascii="Times New Roman" w:hAnsi="Times New Roman" w:eastAsia="宋体" w:cs="Times New Roman"/>
                <w:color w:val="auto"/>
                <w:sz w:val="24"/>
                <w:szCs w:val="24"/>
              </w:rPr>
              <w:t>河进入曲江河，最终汇入南盘江。根据《云南省水功能区划（2014年修订）》，曲江（由峨山小街至入南盘江口）属于一级水功能区曲江峨山—华宁保留区，水质现状为III类，目标水质为III类。</w:t>
            </w:r>
            <w:r>
              <w:rPr>
                <w:rFonts w:hint="default" w:ascii="Times New Roman" w:hAnsi="Times New Roman" w:eastAsia="宋体" w:cs="Times New Roman"/>
                <w:color w:val="auto"/>
                <w:sz w:val="24"/>
                <w:szCs w:val="24"/>
                <w:lang w:val="en-US" w:eastAsia="zh-CN"/>
              </w:rPr>
              <w:t>本项目涉及的龙洞河为曲江左岸一级支流，</w:t>
            </w:r>
            <w:r>
              <w:rPr>
                <w:rFonts w:hint="default" w:ascii="Times New Roman" w:hAnsi="Times New Roman" w:eastAsia="宋体" w:cs="Times New Roman"/>
                <w:color w:val="auto"/>
                <w:sz w:val="24"/>
                <w:szCs w:val="24"/>
              </w:rPr>
              <w:t>本工程执行曲江（由峨山小街至入南盘江口）一级水功能区曲江峨山—华宁保留区，执行GB3838-2002《地表水环境质量标准》III类标准。</w:t>
            </w:r>
            <w:r>
              <w:rPr>
                <w:rFonts w:hint="default" w:ascii="Times New Roman" w:hAnsi="Times New Roman" w:cs="Times New Roman"/>
                <w:color w:val="auto"/>
                <w:sz w:val="24"/>
                <w:szCs w:val="24"/>
                <w:lang w:val="en-US" w:eastAsia="zh-CN"/>
              </w:rPr>
              <w:t>具体标准值见下表。</w:t>
            </w:r>
          </w:p>
          <w:p w14:paraId="7FAC0817">
            <w:pPr>
              <w:pStyle w:val="27"/>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lang w:val="en-US" w:eastAsia="zh-CN"/>
              </w:rPr>
              <w:t>表3-</w:t>
            </w:r>
            <w:r>
              <w:rPr>
                <w:rFonts w:hint="eastAsia" w:ascii="Times New Roman"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 xml:space="preserve"> 地表水环境质量标准  单位：mg/L，pH值除外</w:t>
            </w:r>
          </w:p>
          <w:tbl>
            <w:tblPr>
              <w:tblStyle w:val="16"/>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4537"/>
              <w:gridCol w:w="2345"/>
            </w:tblGrid>
            <w:tr w14:paraId="2637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257" w:type="pct"/>
                  <w:tcBorders>
                    <w:top w:val="single" w:color="auto" w:sz="4" w:space="0"/>
                    <w:left w:val="single" w:color="auto" w:sz="4" w:space="0"/>
                    <w:bottom w:val="single" w:color="auto" w:sz="4" w:space="0"/>
                    <w:right w:val="single" w:color="auto" w:sz="4" w:space="0"/>
                  </w:tcBorders>
                  <w:vAlign w:val="center"/>
                </w:tcPr>
                <w:p w14:paraId="7565CAB2">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序号</w:t>
                  </w:r>
                </w:p>
              </w:tc>
              <w:tc>
                <w:tcPr>
                  <w:tcW w:w="2461" w:type="pct"/>
                  <w:tcBorders>
                    <w:top w:val="single" w:color="auto" w:sz="4" w:space="0"/>
                    <w:left w:val="single" w:color="auto" w:sz="4" w:space="0"/>
                    <w:bottom w:val="single" w:color="auto" w:sz="4" w:space="0"/>
                    <w:right w:val="single" w:color="auto" w:sz="4" w:space="0"/>
                  </w:tcBorders>
                  <w:vAlign w:val="center"/>
                </w:tcPr>
                <w:p w14:paraId="790599F5">
                  <w:pPr>
                    <w:pStyle w:val="42"/>
                    <w:rPr>
                      <w:rFonts w:hint="default" w:ascii="Times New Roman" w:hAnsi="Times New Roman" w:cs="Times New Roman"/>
                      <w:color w:val="auto"/>
                    </w:rPr>
                  </w:pPr>
                  <w:r>
                    <w:rPr>
                      <w:rFonts w:hint="default" w:ascii="Times New Roman" w:hAnsi="Times New Roman" w:cs="Times New Roman"/>
                      <w:color w:val="auto"/>
                    </w:rPr>
                    <w:t>指标</w:t>
                  </w:r>
                </w:p>
              </w:tc>
              <w:tc>
                <w:tcPr>
                  <w:tcW w:w="1272" w:type="pct"/>
                  <w:tcBorders>
                    <w:top w:val="single" w:color="auto" w:sz="4" w:space="0"/>
                    <w:left w:val="single" w:color="auto" w:sz="4" w:space="0"/>
                    <w:bottom w:val="single" w:color="auto" w:sz="4" w:space="0"/>
                    <w:right w:val="single" w:color="auto" w:sz="4" w:space="0"/>
                  </w:tcBorders>
                  <w:vAlign w:val="center"/>
                </w:tcPr>
                <w:p w14:paraId="2252045F">
                  <w:pPr>
                    <w:pStyle w:val="42"/>
                    <w:rPr>
                      <w:rFonts w:hint="default" w:ascii="Times New Roman" w:hAnsi="Times New Roman" w:cs="Times New Roman"/>
                      <w:color w:val="auto"/>
                    </w:rPr>
                  </w:pPr>
                  <w:r>
                    <w:rPr>
                      <w:rFonts w:hint="default" w:ascii="Times New Roman" w:hAnsi="Times New Roman" w:cs="Times New Roman"/>
                      <w:color w:val="auto"/>
                    </w:rPr>
                    <w:t>Ⅲ类标准</w:t>
                  </w:r>
                </w:p>
              </w:tc>
            </w:tr>
            <w:tr w14:paraId="451D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256DCF5E">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461" w:type="pct"/>
                  <w:tcBorders>
                    <w:top w:val="single" w:color="auto" w:sz="4" w:space="0"/>
                    <w:left w:val="single" w:color="auto" w:sz="4" w:space="0"/>
                    <w:bottom w:val="single" w:color="auto" w:sz="4" w:space="0"/>
                    <w:right w:val="single" w:color="auto" w:sz="4" w:space="0"/>
                  </w:tcBorders>
                  <w:vAlign w:val="center"/>
                </w:tcPr>
                <w:p w14:paraId="7C825FB4">
                  <w:pPr>
                    <w:pStyle w:val="42"/>
                    <w:rPr>
                      <w:rFonts w:hint="eastAsia" w:ascii="Times New Roman" w:hAnsi="Times New Roman" w:eastAsia="宋体" w:cs="Times New Roman"/>
                      <w:color w:val="auto"/>
                      <w:lang w:eastAsia="zh-CN"/>
                    </w:rPr>
                  </w:pPr>
                  <w:r>
                    <w:rPr>
                      <w:rFonts w:hint="default" w:ascii="Times New Roman" w:hAnsi="Times New Roman" w:cs="Times New Roman"/>
                      <w:color w:val="auto"/>
                    </w:rPr>
                    <w:t>pH值</w:t>
                  </w:r>
                  <w:r>
                    <w:rPr>
                      <w:rFonts w:hint="eastAsia" w:cs="Times New Roman"/>
                      <w:color w:val="auto"/>
                      <w:lang w:eastAsia="zh-CN"/>
                    </w:rPr>
                    <w:t>（</w:t>
                  </w:r>
                  <w:r>
                    <w:rPr>
                      <w:rFonts w:hint="default" w:ascii="Times New Roman" w:hAnsi="Times New Roman" w:cs="Times New Roman"/>
                      <w:color w:val="auto"/>
                    </w:rPr>
                    <w:t>无量纲</w:t>
                  </w:r>
                  <w:r>
                    <w:rPr>
                      <w:rFonts w:hint="eastAsia" w:cs="Times New Roman"/>
                      <w:color w:val="auto"/>
                      <w:lang w:eastAsia="zh-CN"/>
                    </w:rPr>
                    <w:t>）</w:t>
                  </w:r>
                </w:p>
              </w:tc>
              <w:tc>
                <w:tcPr>
                  <w:tcW w:w="1272" w:type="pct"/>
                  <w:tcBorders>
                    <w:top w:val="single" w:color="auto" w:sz="4" w:space="0"/>
                    <w:left w:val="single" w:color="auto" w:sz="4" w:space="0"/>
                    <w:bottom w:val="single" w:color="auto" w:sz="4" w:space="0"/>
                    <w:right w:val="single" w:color="auto" w:sz="4" w:space="0"/>
                  </w:tcBorders>
                  <w:vAlign w:val="center"/>
                </w:tcPr>
                <w:p w14:paraId="0660272C">
                  <w:pPr>
                    <w:pStyle w:val="42"/>
                    <w:rPr>
                      <w:rFonts w:hint="default" w:ascii="Times New Roman" w:hAnsi="Times New Roman" w:cs="Times New Roman"/>
                      <w:color w:val="auto"/>
                    </w:rPr>
                  </w:pPr>
                  <w:r>
                    <w:rPr>
                      <w:rFonts w:hint="default" w:ascii="Times New Roman" w:hAnsi="Times New Roman" w:cs="Times New Roman"/>
                      <w:color w:val="auto"/>
                    </w:rPr>
                    <w:t>6-9</w:t>
                  </w:r>
                </w:p>
              </w:tc>
            </w:tr>
            <w:tr w14:paraId="215B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51B26EE2">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2461" w:type="pct"/>
                  <w:tcBorders>
                    <w:top w:val="single" w:color="auto" w:sz="4" w:space="0"/>
                    <w:left w:val="single" w:color="auto" w:sz="4" w:space="0"/>
                    <w:bottom w:val="single" w:color="auto" w:sz="4" w:space="0"/>
                    <w:right w:val="single" w:color="auto" w:sz="4" w:space="0"/>
                  </w:tcBorders>
                  <w:vAlign w:val="center"/>
                </w:tcPr>
                <w:p w14:paraId="2D428EEE">
                  <w:pPr>
                    <w:pStyle w:val="42"/>
                    <w:rPr>
                      <w:rFonts w:hint="default" w:ascii="Times New Roman" w:hAnsi="Times New Roman" w:cs="Times New Roman"/>
                      <w:color w:val="auto"/>
                    </w:rPr>
                  </w:pPr>
                  <w:r>
                    <w:rPr>
                      <w:rFonts w:hint="default" w:ascii="Times New Roman" w:hAnsi="Times New Roman" w:cs="Times New Roman"/>
                      <w:color w:val="auto"/>
                    </w:rPr>
                    <w:t>溶解氧</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6AD3CCF6">
                  <w:pPr>
                    <w:pStyle w:val="42"/>
                    <w:rPr>
                      <w:rFonts w:hint="default" w:ascii="Times New Roman" w:hAnsi="Times New Roman" w:cs="Times New Roman"/>
                      <w:color w:val="auto"/>
                    </w:rPr>
                  </w:pPr>
                  <w:r>
                    <w:rPr>
                      <w:rFonts w:hint="default" w:ascii="Times New Roman" w:hAnsi="Times New Roman" w:cs="Times New Roman"/>
                      <w:color w:val="auto"/>
                    </w:rPr>
                    <w:t>5.0</w:t>
                  </w:r>
                </w:p>
              </w:tc>
            </w:tr>
            <w:tr w14:paraId="6FC3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03B659C7">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p>
              </w:tc>
              <w:tc>
                <w:tcPr>
                  <w:tcW w:w="2461" w:type="pct"/>
                  <w:tcBorders>
                    <w:top w:val="single" w:color="auto" w:sz="4" w:space="0"/>
                    <w:left w:val="single" w:color="auto" w:sz="4" w:space="0"/>
                    <w:bottom w:val="single" w:color="auto" w:sz="4" w:space="0"/>
                    <w:right w:val="single" w:color="auto" w:sz="4" w:space="0"/>
                  </w:tcBorders>
                  <w:vAlign w:val="center"/>
                </w:tcPr>
                <w:p w14:paraId="6981C6D4">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rPr>
                    <w:t>高锰酸盐指数</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104F9CE2">
                  <w:pPr>
                    <w:pStyle w:val="42"/>
                    <w:rPr>
                      <w:rFonts w:hint="default" w:ascii="Times New Roman" w:hAnsi="Times New Roman" w:cs="Times New Roman"/>
                      <w:color w:val="auto"/>
                    </w:rPr>
                  </w:pPr>
                  <w:r>
                    <w:rPr>
                      <w:rFonts w:hint="default" w:ascii="Times New Roman" w:hAnsi="Times New Roman" w:cs="Times New Roman"/>
                      <w:color w:val="auto"/>
                    </w:rPr>
                    <w:t>6</w:t>
                  </w:r>
                </w:p>
              </w:tc>
            </w:tr>
            <w:tr w14:paraId="76E5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748D0514">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p>
              </w:tc>
              <w:tc>
                <w:tcPr>
                  <w:tcW w:w="2461" w:type="pct"/>
                  <w:tcBorders>
                    <w:top w:val="single" w:color="auto" w:sz="4" w:space="0"/>
                    <w:left w:val="single" w:color="auto" w:sz="4" w:space="0"/>
                    <w:bottom w:val="single" w:color="auto" w:sz="4" w:space="0"/>
                    <w:right w:val="single" w:color="auto" w:sz="4" w:space="0"/>
                  </w:tcBorders>
                  <w:vAlign w:val="center"/>
                </w:tcPr>
                <w:p w14:paraId="684D2F01">
                  <w:pPr>
                    <w:pStyle w:val="42"/>
                    <w:rPr>
                      <w:rFonts w:hint="default" w:ascii="Times New Roman" w:hAnsi="Times New Roman" w:cs="Times New Roman"/>
                      <w:color w:val="auto"/>
                    </w:rPr>
                  </w:pPr>
                  <w:r>
                    <w:rPr>
                      <w:rFonts w:hint="default" w:ascii="Times New Roman" w:hAnsi="Times New Roman" w:cs="Times New Roman"/>
                      <w:color w:val="auto"/>
                    </w:rPr>
                    <w:t>化学需氧量（COD）</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 xml:space="preserve"> ≤</w:t>
                  </w:r>
                </w:p>
              </w:tc>
              <w:tc>
                <w:tcPr>
                  <w:tcW w:w="1272" w:type="pct"/>
                  <w:tcBorders>
                    <w:top w:val="single" w:color="auto" w:sz="4" w:space="0"/>
                    <w:left w:val="single" w:color="auto" w:sz="4" w:space="0"/>
                    <w:bottom w:val="single" w:color="auto" w:sz="4" w:space="0"/>
                    <w:right w:val="single" w:color="auto" w:sz="4" w:space="0"/>
                  </w:tcBorders>
                  <w:vAlign w:val="center"/>
                </w:tcPr>
                <w:p w14:paraId="04FCE1C2">
                  <w:pPr>
                    <w:pStyle w:val="42"/>
                    <w:rPr>
                      <w:rFonts w:hint="default" w:ascii="Times New Roman" w:hAnsi="Times New Roman" w:cs="Times New Roman"/>
                      <w:color w:val="auto"/>
                    </w:rPr>
                  </w:pPr>
                  <w:r>
                    <w:rPr>
                      <w:rFonts w:hint="default" w:ascii="Times New Roman" w:hAnsi="Times New Roman" w:cs="Times New Roman"/>
                      <w:color w:val="auto"/>
                    </w:rPr>
                    <w:t>20</w:t>
                  </w:r>
                </w:p>
              </w:tc>
            </w:tr>
            <w:tr w14:paraId="1B0E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00D1AC01">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2461" w:type="pct"/>
                  <w:tcBorders>
                    <w:top w:val="single" w:color="auto" w:sz="4" w:space="0"/>
                    <w:left w:val="single" w:color="auto" w:sz="4" w:space="0"/>
                    <w:bottom w:val="single" w:color="auto" w:sz="4" w:space="0"/>
                    <w:right w:val="single" w:color="auto" w:sz="4" w:space="0"/>
                  </w:tcBorders>
                  <w:vAlign w:val="center"/>
                </w:tcPr>
                <w:p w14:paraId="3D967BF5">
                  <w:pPr>
                    <w:pStyle w:val="42"/>
                    <w:rPr>
                      <w:rFonts w:hint="default" w:ascii="Times New Roman" w:hAnsi="Times New Roman" w:cs="Times New Roman"/>
                      <w:color w:val="auto"/>
                    </w:rPr>
                  </w:pPr>
                  <w:r>
                    <w:rPr>
                      <w:rFonts w:hint="default" w:ascii="Times New Roman" w:hAnsi="Times New Roman" w:cs="Times New Roman"/>
                      <w:color w:val="auto"/>
                    </w:rPr>
                    <w:t>五日生化需氧量（BOD</w:t>
                  </w:r>
                  <w:r>
                    <w:rPr>
                      <w:rFonts w:hint="default" w:ascii="Times New Roman" w:hAnsi="Times New Roman" w:cs="Times New Roman"/>
                      <w:color w:val="auto"/>
                      <w:vertAlign w:val="subscript"/>
                    </w:rPr>
                    <w:t>5</w:t>
                  </w:r>
                  <w:r>
                    <w:rPr>
                      <w:rFonts w:hint="default" w:ascii="Times New Roman" w:hAnsi="Times New Roman" w:cs="Times New Roman"/>
                      <w:color w:val="auto"/>
                    </w:rPr>
                    <w:t>）</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61AEF994">
                  <w:pPr>
                    <w:pStyle w:val="42"/>
                    <w:rPr>
                      <w:rFonts w:hint="default" w:ascii="Times New Roman" w:hAnsi="Times New Roman" w:cs="Times New Roman"/>
                      <w:color w:val="auto"/>
                    </w:rPr>
                  </w:pPr>
                  <w:r>
                    <w:rPr>
                      <w:rFonts w:hint="default" w:ascii="Times New Roman" w:hAnsi="Times New Roman" w:cs="Times New Roman"/>
                      <w:color w:val="auto"/>
                    </w:rPr>
                    <w:t>4</w:t>
                  </w:r>
                </w:p>
              </w:tc>
            </w:tr>
            <w:tr w14:paraId="1B03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6BCD23C1">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w:t>
                  </w:r>
                </w:p>
              </w:tc>
              <w:tc>
                <w:tcPr>
                  <w:tcW w:w="2461" w:type="pct"/>
                  <w:tcBorders>
                    <w:top w:val="single" w:color="auto" w:sz="4" w:space="0"/>
                    <w:left w:val="single" w:color="auto" w:sz="4" w:space="0"/>
                    <w:bottom w:val="single" w:color="auto" w:sz="4" w:space="0"/>
                    <w:right w:val="single" w:color="auto" w:sz="4" w:space="0"/>
                  </w:tcBorders>
                  <w:vAlign w:val="center"/>
                </w:tcPr>
                <w:p w14:paraId="7B3705D0">
                  <w:pPr>
                    <w:pStyle w:val="42"/>
                    <w:rPr>
                      <w:rFonts w:hint="default" w:ascii="Times New Roman" w:hAnsi="Times New Roman" w:cs="Times New Roman"/>
                      <w:color w:val="auto"/>
                    </w:rPr>
                  </w:pPr>
                  <w:r>
                    <w:rPr>
                      <w:rFonts w:hint="default" w:ascii="Times New Roman" w:hAnsi="Times New Roman" w:cs="Times New Roman"/>
                      <w:color w:val="auto"/>
                    </w:rPr>
                    <w:t>氨氮</w:t>
                  </w:r>
                  <w:r>
                    <w:rPr>
                      <w:rFonts w:hint="eastAsia" w:cs="Times New Roman"/>
                      <w:color w:val="auto"/>
                      <w:lang w:eastAsia="zh-CN"/>
                    </w:rPr>
                    <w:t>（</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default" w:ascii="Times New Roman" w:hAnsi="Times New Roman" w:cs="Times New Roman"/>
                      <w:color w:val="auto"/>
                    </w:rPr>
                    <w:t xml:space="preserve">  ≤</w:t>
                  </w:r>
                </w:p>
              </w:tc>
              <w:tc>
                <w:tcPr>
                  <w:tcW w:w="1272" w:type="pct"/>
                  <w:tcBorders>
                    <w:top w:val="single" w:color="auto" w:sz="4" w:space="0"/>
                    <w:left w:val="single" w:color="auto" w:sz="4" w:space="0"/>
                    <w:bottom w:val="single" w:color="auto" w:sz="4" w:space="0"/>
                    <w:right w:val="single" w:color="auto" w:sz="4" w:space="0"/>
                  </w:tcBorders>
                  <w:vAlign w:val="center"/>
                </w:tcPr>
                <w:p w14:paraId="7355C43A">
                  <w:pPr>
                    <w:pStyle w:val="42"/>
                    <w:rPr>
                      <w:rFonts w:hint="default" w:ascii="Times New Roman" w:hAnsi="Times New Roman" w:cs="Times New Roman"/>
                      <w:color w:val="auto"/>
                    </w:rPr>
                  </w:pPr>
                  <w:r>
                    <w:rPr>
                      <w:rFonts w:hint="default" w:ascii="Times New Roman" w:hAnsi="Times New Roman" w:cs="Times New Roman"/>
                      <w:color w:val="auto"/>
                    </w:rPr>
                    <w:t>1.0</w:t>
                  </w:r>
                </w:p>
              </w:tc>
            </w:tr>
            <w:tr w14:paraId="5046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7183137D">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w:t>
                  </w:r>
                </w:p>
              </w:tc>
              <w:tc>
                <w:tcPr>
                  <w:tcW w:w="2461" w:type="pct"/>
                  <w:tcBorders>
                    <w:top w:val="single" w:color="auto" w:sz="4" w:space="0"/>
                    <w:left w:val="single" w:color="auto" w:sz="4" w:space="0"/>
                    <w:bottom w:val="single" w:color="auto" w:sz="4" w:space="0"/>
                    <w:right w:val="single" w:color="auto" w:sz="4" w:space="0"/>
                  </w:tcBorders>
                  <w:vAlign w:val="center"/>
                </w:tcPr>
                <w:p w14:paraId="3663156D">
                  <w:pPr>
                    <w:pStyle w:val="42"/>
                    <w:rPr>
                      <w:rFonts w:hint="default" w:ascii="Times New Roman" w:hAnsi="Times New Roman" w:cs="Times New Roman"/>
                      <w:color w:val="auto"/>
                    </w:rPr>
                  </w:pPr>
                  <w:r>
                    <w:rPr>
                      <w:rFonts w:hint="default" w:ascii="Times New Roman" w:hAnsi="Times New Roman" w:cs="Times New Roman"/>
                      <w:color w:val="auto"/>
                    </w:rPr>
                    <w:t>总磷（以P计）</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78DE90F4">
                  <w:pPr>
                    <w:pStyle w:val="42"/>
                    <w:rPr>
                      <w:rFonts w:hint="default" w:ascii="Times New Roman" w:hAnsi="Times New Roman" w:cs="Times New Roman"/>
                      <w:color w:val="auto"/>
                    </w:rPr>
                  </w:pPr>
                  <w:r>
                    <w:rPr>
                      <w:rFonts w:hint="default" w:ascii="Times New Roman" w:hAnsi="Times New Roman" w:cs="Times New Roman"/>
                      <w:color w:val="auto"/>
                    </w:rPr>
                    <w:t>0.2</w:t>
                  </w:r>
                </w:p>
              </w:tc>
            </w:tr>
            <w:tr w14:paraId="1DF9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3FAC3C28">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w:t>
                  </w:r>
                </w:p>
              </w:tc>
              <w:tc>
                <w:tcPr>
                  <w:tcW w:w="2461" w:type="pct"/>
                  <w:tcBorders>
                    <w:top w:val="single" w:color="auto" w:sz="4" w:space="0"/>
                    <w:left w:val="single" w:color="auto" w:sz="4" w:space="0"/>
                    <w:bottom w:val="single" w:color="auto" w:sz="4" w:space="0"/>
                    <w:right w:val="single" w:color="auto" w:sz="4" w:space="0"/>
                  </w:tcBorders>
                  <w:vAlign w:val="center"/>
                </w:tcPr>
                <w:p w14:paraId="257C66DB">
                  <w:pPr>
                    <w:pStyle w:val="42"/>
                    <w:rPr>
                      <w:rFonts w:hint="default" w:ascii="Times New Roman" w:hAnsi="Times New Roman" w:cs="Times New Roman"/>
                      <w:color w:val="auto"/>
                    </w:rPr>
                  </w:pPr>
                  <w:r>
                    <w:rPr>
                      <w:rFonts w:hint="default" w:ascii="Times New Roman" w:hAnsi="Times New Roman" w:cs="Times New Roman"/>
                      <w:color w:val="auto"/>
                    </w:rPr>
                    <w:t>总氮（湖、库，以N计）</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310AE788">
                  <w:pPr>
                    <w:pStyle w:val="42"/>
                    <w:rPr>
                      <w:rFonts w:hint="default" w:ascii="Times New Roman" w:hAnsi="Times New Roman" w:cs="Times New Roman"/>
                      <w:color w:val="auto"/>
                    </w:rPr>
                  </w:pPr>
                  <w:r>
                    <w:rPr>
                      <w:rFonts w:hint="default" w:ascii="Times New Roman" w:hAnsi="Times New Roman" w:cs="Times New Roman"/>
                      <w:color w:val="auto"/>
                    </w:rPr>
                    <w:t>1.0</w:t>
                  </w:r>
                </w:p>
              </w:tc>
            </w:tr>
            <w:tr w14:paraId="0295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63E780B5">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w:t>
                  </w:r>
                </w:p>
              </w:tc>
              <w:tc>
                <w:tcPr>
                  <w:tcW w:w="2461" w:type="pct"/>
                  <w:tcBorders>
                    <w:top w:val="single" w:color="auto" w:sz="4" w:space="0"/>
                    <w:left w:val="single" w:color="auto" w:sz="4" w:space="0"/>
                    <w:bottom w:val="single" w:color="auto" w:sz="4" w:space="0"/>
                    <w:right w:val="single" w:color="auto" w:sz="4" w:space="0"/>
                  </w:tcBorders>
                  <w:vAlign w:val="center"/>
                </w:tcPr>
                <w:p w14:paraId="2E7F5295">
                  <w:pPr>
                    <w:pStyle w:val="42"/>
                    <w:rPr>
                      <w:rFonts w:hint="default" w:ascii="Times New Roman" w:hAnsi="Times New Roman" w:cs="Times New Roman"/>
                      <w:color w:val="auto"/>
                    </w:rPr>
                  </w:pPr>
                  <w:r>
                    <w:rPr>
                      <w:rFonts w:hint="default" w:ascii="Times New Roman" w:hAnsi="Times New Roman" w:cs="Times New Roman"/>
                      <w:color w:val="auto"/>
                    </w:rPr>
                    <w:t>铜</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55F4EEAB">
                  <w:pPr>
                    <w:pStyle w:val="42"/>
                    <w:rPr>
                      <w:rFonts w:hint="default" w:ascii="Times New Roman" w:hAnsi="Times New Roman" w:cs="Times New Roman"/>
                      <w:color w:val="auto"/>
                    </w:rPr>
                  </w:pPr>
                  <w:r>
                    <w:rPr>
                      <w:rFonts w:hint="default" w:ascii="Times New Roman" w:hAnsi="Times New Roman" w:cs="Times New Roman"/>
                      <w:color w:val="auto"/>
                    </w:rPr>
                    <w:t>1.0</w:t>
                  </w:r>
                </w:p>
              </w:tc>
            </w:tr>
            <w:tr w14:paraId="6869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49125E5D">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2461" w:type="pct"/>
                  <w:tcBorders>
                    <w:top w:val="single" w:color="auto" w:sz="4" w:space="0"/>
                    <w:left w:val="single" w:color="auto" w:sz="4" w:space="0"/>
                    <w:bottom w:val="single" w:color="auto" w:sz="4" w:space="0"/>
                    <w:right w:val="single" w:color="auto" w:sz="4" w:space="0"/>
                  </w:tcBorders>
                  <w:vAlign w:val="center"/>
                </w:tcPr>
                <w:p w14:paraId="50EB850B">
                  <w:pPr>
                    <w:pStyle w:val="42"/>
                    <w:rPr>
                      <w:rFonts w:hint="default" w:ascii="Times New Roman" w:hAnsi="Times New Roman" w:cs="Times New Roman"/>
                      <w:color w:val="auto"/>
                    </w:rPr>
                  </w:pPr>
                  <w:r>
                    <w:rPr>
                      <w:rFonts w:hint="default" w:ascii="Times New Roman" w:hAnsi="Times New Roman" w:cs="Times New Roman"/>
                      <w:color w:val="auto"/>
                    </w:rPr>
                    <w:t>锌</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052FADE6">
                  <w:pPr>
                    <w:pStyle w:val="42"/>
                    <w:rPr>
                      <w:rFonts w:hint="default" w:ascii="Times New Roman" w:hAnsi="Times New Roman" w:cs="Times New Roman"/>
                      <w:color w:val="auto"/>
                    </w:rPr>
                  </w:pPr>
                  <w:r>
                    <w:rPr>
                      <w:rFonts w:hint="default" w:ascii="Times New Roman" w:hAnsi="Times New Roman" w:cs="Times New Roman"/>
                      <w:color w:val="auto"/>
                    </w:rPr>
                    <w:t>1.0</w:t>
                  </w:r>
                </w:p>
              </w:tc>
            </w:tr>
            <w:tr w14:paraId="79E7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26460B40">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11</w:t>
                  </w:r>
                </w:p>
              </w:tc>
              <w:tc>
                <w:tcPr>
                  <w:tcW w:w="2461" w:type="pct"/>
                  <w:tcBorders>
                    <w:top w:val="single" w:color="auto" w:sz="4" w:space="0"/>
                    <w:left w:val="single" w:color="auto" w:sz="4" w:space="0"/>
                    <w:bottom w:val="single" w:color="auto" w:sz="4" w:space="0"/>
                    <w:right w:val="single" w:color="auto" w:sz="4" w:space="0"/>
                  </w:tcBorders>
                  <w:vAlign w:val="center"/>
                </w:tcPr>
                <w:p w14:paraId="785E4304">
                  <w:pPr>
                    <w:pStyle w:val="42"/>
                    <w:rPr>
                      <w:rFonts w:hint="default" w:ascii="Times New Roman" w:hAnsi="Times New Roman" w:cs="Times New Roman"/>
                      <w:color w:val="auto"/>
                    </w:rPr>
                  </w:pPr>
                  <w:r>
                    <w:rPr>
                      <w:rFonts w:hint="default" w:ascii="Times New Roman" w:hAnsi="Times New Roman" w:cs="Times New Roman"/>
                      <w:color w:val="auto"/>
                    </w:rPr>
                    <w:t>氟化物（以F-计）</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6DEEB251">
                  <w:pPr>
                    <w:pStyle w:val="42"/>
                    <w:rPr>
                      <w:rFonts w:hint="default" w:ascii="Times New Roman" w:hAnsi="Times New Roman" w:cs="Times New Roman"/>
                      <w:color w:val="auto"/>
                    </w:rPr>
                  </w:pPr>
                  <w:r>
                    <w:rPr>
                      <w:rFonts w:hint="default" w:ascii="Times New Roman" w:hAnsi="Times New Roman" w:cs="Times New Roman"/>
                      <w:color w:val="auto"/>
                    </w:rPr>
                    <w:t>1.0</w:t>
                  </w:r>
                </w:p>
              </w:tc>
            </w:tr>
            <w:tr w14:paraId="4171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70116077">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w:t>
                  </w:r>
                </w:p>
              </w:tc>
              <w:tc>
                <w:tcPr>
                  <w:tcW w:w="2461" w:type="pct"/>
                  <w:tcBorders>
                    <w:top w:val="single" w:color="auto" w:sz="4" w:space="0"/>
                    <w:left w:val="single" w:color="auto" w:sz="4" w:space="0"/>
                    <w:bottom w:val="single" w:color="auto" w:sz="4" w:space="0"/>
                    <w:right w:val="single" w:color="auto" w:sz="4" w:space="0"/>
                  </w:tcBorders>
                  <w:vAlign w:val="center"/>
                </w:tcPr>
                <w:p w14:paraId="37EE3554">
                  <w:pPr>
                    <w:pStyle w:val="42"/>
                    <w:rPr>
                      <w:rFonts w:hint="default" w:ascii="Times New Roman" w:hAnsi="Times New Roman" w:cs="Times New Roman"/>
                      <w:color w:val="auto"/>
                    </w:rPr>
                  </w:pPr>
                  <w:r>
                    <w:rPr>
                      <w:rFonts w:hint="default" w:ascii="Times New Roman" w:hAnsi="Times New Roman" w:cs="Times New Roman"/>
                      <w:color w:val="auto"/>
                    </w:rPr>
                    <w:t>硒</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7130F846">
                  <w:pPr>
                    <w:pStyle w:val="42"/>
                    <w:rPr>
                      <w:rFonts w:hint="default" w:ascii="Times New Roman" w:hAnsi="Times New Roman" w:cs="Times New Roman"/>
                      <w:color w:val="auto"/>
                    </w:rPr>
                  </w:pPr>
                  <w:r>
                    <w:rPr>
                      <w:rFonts w:hint="default" w:ascii="Times New Roman" w:hAnsi="Times New Roman" w:cs="Times New Roman"/>
                      <w:color w:val="auto"/>
                    </w:rPr>
                    <w:t>0.01</w:t>
                  </w:r>
                </w:p>
              </w:tc>
            </w:tr>
            <w:tr w14:paraId="012D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1F619D64">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13</w:t>
                  </w:r>
                </w:p>
              </w:tc>
              <w:tc>
                <w:tcPr>
                  <w:tcW w:w="2461" w:type="pct"/>
                  <w:tcBorders>
                    <w:top w:val="single" w:color="auto" w:sz="4" w:space="0"/>
                    <w:left w:val="single" w:color="auto" w:sz="4" w:space="0"/>
                    <w:bottom w:val="single" w:color="auto" w:sz="4" w:space="0"/>
                    <w:right w:val="single" w:color="auto" w:sz="4" w:space="0"/>
                  </w:tcBorders>
                  <w:vAlign w:val="center"/>
                </w:tcPr>
                <w:p w14:paraId="7A12AAB6">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砷</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0CBFB45B">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0.05</w:t>
                  </w:r>
                </w:p>
              </w:tc>
            </w:tr>
            <w:tr w14:paraId="2DBD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7D9D0C79">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w:t>
                  </w:r>
                </w:p>
              </w:tc>
              <w:tc>
                <w:tcPr>
                  <w:tcW w:w="2461" w:type="pct"/>
                  <w:tcBorders>
                    <w:top w:val="single" w:color="auto" w:sz="4" w:space="0"/>
                    <w:left w:val="single" w:color="auto" w:sz="4" w:space="0"/>
                    <w:bottom w:val="single" w:color="auto" w:sz="4" w:space="0"/>
                    <w:right w:val="single" w:color="auto" w:sz="4" w:space="0"/>
                  </w:tcBorders>
                  <w:vAlign w:val="center"/>
                </w:tcPr>
                <w:p w14:paraId="176488C5">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汞</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62D88F08">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0.0001</w:t>
                  </w:r>
                </w:p>
              </w:tc>
            </w:tr>
            <w:tr w14:paraId="745C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45F15A63">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2461" w:type="pct"/>
                  <w:tcBorders>
                    <w:top w:val="single" w:color="auto" w:sz="4" w:space="0"/>
                    <w:left w:val="single" w:color="auto" w:sz="4" w:space="0"/>
                    <w:bottom w:val="single" w:color="auto" w:sz="4" w:space="0"/>
                    <w:right w:val="single" w:color="auto" w:sz="4" w:space="0"/>
                  </w:tcBorders>
                  <w:vAlign w:val="center"/>
                </w:tcPr>
                <w:p w14:paraId="061EDA1B">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镉</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5CC7BE8D">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0.005</w:t>
                  </w:r>
                </w:p>
              </w:tc>
            </w:tr>
            <w:tr w14:paraId="5733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6BCE92B2">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16</w:t>
                  </w:r>
                </w:p>
              </w:tc>
              <w:tc>
                <w:tcPr>
                  <w:tcW w:w="2461" w:type="pct"/>
                  <w:tcBorders>
                    <w:top w:val="single" w:color="auto" w:sz="4" w:space="0"/>
                    <w:left w:val="single" w:color="auto" w:sz="4" w:space="0"/>
                    <w:bottom w:val="single" w:color="auto" w:sz="4" w:space="0"/>
                    <w:right w:val="single" w:color="auto" w:sz="4" w:space="0"/>
                  </w:tcBorders>
                  <w:vAlign w:val="center"/>
                </w:tcPr>
                <w:p w14:paraId="59E3089D">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铬（六价）</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1E658D05">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0.05</w:t>
                  </w:r>
                </w:p>
              </w:tc>
            </w:tr>
            <w:tr w14:paraId="0D41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5FB99453">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17</w:t>
                  </w:r>
                </w:p>
              </w:tc>
              <w:tc>
                <w:tcPr>
                  <w:tcW w:w="2461" w:type="pct"/>
                  <w:tcBorders>
                    <w:top w:val="single" w:color="auto" w:sz="4" w:space="0"/>
                    <w:left w:val="single" w:color="auto" w:sz="4" w:space="0"/>
                    <w:bottom w:val="single" w:color="auto" w:sz="4" w:space="0"/>
                    <w:right w:val="single" w:color="auto" w:sz="4" w:space="0"/>
                  </w:tcBorders>
                  <w:vAlign w:val="center"/>
                </w:tcPr>
                <w:p w14:paraId="58F6DA0E">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铅</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398F5A53">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0.05</w:t>
                  </w:r>
                </w:p>
              </w:tc>
            </w:tr>
            <w:tr w14:paraId="3A17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21838A86">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w:t>
                  </w:r>
                </w:p>
              </w:tc>
              <w:tc>
                <w:tcPr>
                  <w:tcW w:w="2461" w:type="pct"/>
                  <w:tcBorders>
                    <w:top w:val="single" w:color="auto" w:sz="4" w:space="0"/>
                    <w:left w:val="single" w:color="auto" w:sz="4" w:space="0"/>
                    <w:bottom w:val="single" w:color="auto" w:sz="4" w:space="0"/>
                    <w:right w:val="single" w:color="auto" w:sz="4" w:space="0"/>
                  </w:tcBorders>
                  <w:vAlign w:val="center"/>
                </w:tcPr>
                <w:p w14:paraId="06E03199">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氰化物</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54B9BA39">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0.2</w:t>
                  </w:r>
                </w:p>
              </w:tc>
            </w:tr>
            <w:tr w14:paraId="2D96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16B0A707">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19</w:t>
                  </w:r>
                </w:p>
              </w:tc>
              <w:tc>
                <w:tcPr>
                  <w:tcW w:w="2461" w:type="pct"/>
                  <w:tcBorders>
                    <w:top w:val="single" w:color="auto" w:sz="4" w:space="0"/>
                    <w:left w:val="single" w:color="auto" w:sz="4" w:space="0"/>
                    <w:bottom w:val="single" w:color="auto" w:sz="4" w:space="0"/>
                    <w:right w:val="single" w:color="auto" w:sz="4" w:space="0"/>
                  </w:tcBorders>
                  <w:vAlign w:val="center"/>
                </w:tcPr>
                <w:p w14:paraId="180721EC">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挥发酚</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7F14BB24">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0.005</w:t>
                  </w:r>
                </w:p>
              </w:tc>
            </w:tr>
            <w:tr w14:paraId="2427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2F0A335D">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w:t>
                  </w:r>
                </w:p>
              </w:tc>
              <w:tc>
                <w:tcPr>
                  <w:tcW w:w="2461" w:type="pct"/>
                  <w:tcBorders>
                    <w:top w:val="single" w:color="auto" w:sz="4" w:space="0"/>
                    <w:left w:val="single" w:color="auto" w:sz="4" w:space="0"/>
                    <w:bottom w:val="single" w:color="auto" w:sz="4" w:space="0"/>
                    <w:right w:val="single" w:color="auto" w:sz="4" w:space="0"/>
                  </w:tcBorders>
                  <w:vAlign w:val="center"/>
                </w:tcPr>
                <w:p w14:paraId="5C246734">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石油类</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545FD19B">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0.05</w:t>
                  </w:r>
                </w:p>
              </w:tc>
            </w:tr>
            <w:tr w14:paraId="6FBA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068DA9D8">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21</w:t>
                  </w:r>
                </w:p>
              </w:tc>
              <w:tc>
                <w:tcPr>
                  <w:tcW w:w="2461" w:type="pct"/>
                  <w:tcBorders>
                    <w:top w:val="single" w:color="auto" w:sz="4" w:space="0"/>
                    <w:left w:val="single" w:color="auto" w:sz="4" w:space="0"/>
                    <w:bottom w:val="single" w:color="auto" w:sz="4" w:space="0"/>
                    <w:right w:val="single" w:color="auto" w:sz="4" w:space="0"/>
                  </w:tcBorders>
                  <w:vAlign w:val="center"/>
                </w:tcPr>
                <w:p w14:paraId="4D2EF2DF">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阴离子表面活性剂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00664A53">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0.2</w:t>
                  </w:r>
                </w:p>
              </w:tc>
            </w:tr>
            <w:tr w14:paraId="57FE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24760BBF">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22</w:t>
                  </w:r>
                </w:p>
              </w:tc>
              <w:tc>
                <w:tcPr>
                  <w:tcW w:w="2461" w:type="pct"/>
                  <w:tcBorders>
                    <w:top w:val="single" w:color="auto" w:sz="4" w:space="0"/>
                    <w:left w:val="single" w:color="auto" w:sz="4" w:space="0"/>
                    <w:bottom w:val="single" w:color="auto" w:sz="4" w:space="0"/>
                    <w:right w:val="single" w:color="auto" w:sz="4" w:space="0"/>
                  </w:tcBorders>
                  <w:vAlign w:val="center"/>
                </w:tcPr>
                <w:p w14:paraId="1CDB5D6B">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硫化物</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2F51FFE4">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0.2</w:t>
                  </w:r>
                </w:p>
              </w:tc>
            </w:tr>
            <w:tr w14:paraId="47D6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tcBorders>
                    <w:top w:val="single" w:color="auto" w:sz="4" w:space="0"/>
                    <w:left w:val="single" w:color="auto" w:sz="4" w:space="0"/>
                    <w:bottom w:val="single" w:color="auto" w:sz="4" w:space="0"/>
                    <w:right w:val="single" w:color="auto" w:sz="4" w:space="0"/>
                  </w:tcBorders>
                  <w:vAlign w:val="center"/>
                </w:tcPr>
                <w:p w14:paraId="5B09A21D">
                  <w:pPr>
                    <w:pStyle w:val="4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23</w:t>
                  </w:r>
                </w:p>
              </w:tc>
              <w:tc>
                <w:tcPr>
                  <w:tcW w:w="2461" w:type="pct"/>
                  <w:tcBorders>
                    <w:top w:val="single" w:color="auto" w:sz="4" w:space="0"/>
                    <w:left w:val="single" w:color="auto" w:sz="4" w:space="0"/>
                    <w:bottom w:val="single" w:color="auto" w:sz="4" w:space="0"/>
                    <w:right w:val="single" w:color="auto" w:sz="4" w:space="0"/>
                  </w:tcBorders>
                  <w:vAlign w:val="center"/>
                </w:tcPr>
                <w:p w14:paraId="76DC9157">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粪大肠菌群</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w:t>
                  </w:r>
                </w:p>
              </w:tc>
              <w:tc>
                <w:tcPr>
                  <w:tcW w:w="1272" w:type="pct"/>
                  <w:tcBorders>
                    <w:top w:val="single" w:color="auto" w:sz="4" w:space="0"/>
                    <w:left w:val="single" w:color="auto" w:sz="4" w:space="0"/>
                    <w:bottom w:val="single" w:color="auto" w:sz="4" w:space="0"/>
                    <w:right w:val="single" w:color="auto" w:sz="4" w:space="0"/>
                  </w:tcBorders>
                  <w:vAlign w:val="center"/>
                </w:tcPr>
                <w:p w14:paraId="12B2C663">
                  <w:pPr>
                    <w:pStyle w:val="42"/>
                    <w:ind w:firstLine="0" w:firstLineChars="0"/>
                    <w:rPr>
                      <w:rFonts w:hint="default" w:ascii="Times New Roman" w:hAnsi="Times New Roman" w:cs="Times New Roman"/>
                      <w:color w:val="auto"/>
                    </w:rPr>
                  </w:pPr>
                  <w:r>
                    <w:rPr>
                      <w:rFonts w:hint="default" w:ascii="Times New Roman" w:hAnsi="Times New Roman" w:cs="Times New Roman"/>
                      <w:color w:val="auto"/>
                    </w:rPr>
                    <w:t>10000</w:t>
                  </w:r>
                </w:p>
              </w:tc>
            </w:tr>
          </w:tbl>
          <w:p w14:paraId="1013E2FE">
            <w:pPr>
              <w:pStyle w:val="27"/>
              <w:numPr>
                <w:ilvl w:val="0"/>
                <w:numId w:val="0"/>
              </w:numPr>
              <w:jc w:val="both"/>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3.2</w:t>
            </w:r>
            <w:r>
              <w:rPr>
                <w:rFonts w:hint="default" w:ascii="Times New Roman" w:hAnsi="Times New Roman" w:cs="Times New Roman"/>
                <w:b/>
                <w:bCs/>
                <w:color w:val="auto"/>
                <w:lang w:val="en-US" w:eastAsia="zh-CN"/>
              </w:rPr>
              <w:t>地表水环境质量现状</w:t>
            </w:r>
          </w:p>
          <w:p w14:paraId="479214E5">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本项目附近的地表水龙</w:t>
            </w:r>
            <w:r>
              <w:rPr>
                <w:rFonts w:hint="eastAsia" w:ascii="Times New Roman" w:hAnsi="Times New Roman" w:cs="Times New Roman"/>
                <w:color w:val="auto"/>
                <w:sz w:val="24"/>
                <w:szCs w:val="24"/>
                <w:lang w:val="en-US" w:eastAsia="zh-CN"/>
              </w:rPr>
              <w:t>洞</w:t>
            </w:r>
            <w:r>
              <w:rPr>
                <w:rFonts w:hint="default" w:ascii="Times New Roman" w:hAnsi="Times New Roman" w:eastAsia="宋体" w:cs="Times New Roman"/>
                <w:color w:val="auto"/>
                <w:sz w:val="24"/>
                <w:szCs w:val="24"/>
              </w:rPr>
              <w:t>河的水质情况引用华宁凯丽达商贸有限公司《磷矿磷粉矿加工回收再利用项目环境影响报告书》中于2023年2月23日～2月25日在龙洞河（黑牛白村附近W2）的现状监测数据</w:t>
            </w:r>
            <w:r>
              <w:rPr>
                <w:rFonts w:hint="default" w:ascii="Times New Roman" w:hAnsi="Times New Roman" w:eastAsia="宋体" w:cs="Times New Roman"/>
                <w:color w:val="auto"/>
                <w:sz w:val="24"/>
                <w:szCs w:val="24"/>
                <w:lang w:val="en-US" w:eastAsia="zh-CN"/>
              </w:rPr>
              <w:t>距离项目</w:t>
            </w:r>
            <w:r>
              <w:rPr>
                <w:rFonts w:hint="default" w:ascii="Times New Roman" w:hAnsi="Times New Roman" w:cs="Times New Roman"/>
                <w:color w:val="auto"/>
                <w:sz w:val="24"/>
                <w:szCs w:val="24"/>
                <w:lang w:val="en-US" w:eastAsia="zh-CN"/>
              </w:rPr>
              <w:t>下游</w:t>
            </w:r>
            <w:r>
              <w:rPr>
                <w:rFonts w:hint="default" w:ascii="Times New Roman" w:hAnsi="Times New Roman" w:eastAsia="宋体" w:cs="Times New Roman"/>
                <w:color w:val="auto"/>
                <w:sz w:val="24"/>
                <w:szCs w:val="24"/>
                <w:lang w:val="en-US" w:eastAsia="zh-CN"/>
              </w:rPr>
              <w:t>4.77km</w:t>
            </w:r>
            <w:r>
              <w:rPr>
                <w:rFonts w:hint="default" w:ascii="Times New Roman" w:hAnsi="Times New Roman" w:eastAsia="宋体" w:cs="Times New Roman"/>
                <w:color w:val="auto"/>
                <w:sz w:val="24"/>
                <w:szCs w:val="24"/>
              </w:rPr>
              <w:t>，水质监测结果具体如下。</w:t>
            </w:r>
          </w:p>
          <w:p w14:paraId="492AA8E5">
            <w:pPr>
              <w:pStyle w:val="27"/>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地表水引用点监测结果  </w:t>
            </w:r>
            <w:r>
              <w:rPr>
                <w:rFonts w:hint="default" w:ascii="Times New Roman" w:hAnsi="Times New Roman" w:cs="Times New Roman"/>
                <w:b/>
                <w:bCs/>
                <w:color w:val="auto"/>
                <w:sz w:val="21"/>
                <w:szCs w:val="21"/>
                <w:lang w:val="en-US" w:eastAsia="zh-CN"/>
              </w:rPr>
              <w:t>单位：mg/L，pH值除外</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937"/>
              <w:gridCol w:w="1173"/>
              <w:gridCol w:w="1173"/>
              <w:gridCol w:w="1173"/>
              <w:gridCol w:w="937"/>
              <w:gridCol w:w="937"/>
              <w:gridCol w:w="993"/>
              <w:gridCol w:w="939"/>
            </w:tblGrid>
            <w:tr w14:paraId="260F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restart"/>
                  <w:vAlign w:val="center"/>
                </w:tcPr>
                <w:p w14:paraId="0ECE393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点位</w:t>
                  </w:r>
                </w:p>
              </w:tc>
              <w:tc>
                <w:tcPr>
                  <w:tcW w:w="937" w:type="dxa"/>
                  <w:vMerge w:val="restart"/>
                  <w:vAlign w:val="center"/>
                </w:tcPr>
                <w:p w14:paraId="5C30147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3519" w:type="dxa"/>
                  <w:gridSpan w:val="3"/>
                  <w:vAlign w:val="center"/>
                </w:tcPr>
                <w:p w14:paraId="00DFB25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监测值</w:t>
                  </w:r>
                </w:p>
              </w:tc>
              <w:tc>
                <w:tcPr>
                  <w:tcW w:w="937" w:type="dxa"/>
                  <w:vMerge w:val="restart"/>
                  <w:vAlign w:val="center"/>
                </w:tcPr>
                <w:p w14:paraId="2B38DD4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平均值</w:t>
                  </w:r>
                </w:p>
              </w:tc>
              <w:tc>
                <w:tcPr>
                  <w:tcW w:w="937" w:type="dxa"/>
                  <w:vMerge w:val="restart"/>
                  <w:vAlign w:val="center"/>
                </w:tcPr>
                <w:p w14:paraId="5E63BE5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标准值</w:t>
                  </w:r>
                </w:p>
              </w:tc>
              <w:tc>
                <w:tcPr>
                  <w:tcW w:w="993" w:type="dxa"/>
                  <w:vMerge w:val="restart"/>
                  <w:vAlign w:val="center"/>
                </w:tcPr>
                <w:p w14:paraId="338504D0">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超标率（%）</w:t>
                  </w:r>
                </w:p>
              </w:tc>
              <w:tc>
                <w:tcPr>
                  <w:tcW w:w="939" w:type="dxa"/>
                  <w:vMerge w:val="restart"/>
                  <w:vAlign w:val="center"/>
                </w:tcPr>
                <w:p w14:paraId="0152F21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是否达标</w:t>
                  </w:r>
                </w:p>
              </w:tc>
            </w:tr>
            <w:tr w14:paraId="385B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42F9876C">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Merge w:val="continue"/>
                  <w:vAlign w:val="center"/>
                </w:tcPr>
                <w:p w14:paraId="4D906CD9">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1173" w:type="dxa"/>
                  <w:vAlign w:val="center"/>
                </w:tcPr>
                <w:p w14:paraId="1B2DDCA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2023/02/23</w:t>
                  </w:r>
                </w:p>
              </w:tc>
              <w:tc>
                <w:tcPr>
                  <w:tcW w:w="1173" w:type="dxa"/>
                  <w:vAlign w:val="center"/>
                </w:tcPr>
                <w:p w14:paraId="57945BB0">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2023/02/24</w:t>
                  </w:r>
                </w:p>
              </w:tc>
              <w:tc>
                <w:tcPr>
                  <w:tcW w:w="1173" w:type="dxa"/>
                  <w:vAlign w:val="center"/>
                </w:tcPr>
                <w:p w14:paraId="1AD9C522">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2023/02/25</w:t>
                  </w:r>
                </w:p>
              </w:tc>
              <w:tc>
                <w:tcPr>
                  <w:tcW w:w="937" w:type="dxa"/>
                  <w:vMerge w:val="continue"/>
                  <w:vAlign w:val="center"/>
                </w:tcPr>
                <w:p w14:paraId="4F4549E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p>
              </w:tc>
              <w:tc>
                <w:tcPr>
                  <w:tcW w:w="937" w:type="dxa"/>
                  <w:vMerge w:val="continue"/>
                  <w:vAlign w:val="center"/>
                </w:tcPr>
                <w:p w14:paraId="088323E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p>
              </w:tc>
              <w:tc>
                <w:tcPr>
                  <w:tcW w:w="993" w:type="dxa"/>
                  <w:vMerge w:val="continue"/>
                  <w:vAlign w:val="center"/>
                </w:tcPr>
                <w:p w14:paraId="359D79E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p>
              </w:tc>
              <w:tc>
                <w:tcPr>
                  <w:tcW w:w="939" w:type="dxa"/>
                  <w:vMerge w:val="continue"/>
                  <w:vAlign w:val="center"/>
                </w:tcPr>
                <w:p w14:paraId="06C5FE5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p>
              </w:tc>
            </w:tr>
            <w:tr w14:paraId="034A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restart"/>
                  <w:vAlign w:val="center"/>
                </w:tcPr>
                <w:p w14:paraId="569241ED">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W2</w:t>
                  </w:r>
                </w:p>
              </w:tc>
              <w:tc>
                <w:tcPr>
                  <w:tcW w:w="937" w:type="dxa"/>
                  <w:vAlign w:val="center"/>
                </w:tcPr>
                <w:p w14:paraId="75E5D1E2">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pH值</w:t>
                  </w:r>
                </w:p>
              </w:tc>
              <w:tc>
                <w:tcPr>
                  <w:tcW w:w="1173" w:type="dxa"/>
                  <w:vAlign w:val="center"/>
                </w:tcPr>
                <w:p w14:paraId="043EFBDC">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8.1</w:t>
                  </w:r>
                </w:p>
              </w:tc>
              <w:tc>
                <w:tcPr>
                  <w:tcW w:w="1173" w:type="dxa"/>
                  <w:vAlign w:val="center"/>
                </w:tcPr>
                <w:p w14:paraId="47306112">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1173" w:type="dxa"/>
                  <w:vAlign w:val="center"/>
                </w:tcPr>
                <w:p w14:paraId="24A439C2">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8.1</w:t>
                  </w:r>
                </w:p>
              </w:tc>
              <w:tc>
                <w:tcPr>
                  <w:tcW w:w="937" w:type="dxa"/>
                  <w:vAlign w:val="center"/>
                </w:tcPr>
                <w:p w14:paraId="1A8FF43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8.1</w:t>
                  </w:r>
                </w:p>
              </w:tc>
              <w:tc>
                <w:tcPr>
                  <w:tcW w:w="937" w:type="dxa"/>
                  <w:vAlign w:val="center"/>
                </w:tcPr>
                <w:p w14:paraId="7CDDED47">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w:t>
                  </w:r>
                </w:p>
              </w:tc>
              <w:tc>
                <w:tcPr>
                  <w:tcW w:w="993" w:type="dxa"/>
                  <w:vAlign w:val="center"/>
                </w:tcPr>
                <w:p w14:paraId="6F2CB7CC">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939" w:type="dxa"/>
                  <w:vAlign w:val="center"/>
                </w:tcPr>
                <w:p w14:paraId="61A0D6E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6F92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01129548">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76FA059F">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水温（℃）</w:t>
                  </w:r>
                </w:p>
              </w:tc>
              <w:tc>
                <w:tcPr>
                  <w:tcW w:w="1173" w:type="dxa"/>
                  <w:vAlign w:val="center"/>
                </w:tcPr>
                <w:p w14:paraId="58435A50">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16.1</w:t>
                  </w:r>
                </w:p>
              </w:tc>
              <w:tc>
                <w:tcPr>
                  <w:tcW w:w="1173" w:type="dxa"/>
                  <w:vAlign w:val="center"/>
                </w:tcPr>
                <w:p w14:paraId="6915E3D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15.4</w:t>
                  </w:r>
                </w:p>
              </w:tc>
              <w:tc>
                <w:tcPr>
                  <w:tcW w:w="1173" w:type="dxa"/>
                  <w:vAlign w:val="center"/>
                </w:tcPr>
                <w:p w14:paraId="5EDC3C4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15.2</w:t>
                  </w:r>
                </w:p>
              </w:tc>
              <w:tc>
                <w:tcPr>
                  <w:tcW w:w="937" w:type="dxa"/>
                  <w:vAlign w:val="center"/>
                </w:tcPr>
                <w:p w14:paraId="480A8D3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15.6</w:t>
                  </w:r>
                </w:p>
              </w:tc>
              <w:tc>
                <w:tcPr>
                  <w:tcW w:w="937" w:type="dxa"/>
                  <w:vAlign w:val="center"/>
                </w:tcPr>
                <w:p w14:paraId="40903D6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993" w:type="dxa"/>
                  <w:vAlign w:val="center"/>
                </w:tcPr>
                <w:p w14:paraId="0D23FBA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939" w:type="dxa"/>
                  <w:vAlign w:val="center"/>
                </w:tcPr>
                <w:p w14:paraId="3D7E843A">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1D06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44090E1B">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1CDF1422">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悬浮物</w:t>
                  </w:r>
                </w:p>
              </w:tc>
              <w:tc>
                <w:tcPr>
                  <w:tcW w:w="1173" w:type="dxa"/>
                  <w:vAlign w:val="center"/>
                </w:tcPr>
                <w:p w14:paraId="0648825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1173" w:type="dxa"/>
                  <w:vAlign w:val="center"/>
                </w:tcPr>
                <w:p w14:paraId="6F26FA5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1173" w:type="dxa"/>
                  <w:vAlign w:val="center"/>
                </w:tcPr>
                <w:p w14:paraId="2CA5BBD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937" w:type="dxa"/>
                  <w:vAlign w:val="center"/>
                </w:tcPr>
                <w:p w14:paraId="1F36235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937" w:type="dxa"/>
                  <w:vAlign w:val="center"/>
                </w:tcPr>
                <w:p w14:paraId="62BC359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993" w:type="dxa"/>
                  <w:vAlign w:val="center"/>
                </w:tcPr>
                <w:p w14:paraId="5D7C2F10">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939" w:type="dxa"/>
                  <w:vAlign w:val="center"/>
                </w:tcPr>
                <w:p w14:paraId="724BA5E7">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5B7E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25ADE6F7">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60378F7D">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五日生化需氧量</w:t>
                  </w:r>
                </w:p>
              </w:tc>
              <w:tc>
                <w:tcPr>
                  <w:tcW w:w="1173" w:type="dxa"/>
                  <w:vAlign w:val="center"/>
                </w:tcPr>
                <w:p w14:paraId="54E1E9D9">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1173" w:type="dxa"/>
                  <w:vAlign w:val="center"/>
                </w:tcPr>
                <w:p w14:paraId="498AF8C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1173" w:type="dxa"/>
                  <w:vAlign w:val="center"/>
                </w:tcPr>
                <w:p w14:paraId="2ED006F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937" w:type="dxa"/>
                  <w:vAlign w:val="center"/>
                </w:tcPr>
                <w:p w14:paraId="6ABC6BE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937" w:type="dxa"/>
                  <w:vAlign w:val="center"/>
                </w:tcPr>
                <w:p w14:paraId="4FEC368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993" w:type="dxa"/>
                  <w:vAlign w:val="center"/>
                </w:tcPr>
                <w:p w14:paraId="18D432F9">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28E09D59">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798C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3A50C2CB">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260335A1">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化学需氧量</w:t>
                  </w:r>
                </w:p>
              </w:tc>
              <w:tc>
                <w:tcPr>
                  <w:tcW w:w="1173" w:type="dxa"/>
                  <w:vAlign w:val="center"/>
                </w:tcPr>
                <w:p w14:paraId="7716AF5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1173" w:type="dxa"/>
                  <w:vAlign w:val="center"/>
                </w:tcPr>
                <w:p w14:paraId="5E6D87C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1173" w:type="dxa"/>
                  <w:vAlign w:val="center"/>
                </w:tcPr>
                <w:p w14:paraId="1A74DF36">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37" w:type="dxa"/>
                  <w:vAlign w:val="center"/>
                </w:tcPr>
                <w:p w14:paraId="3740F8F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937" w:type="dxa"/>
                  <w:vAlign w:val="center"/>
                </w:tcPr>
                <w:p w14:paraId="1D57770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993" w:type="dxa"/>
                  <w:vAlign w:val="center"/>
                </w:tcPr>
                <w:p w14:paraId="06FFCAD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057E5A3F">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5F54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77462BE3">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2A6064CF">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氨氮</w:t>
                  </w:r>
                </w:p>
              </w:tc>
              <w:tc>
                <w:tcPr>
                  <w:tcW w:w="1173" w:type="dxa"/>
                  <w:vAlign w:val="center"/>
                </w:tcPr>
                <w:p w14:paraId="15B139A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0.077</w:t>
                  </w:r>
                </w:p>
              </w:tc>
              <w:tc>
                <w:tcPr>
                  <w:tcW w:w="1173" w:type="dxa"/>
                  <w:vAlign w:val="center"/>
                </w:tcPr>
                <w:p w14:paraId="755698C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0.074</w:t>
                  </w:r>
                </w:p>
              </w:tc>
              <w:tc>
                <w:tcPr>
                  <w:tcW w:w="1173" w:type="dxa"/>
                  <w:vAlign w:val="center"/>
                </w:tcPr>
                <w:p w14:paraId="64C869C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0.080</w:t>
                  </w:r>
                </w:p>
              </w:tc>
              <w:tc>
                <w:tcPr>
                  <w:tcW w:w="937" w:type="dxa"/>
                  <w:vAlign w:val="center"/>
                </w:tcPr>
                <w:p w14:paraId="1659EBD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0.077</w:t>
                  </w:r>
                </w:p>
              </w:tc>
              <w:tc>
                <w:tcPr>
                  <w:tcW w:w="937" w:type="dxa"/>
                  <w:vAlign w:val="center"/>
                </w:tcPr>
                <w:p w14:paraId="751F73E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93" w:type="dxa"/>
                  <w:vAlign w:val="center"/>
                </w:tcPr>
                <w:p w14:paraId="71AF26C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5F08017F">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45CF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6D7751EA">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4DF7C8FE">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总磷</w:t>
                  </w:r>
                </w:p>
              </w:tc>
              <w:tc>
                <w:tcPr>
                  <w:tcW w:w="1173" w:type="dxa"/>
                  <w:vAlign w:val="center"/>
                </w:tcPr>
                <w:p w14:paraId="269D794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w:t>
                  </w:r>
                </w:p>
              </w:tc>
              <w:tc>
                <w:tcPr>
                  <w:tcW w:w="1173" w:type="dxa"/>
                  <w:vAlign w:val="center"/>
                </w:tcPr>
                <w:p w14:paraId="57B9BD2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w:t>
                  </w:r>
                </w:p>
              </w:tc>
              <w:tc>
                <w:tcPr>
                  <w:tcW w:w="1173" w:type="dxa"/>
                  <w:vAlign w:val="center"/>
                </w:tcPr>
                <w:p w14:paraId="5F792036">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w:t>
                  </w:r>
                </w:p>
              </w:tc>
              <w:tc>
                <w:tcPr>
                  <w:tcW w:w="937" w:type="dxa"/>
                  <w:vAlign w:val="center"/>
                </w:tcPr>
                <w:p w14:paraId="23CA7819">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w:t>
                  </w:r>
                </w:p>
              </w:tc>
              <w:tc>
                <w:tcPr>
                  <w:tcW w:w="937" w:type="dxa"/>
                  <w:vAlign w:val="center"/>
                </w:tcPr>
                <w:p w14:paraId="209A9D2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93" w:type="dxa"/>
                  <w:vAlign w:val="center"/>
                </w:tcPr>
                <w:p w14:paraId="7C9F9B3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56166B27">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3C34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602164F8">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19A9A998">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砷</w:t>
                  </w:r>
                </w:p>
              </w:tc>
              <w:tc>
                <w:tcPr>
                  <w:tcW w:w="1173" w:type="dxa"/>
                  <w:vAlign w:val="center"/>
                </w:tcPr>
                <w:p w14:paraId="0E0E50BC">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0.0009</w:t>
                  </w:r>
                </w:p>
              </w:tc>
              <w:tc>
                <w:tcPr>
                  <w:tcW w:w="1173" w:type="dxa"/>
                  <w:vAlign w:val="center"/>
                </w:tcPr>
                <w:p w14:paraId="4627CE4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0.0008</w:t>
                  </w:r>
                </w:p>
              </w:tc>
              <w:tc>
                <w:tcPr>
                  <w:tcW w:w="1173" w:type="dxa"/>
                  <w:vAlign w:val="center"/>
                </w:tcPr>
                <w:p w14:paraId="1713BD30">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0.0009</w:t>
                  </w:r>
                </w:p>
              </w:tc>
              <w:tc>
                <w:tcPr>
                  <w:tcW w:w="937" w:type="dxa"/>
                  <w:vAlign w:val="center"/>
                </w:tcPr>
                <w:p w14:paraId="4604B0C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0.0009</w:t>
                  </w:r>
                </w:p>
              </w:tc>
              <w:tc>
                <w:tcPr>
                  <w:tcW w:w="937" w:type="dxa"/>
                  <w:vAlign w:val="center"/>
                </w:tcPr>
                <w:p w14:paraId="6DB5CCD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93" w:type="dxa"/>
                  <w:vAlign w:val="center"/>
                </w:tcPr>
                <w:p w14:paraId="3A544687">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6CEB2A4D">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3F19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4CA61F4E">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4CCFDAED">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1173" w:type="dxa"/>
                  <w:vAlign w:val="center"/>
                </w:tcPr>
                <w:p w14:paraId="66C6D5D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0.21</w:t>
                  </w:r>
                </w:p>
              </w:tc>
              <w:tc>
                <w:tcPr>
                  <w:tcW w:w="1173" w:type="dxa"/>
                  <w:vAlign w:val="center"/>
                </w:tcPr>
                <w:p w14:paraId="5805C49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0.23</w:t>
                  </w:r>
                </w:p>
              </w:tc>
              <w:tc>
                <w:tcPr>
                  <w:tcW w:w="1173" w:type="dxa"/>
                  <w:vAlign w:val="center"/>
                </w:tcPr>
                <w:p w14:paraId="25CE141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0.19</w:t>
                  </w:r>
                </w:p>
              </w:tc>
              <w:tc>
                <w:tcPr>
                  <w:tcW w:w="937" w:type="dxa"/>
                  <w:vAlign w:val="center"/>
                </w:tcPr>
                <w:p w14:paraId="1DD8990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0.21</w:t>
                  </w:r>
                </w:p>
              </w:tc>
              <w:tc>
                <w:tcPr>
                  <w:tcW w:w="937" w:type="dxa"/>
                  <w:vAlign w:val="center"/>
                </w:tcPr>
                <w:p w14:paraId="452EC52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93" w:type="dxa"/>
                  <w:vAlign w:val="center"/>
                </w:tcPr>
                <w:p w14:paraId="45FCC4A6">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1FC2123A">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0195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458BBDB7">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15FAA5E7">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硫化物</w:t>
                  </w:r>
                </w:p>
              </w:tc>
              <w:tc>
                <w:tcPr>
                  <w:tcW w:w="1173" w:type="dxa"/>
                  <w:vAlign w:val="center"/>
                </w:tcPr>
                <w:p w14:paraId="2665303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0.01L</w:t>
                  </w:r>
                </w:p>
              </w:tc>
              <w:tc>
                <w:tcPr>
                  <w:tcW w:w="1173" w:type="dxa"/>
                  <w:vAlign w:val="center"/>
                </w:tcPr>
                <w:p w14:paraId="7C7C73A9">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0.01L</w:t>
                  </w:r>
                </w:p>
              </w:tc>
              <w:tc>
                <w:tcPr>
                  <w:tcW w:w="1173" w:type="dxa"/>
                  <w:vAlign w:val="center"/>
                </w:tcPr>
                <w:p w14:paraId="741A36F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0.01L</w:t>
                  </w:r>
                </w:p>
              </w:tc>
              <w:tc>
                <w:tcPr>
                  <w:tcW w:w="937" w:type="dxa"/>
                  <w:vAlign w:val="center"/>
                </w:tcPr>
                <w:p w14:paraId="6972924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0.01L</w:t>
                  </w:r>
                </w:p>
              </w:tc>
              <w:tc>
                <w:tcPr>
                  <w:tcW w:w="937" w:type="dxa"/>
                  <w:vAlign w:val="center"/>
                </w:tcPr>
                <w:p w14:paraId="1BEFBBF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93" w:type="dxa"/>
                  <w:vAlign w:val="center"/>
                </w:tcPr>
                <w:p w14:paraId="072CE79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3691FF08">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4775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167898CF">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30FFC4E9">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石油类</w:t>
                  </w:r>
                </w:p>
              </w:tc>
              <w:tc>
                <w:tcPr>
                  <w:tcW w:w="1173" w:type="dxa"/>
                  <w:vAlign w:val="center"/>
                </w:tcPr>
                <w:p w14:paraId="6E64E77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0.01L</w:t>
                  </w:r>
                </w:p>
              </w:tc>
              <w:tc>
                <w:tcPr>
                  <w:tcW w:w="1173" w:type="dxa"/>
                  <w:vAlign w:val="center"/>
                </w:tcPr>
                <w:p w14:paraId="3C61077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1173" w:type="dxa"/>
                  <w:vAlign w:val="center"/>
                </w:tcPr>
                <w:p w14:paraId="1646A48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0.01L</w:t>
                  </w:r>
                </w:p>
              </w:tc>
              <w:tc>
                <w:tcPr>
                  <w:tcW w:w="937" w:type="dxa"/>
                  <w:vAlign w:val="center"/>
                </w:tcPr>
                <w:p w14:paraId="539B72D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0.01L</w:t>
                  </w:r>
                </w:p>
              </w:tc>
              <w:tc>
                <w:tcPr>
                  <w:tcW w:w="937" w:type="dxa"/>
                  <w:vAlign w:val="center"/>
                </w:tcPr>
                <w:p w14:paraId="276BF6D7">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93" w:type="dxa"/>
                  <w:vAlign w:val="center"/>
                </w:tcPr>
                <w:p w14:paraId="4E103259">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p>
              </w:tc>
              <w:tc>
                <w:tcPr>
                  <w:tcW w:w="939" w:type="dxa"/>
                  <w:vAlign w:val="center"/>
                </w:tcPr>
                <w:p w14:paraId="3FA37B29">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477D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27F6ABA8">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41E8EC72">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粪大肠菌群（个/L）</w:t>
                  </w:r>
                </w:p>
              </w:tc>
              <w:tc>
                <w:tcPr>
                  <w:tcW w:w="1173" w:type="dxa"/>
                  <w:vAlign w:val="center"/>
                </w:tcPr>
                <w:p w14:paraId="08CD42D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vertAlign w:val="baseline"/>
                      <w:lang w:val="en-US" w:eastAsia="zh-CN"/>
                    </w:rPr>
                    <w:t>9.2×10</w:t>
                  </w:r>
                  <w:r>
                    <w:rPr>
                      <w:rFonts w:hint="default" w:ascii="Times New Roman" w:hAnsi="Times New Roman" w:eastAsia="宋体" w:cs="Times New Roman"/>
                      <w:color w:val="auto"/>
                      <w:sz w:val="21"/>
                      <w:szCs w:val="21"/>
                      <w:vertAlign w:val="superscript"/>
                      <w:lang w:val="en-US" w:eastAsia="zh-CN"/>
                    </w:rPr>
                    <w:t>3</w:t>
                  </w:r>
                </w:p>
              </w:tc>
              <w:tc>
                <w:tcPr>
                  <w:tcW w:w="1173" w:type="dxa"/>
                  <w:vAlign w:val="center"/>
                </w:tcPr>
                <w:p w14:paraId="293818A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vertAlign w:val="baseline"/>
                      <w:lang w:val="en-US" w:eastAsia="zh-CN"/>
                    </w:rPr>
                    <w:t>9.0×10</w:t>
                  </w:r>
                  <w:r>
                    <w:rPr>
                      <w:rFonts w:hint="default" w:ascii="Times New Roman" w:hAnsi="Times New Roman" w:eastAsia="宋体" w:cs="Times New Roman"/>
                      <w:color w:val="auto"/>
                      <w:sz w:val="21"/>
                      <w:szCs w:val="21"/>
                      <w:vertAlign w:val="superscript"/>
                      <w:lang w:val="en-US" w:eastAsia="zh-CN"/>
                    </w:rPr>
                    <w:t>3</w:t>
                  </w:r>
                </w:p>
              </w:tc>
              <w:tc>
                <w:tcPr>
                  <w:tcW w:w="1173" w:type="dxa"/>
                  <w:vAlign w:val="center"/>
                </w:tcPr>
                <w:p w14:paraId="53909BC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vertAlign w:val="baseline"/>
                      <w:lang w:val="en-US" w:eastAsia="zh-CN"/>
                    </w:rPr>
                    <w:t>9.2×10</w:t>
                  </w:r>
                  <w:r>
                    <w:rPr>
                      <w:rFonts w:hint="default" w:ascii="Times New Roman" w:hAnsi="Times New Roman" w:eastAsia="宋体" w:cs="Times New Roman"/>
                      <w:color w:val="auto"/>
                      <w:sz w:val="21"/>
                      <w:szCs w:val="21"/>
                      <w:vertAlign w:val="superscript"/>
                      <w:lang w:val="en-US" w:eastAsia="zh-CN"/>
                    </w:rPr>
                    <w:t>3</w:t>
                  </w:r>
                </w:p>
              </w:tc>
              <w:tc>
                <w:tcPr>
                  <w:tcW w:w="937" w:type="dxa"/>
                  <w:vAlign w:val="center"/>
                </w:tcPr>
                <w:p w14:paraId="1E63206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9.1×10</w:t>
                  </w:r>
                  <w:r>
                    <w:rPr>
                      <w:rFonts w:hint="default" w:ascii="Times New Roman" w:hAnsi="Times New Roman" w:eastAsia="宋体" w:cs="Times New Roman"/>
                      <w:color w:val="auto"/>
                      <w:sz w:val="21"/>
                      <w:szCs w:val="21"/>
                      <w:vertAlign w:val="superscript"/>
                      <w:lang w:val="en-US" w:eastAsia="zh-CN"/>
                    </w:rPr>
                    <w:t>3</w:t>
                  </w:r>
                </w:p>
              </w:tc>
              <w:tc>
                <w:tcPr>
                  <w:tcW w:w="937" w:type="dxa"/>
                  <w:vAlign w:val="center"/>
                </w:tcPr>
                <w:p w14:paraId="11102B1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≤10000</w:t>
                  </w:r>
                </w:p>
              </w:tc>
              <w:tc>
                <w:tcPr>
                  <w:tcW w:w="993" w:type="dxa"/>
                  <w:vAlign w:val="center"/>
                </w:tcPr>
                <w:p w14:paraId="2286613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3DC9E947">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278A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0557E051">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58A57437">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溶解氧</w:t>
                  </w:r>
                </w:p>
              </w:tc>
              <w:tc>
                <w:tcPr>
                  <w:tcW w:w="1173" w:type="dxa"/>
                  <w:vAlign w:val="center"/>
                </w:tcPr>
                <w:p w14:paraId="0ED7407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7.4</w:t>
                  </w:r>
                </w:p>
              </w:tc>
              <w:tc>
                <w:tcPr>
                  <w:tcW w:w="1173" w:type="dxa"/>
                  <w:vAlign w:val="center"/>
                </w:tcPr>
                <w:p w14:paraId="0BF20517">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7.6</w:t>
                  </w:r>
                </w:p>
              </w:tc>
              <w:tc>
                <w:tcPr>
                  <w:tcW w:w="1173" w:type="dxa"/>
                  <w:vAlign w:val="center"/>
                </w:tcPr>
                <w:p w14:paraId="3504B16C">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7.2</w:t>
                  </w:r>
                </w:p>
              </w:tc>
              <w:tc>
                <w:tcPr>
                  <w:tcW w:w="937" w:type="dxa"/>
                  <w:vAlign w:val="center"/>
                </w:tcPr>
                <w:p w14:paraId="69555D8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7.4</w:t>
                  </w:r>
                </w:p>
              </w:tc>
              <w:tc>
                <w:tcPr>
                  <w:tcW w:w="937" w:type="dxa"/>
                  <w:vAlign w:val="center"/>
                </w:tcPr>
                <w:p w14:paraId="6647093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993" w:type="dxa"/>
                  <w:vAlign w:val="center"/>
                </w:tcPr>
                <w:p w14:paraId="58DB073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5479786C">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2C2B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284A2EFB">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3DE21AFB">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高锰酸盐指数</w:t>
                  </w:r>
                </w:p>
              </w:tc>
              <w:tc>
                <w:tcPr>
                  <w:tcW w:w="1173" w:type="dxa"/>
                  <w:vAlign w:val="center"/>
                </w:tcPr>
                <w:p w14:paraId="5E7D978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1173" w:type="dxa"/>
                  <w:vAlign w:val="center"/>
                </w:tcPr>
                <w:p w14:paraId="5C2A2D72">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1173" w:type="dxa"/>
                  <w:vAlign w:val="center"/>
                </w:tcPr>
                <w:p w14:paraId="74F755E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w:t>
                  </w:r>
                </w:p>
              </w:tc>
              <w:tc>
                <w:tcPr>
                  <w:tcW w:w="937" w:type="dxa"/>
                  <w:vAlign w:val="center"/>
                </w:tcPr>
                <w:p w14:paraId="105F98BF">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937" w:type="dxa"/>
                  <w:vAlign w:val="center"/>
                </w:tcPr>
                <w:p w14:paraId="41C6228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993" w:type="dxa"/>
                  <w:vAlign w:val="center"/>
                </w:tcPr>
                <w:p w14:paraId="110E611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p>
              </w:tc>
              <w:tc>
                <w:tcPr>
                  <w:tcW w:w="939" w:type="dxa"/>
                  <w:vAlign w:val="center"/>
                </w:tcPr>
                <w:p w14:paraId="3A5A0CB9">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0113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7C500DBA">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69DC7AA7">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挥发酚</w:t>
                  </w:r>
                </w:p>
              </w:tc>
              <w:tc>
                <w:tcPr>
                  <w:tcW w:w="1173" w:type="dxa"/>
                  <w:vAlign w:val="center"/>
                </w:tcPr>
                <w:p w14:paraId="1C4952F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0.0003L</w:t>
                  </w:r>
                </w:p>
              </w:tc>
              <w:tc>
                <w:tcPr>
                  <w:tcW w:w="1173" w:type="dxa"/>
                  <w:vAlign w:val="center"/>
                </w:tcPr>
                <w:p w14:paraId="67B3188C">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0.0003L</w:t>
                  </w:r>
                </w:p>
              </w:tc>
              <w:tc>
                <w:tcPr>
                  <w:tcW w:w="1173" w:type="dxa"/>
                  <w:vAlign w:val="center"/>
                </w:tcPr>
                <w:p w14:paraId="04EDD7A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0.0003L</w:t>
                  </w:r>
                </w:p>
              </w:tc>
              <w:tc>
                <w:tcPr>
                  <w:tcW w:w="937" w:type="dxa"/>
                  <w:vAlign w:val="center"/>
                </w:tcPr>
                <w:p w14:paraId="24E940E9">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0.0006L</w:t>
                  </w:r>
                </w:p>
              </w:tc>
              <w:tc>
                <w:tcPr>
                  <w:tcW w:w="937" w:type="dxa"/>
                  <w:vAlign w:val="center"/>
                </w:tcPr>
                <w:p w14:paraId="1AA7D093">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93" w:type="dxa"/>
                  <w:vAlign w:val="center"/>
                </w:tcPr>
                <w:p w14:paraId="4A5C7CA7">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136DA621">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4876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7" w:type="dxa"/>
                  <w:vMerge w:val="continue"/>
                  <w:vAlign w:val="center"/>
                </w:tcPr>
                <w:p w14:paraId="22E90495">
                  <w:pPr>
                    <w:pStyle w:val="27"/>
                    <w:spacing w:line="240" w:lineRule="auto"/>
                    <w:ind w:left="0" w:leftChars="0" w:firstLine="0" w:firstLineChars="0"/>
                    <w:jc w:val="center"/>
                    <w:rPr>
                      <w:rFonts w:hint="default" w:ascii="Times New Roman" w:hAnsi="Times New Roman" w:cs="Times New Roman"/>
                      <w:color w:val="auto"/>
                      <w:sz w:val="21"/>
                      <w:szCs w:val="21"/>
                    </w:rPr>
                  </w:pPr>
                </w:p>
              </w:tc>
              <w:tc>
                <w:tcPr>
                  <w:tcW w:w="937" w:type="dxa"/>
                  <w:vAlign w:val="center"/>
                </w:tcPr>
                <w:p w14:paraId="2E5053F4">
                  <w:pPr>
                    <w:pStyle w:val="27"/>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阴离子表面活性剂</w:t>
                  </w:r>
                </w:p>
              </w:tc>
              <w:tc>
                <w:tcPr>
                  <w:tcW w:w="1173" w:type="dxa"/>
                  <w:vAlign w:val="center"/>
                </w:tcPr>
                <w:p w14:paraId="43AA2CE7">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0.05L</w:t>
                  </w:r>
                </w:p>
              </w:tc>
              <w:tc>
                <w:tcPr>
                  <w:tcW w:w="1173" w:type="dxa"/>
                  <w:vAlign w:val="center"/>
                </w:tcPr>
                <w:p w14:paraId="2E512F2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0.05L</w:t>
                  </w:r>
                </w:p>
              </w:tc>
              <w:tc>
                <w:tcPr>
                  <w:tcW w:w="1173" w:type="dxa"/>
                  <w:vAlign w:val="center"/>
                </w:tcPr>
                <w:p w14:paraId="565BF834">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0.05L</w:t>
                  </w:r>
                </w:p>
              </w:tc>
              <w:tc>
                <w:tcPr>
                  <w:tcW w:w="937" w:type="dxa"/>
                  <w:vAlign w:val="center"/>
                </w:tcPr>
                <w:p w14:paraId="259249D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0.05L</w:t>
                  </w:r>
                </w:p>
              </w:tc>
              <w:tc>
                <w:tcPr>
                  <w:tcW w:w="937" w:type="dxa"/>
                  <w:vAlign w:val="center"/>
                </w:tcPr>
                <w:p w14:paraId="64FA2E06">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93" w:type="dxa"/>
                  <w:vAlign w:val="center"/>
                </w:tcPr>
                <w:p w14:paraId="631FC67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39" w:type="dxa"/>
                  <w:vAlign w:val="center"/>
                </w:tcPr>
                <w:p w14:paraId="1F5C9EB2">
                  <w:p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14:paraId="5F1223A4">
            <w:pPr>
              <w:pStyle w:val="27"/>
              <w:ind w:left="0" w:leftChars="0"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lang w:val="en-US" w:eastAsia="zh-CN"/>
              </w:rPr>
              <w:t>从上表可知，W2监测断面水质能满足《地表水环境质量标准》（GB3838-2002）</w:t>
            </w:r>
            <w:r>
              <w:rPr>
                <w:rFonts w:hint="default" w:ascii="Times New Roman" w:hAnsi="Times New Roman" w:eastAsia="宋体" w:cs="Times New Roman"/>
                <w:color w:val="auto"/>
                <w:sz w:val="24"/>
                <w:szCs w:val="24"/>
              </w:rPr>
              <w:t>III</w:t>
            </w:r>
            <w:r>
              <w:rPr>
                <w:rFonts w:hint="default" w:ascii="Times New Roman" w:hAnsi="Times New Roman" w:cs="Times New Roman"/>
                <w:color w:val="auto"/>
                <w:sz w:val="24"/>
                <w:szCs w:val="24"/>
                <w:lang w:val="en-US" w:eastAsia="zh-CN"/>
              </w:rPr>
              <w:t>水质标准要求，区域地表水环境质量良好。</w:t>
            </w:r>
          </w:p>
          <w:p w14:paraId="28315012">
            <w:pPr>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4生态环境质量现状</w:t>
            </w:r>
          </w:p>
          <w:p w14:paraId="4F2E3432">
            <w:pPr>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本项目租用原法果红砖厂场地进行建设，</w:t>
            </w:r>
            <w:r>
              <w:rPr>
                <w:rFonts w:hint="default" w:ascii="Times New Roman" w:hAnsi="Times New Roman" w:cs="Times New Roman"/>
                <w:b w:val="0"/>
                <w:bCs w:val="0"/>
                <w:color w:val="auto"/>
                <w:sz w:val="24"/>
                <w:szCs w:val="24"/>
                <w:lang w:val="en-US" w:eastAsia="zh-CN"/>
              </w:rPr>
              <w:t>原砖厂对场地进行过平整，无</w:t>
            </w:r>
            <w:r>
              <w:rPr>
                <w:rFonts w:hint="eastAsia" w:cs="Times New Roman"/>
                <w:b w:val="0"/>
                <w:bCs w:val="0"/>
                <w:color w:val="auto"/>
                <w:sz w:val="24"/>
                <w:szCs w:val="24"/>
                <w:lang w:val="en-US" w:eastAsia="zh-CN"/>
              </w:rPr>
              <w:t>名木古树</w:t>
            </w:r>
            <w:r>
              <w:rPr>
                <w:rFonts w:hint="default" w:ascii="Times New Roman" w:hAnsi="Times New Roman" w:cs="Times New Roman"/>
                <w:b w:val="0"/>
                <w:bCs w:val="0"/>
                <w:color w:val="auto"/>
                <w:sz w:val="24"/>
                <w:szCs w:val="24"/>
                <w:lang w:val="en-US" w:eastAsia="zh-CN"/>
              </w:rPr>
              <w:t>，只存在少量野草、昆虫，</w:t>
            </w:r>
            <w:r>
              <w:rPr>
                <w:rFonts w:hint="default" w:ascii="Times New Roman" w:hAnsi="Times New Roman" w:cs="Times New Roman"/>
                <w:color w:val="auto"/>
                <w:sz w:val="24"/>
                <w:szCs w:val="24"/>
              </w:rPr>
              <w:t>占地区域植被为周边常见物种，无国家及云南省保护物种，无地方特有物种和古树名木分布，也无区域</w:t>
            </w:r>
            <w:r>
              <w:rPr>
                <w:rFonts w:hint="default" w:ascii="Times New Roman" w:hAnsi="Times New Roman" w:cs="Times New Roman"/>
                <w:color w:val="auto"/>
                <w:sz w:val="24"/>
                <w:szCs w:val="24"/>
                <w:lang w:val="en-US" w:eastAsia="zh-CN"/>
              </w:rPr>
              <w:t>独</w:t>
            </w:r>
            <w:r>
              <w:rPr>
                <w:rFonts w:hint="default" w:ascii="Times New Roman" w:hAnsi="Times New Roman" w:cs="Times New Roman"/>
                <w:color w:val="auto"/>
                <w:sz w:val="24"/>
                <w:szCs w:val="24"/>
              </w:rPr>
              <w:t>有的物种分</w:t>
            </w:r>
            <w:r>
              <w:rPr>
                <w:rFonts w:hint="default" w:ascii="Times New Roman" w:hAnsi="Times New Roman" w:cs="Times New Roman"/>
                <w:color w:val="auto"/>
                <w:sz w:val="24"/>
                <w:szCs w:val="24"/>
                <w:lang w:val="en-US" w:eastAsia="zh-CN"/>
              </w:rPr>
              <w:t>布</w:t>
            </w:r>
            <w:r>
              <w:rPr>
                <w:rFonts w:hint="default" w:ascii="Times New Roman" w:hAnsi="Times New Roman" w:cs="Times New Roman"/>
                <w:color w:val="auto"/>
                <w:lang w:val="en-US" w:eastAsia="zh-CN"/>
              </w:rPr>
              <w:t>。</w:t>
            </w:r>
          </w:p>
          <w:p w14:paraId="7DEA3D39">
            <w:pPr>
              <w:pStyle w:val="27"/>
              <w:ind w:left="0" w:leftChars="0" w:firstLine="0" w:firstLineChars="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5土壤、地下水环境质量</w:t>
            </w:r>
          </w:p>
          <w:p w14:paraId="782C0C73">
            <w:pPr>
              <w:keepNext w:val="0"/>
              <w:keepLines w:val="0"/>
              <w:widowControl/>
              <w:suppressLineNumbers w:val="0"/>
              <w:jc w:val="left"/>
              <w:rPr>
                <w:rFonts w:hint="default"/>
                <w:color w:val="auto"/>
                <w:lang w:val="en-US" w:eastAsia="zh-CN"/>
              </w:rPr>
            </w:pPr>
            <w:r>
              <w:rPr>
                <w:rFonts w:hint="eastAsia" w:ascii="宋体" w:hAnsi="宋体" w:eastAsia="宋体" w:cs="宋体"/>
                <w:color w:val="auto"/>
                <w:kern w:val="0"/>
                <w:sz w:val="24"/>
                <w:szCs w:val="24"/>
                <w:lang w:val="en-US" w:eastAsia="zh-CN" w:bidi="ar"/>
              </w:rPr>
              <w:t>根据《关于印发</w:t>
            </w:r>
            <w:r>
              <w:rPr>
                <w:rFonts w:hint="default" w:ascii="Times New Roman" w:hAnsi="Times New Roman" w:eastAsia="宋体" w:cs="Times New Roman"/>
                <w:color w:val="auto"/>
                <w:kern w:val="0"/>
                <w:sz w:val="24"/>
                <w:szCs w:val="24"/>
                <w:lang w:val="en-US" w:eastAsia="zh-CN" w:bidi="ar"/>
              </w:rPr>
              <w:t>&lt;</w:t>
            </w:r>
            <w:r>
              <w:rPr>
                <w:rFonts w:hint="eastAsia" w:ascii="宋体" w:hAnsi="宋体" w:eastAsia="宋体" w:cs="宋体"/>
                <w:color w:val="auto"/>
                <w:kern w:val="0"/>
                <w:sz w:val="24"/>
                <w:szCs w:val="24"/>
                <w:lang w:val="en-US" w:eastAsia="zh-CN" w:bidi="ar"/>
              </w:rPr>
              <w:t>建设项目环境影响报告表</w:t>
            </w:r>
            <w:r>
              <w:rPr>
                <w:rFonts w:hint="default" w:ascii="Times New Roman" w:hAnsi="Times New Roman" w:eastAsia="宋体" w:cs="Times New Roman"/>
                <w:color w:val="auto"/>
                <w:kern w:val="0"/>
                <w:sz w:val="24"/>
                <w:szCs w:val="24"/>
                <w:lang w:val="en-US" w:eastAsia="zh-CN" w:bidi="ar"/>
              </w:rPr>
              <w:t>&gt;</w:t>
            </w:r>
            <w:r>
              <w:rPr>
                <w:rFonts w:hint="eastAsia" w:ascii="宋体" w:hAnsi="宋体" w:eastAsia="宋体" w:cs="宋体"/>
                <w:color w:val="auto"/>
                <w:kern w:val="0"/>
                <w:sz w:val="24"/>
                <w:szCs w:val="24"/>
                <w:lang w:val="en-US" w:eastAsia="zh-CN" w:bidi="ar"/>
              </w:rPr>
              <w:t>内容、格式及编制技术指南的通知》（环办环评〔</w:t>
            </w:r>
            <w:r>
              <w:rPr>
                <w:rFonts w:hint="default" w:ascii="Times New Roman" w:hAnsi="Times New Roman" w:eastAsia="宋体" w:cs="Times New Roman"/>
                <w:color w:val="auto"/>
                <w:kern w:val="0"/>
                <w:sz w:val="24"/>
                <w:szCs w:val="24"/>
                <w:lang w:val="en-US" w:eastAsia="zh-CN" w:bidi="ar"/>
              </w:rPr>
              <w:t>2020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33</w:t>
            </w:r>
            <w:r>
              <w:rPr>
                <w:rFonts w:hint="eastAsia" w:ascii="宋体" w:hAnsi="宋体" w:eastAsia="宋体" w:cs="宋体"/>
                <w:color w:val="auto"/>
                <w:kern w:val="0"/>
                <w:sz w:val="24"/>
                <w:szCs w:val="24"/>
                <w:lang w:val="en-US" w:eastAsia="zh-CN" w:bidi="ar"/>
              </w:rPr>
              <w:t>号）中区域环境质量现状：地下水、土壤原则上不开展环境质量现状调查。本项目位用地性质为工业用地，厂界外</w:t>
            </w:r>
            <w:r>
              <w:rPr>
                <w:rFonts w:hint="default" w:ascii="Times New Roman" w:hAnsi="Times New Roman" w:eastAsia="宋体" w:cs="Times New Roman"/>
                <w:color w:val="auto"/>
                <w:kern w:val="0"/>
                <w:sz w:val="24"/>
                <w:szCs w:val="24"/>
                <w:lang w:val="en-US" w:eastAsia="zh-CN" w:bidi="ar"/>
              </w:rPr>
              <w:t>500m</w:t>
            </w:r>
            <w:r>
              <w:rPr>
                <w:rFonts w:hint="eastAsia" w:ascii="宋体" w:hAnsi="宋体" w:eastAsia="宋体" w:cs="宋体"/>
                <w:color w:val="auto"/>
                <w:kern w:val="0"/>
                <w:sz w:val="24"/>
                <w:szCs w:val="24"/>
                <w:lang w:val="en-US" w:eastAsia="zh-CN" w:bidi="ar"/>
              </w:rPr>
              <w:t>范围内不涉及集中式饮用水水源和热水、矿泉水、温泉等特殊地下水资源。项目运营期对土壤和地下水污染途径为废润滑油，产生的废润滑油暂存在危废暂存间内再委托有资质的单位转运处置。危废暂存间进行重点防渗处理，废润滑油对地下水和土壤环境影响较小，本次环评未开展地下水及土壤环境质量现状调查。</w:t>
            </w:r>
          </w:p>
        </w:tc>
      </w:tr>
      <w:tr w14:paraId="33BC4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456" w:type="dxa"/>
            <w:vAlign w:val="center"/>
          </w:tcPr>
          <w:p w14:paraId="0103F43D">
            <w:pPr>
              <w:pStyle w:val="40"/>
              <w:rPr>
                <w:rFonts w:hint="default" w:ascii="Times New Roman" w:hAnsi="Times New Roman" w:cs="Times New Roman"/>
                <w:color w:val="auto"/>
              </w:rPr>
            </w:pPr>
            <w:r>
              <w:rPr>
                <w:rFonts w:hint="default" w:ascii="Times New Roman" w:hAnsi="Times New Roman" w:cs="Times New Roman"/>
                <w:color w:val="auto"/>
              </w:rPr>
              <w:t>环境</w:t>
            </w:r>
          </w:p>
          <w:p w14:paraId="6D11BDB7">
            <w:pPr>
              <w:pStyle w:val="40"/>
              <w:rPr>
                <w:rFonts w:hint="default" w:ascii="Times New Roman" w:hAnsi="Times New Roman" w:cs="Times New Roman"/>
                <w:color w:val="auto"/>
              </w:rPr>
            </w:pPr>
            <w:r>
              <w:rPr>
                <w:rFonts w:hint="default" w:ascii="Times New Roman" w:hAnsi="Times New Roman" w:cs="Times New Roman"/>
                <w:color w:val="auto"/>
              </w:rPr>
              <w:t>保护</w:t>
            </w:r>
          </w:p>
          <w:p w14:paraId="4FF4B245">
            <w:pPr>
              <w:pStyle w:val="40"/>
              <w:rPr>
                <w:rFonts w:hint="default" w:ascii="Times New Roman" w:hAnsi="Times New Roman" w:cs="Times New Roman"/>
                <w:color w:val="auto"/>
              </w:rPr>
            </w:pPr>
            <w:r>
              <w:rPr>
                <w:rFonts w:hint="default" w:ascii="Times New Roman" w:hAnsi="Times New Roman" w:cs="Times New Roman"/>
                <w:color w:val="auto"/>
              </w:rPr>
              <w:t>目标</w:t>
            </w:r>
          </w:p>
        </w:tc>
        <w:tc>
          <w:tcPr>
            <w:tcW w:w="9415" w:type="dxa"/>
            <w:vAlign w:val="center"/>
          </w:tcPr>
          <w:p w14:paraId="287488EB">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根据《建设项目环境影响报告表编制技术指南（污染影响类）（试行）》要求：</w:t>
            </w:r>
          </w:p>
          <w:p w14:paraId="5D12B37E">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1.大气环境：</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厂界外500米范围内</w:t>
            </w:r>
            <w:r>
              <w:rPr>
                <w:rFonts w:hint="default"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自然保护区、风景名胜区、居住区、文化区和农村地区中人群较集中的区域等保护目</w:t>
            </w:r>
            <w:r>
              <w:rPr>
                <w:rFonts w:hint="default" w:ascii="Times New Roman" w:hAnsi="Times New Roman" w:cs="Times New Roman"/>
                <w:color w:val="auto"/>
                <w:sz w:val="24"/>
                <w:szCs w:val="24"/>
                <w:lang w:val="en-US" w:eastAsia="zh-CN"/>
              </w:rPr>
              <w:t>标</w:t>
            </w:r>
            <w:r>
              <w:rPr>
                <w:rFonts w:hint="default" w:ascii="Times New Roman" w:hAnsi="Times New Roman" w:cs="Times New Roman"/>
                <w:color w:val="auto"/>
                <w:sz w:val="24"/>
                <w:szCs w:val="24"/>
              </w:rPr>
              <w:t>。</w:t>
            </w:r>
          </w:p>
          <w:p w14:paraId="467F6E36">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2.声环境：</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厂界外</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米</w:t>
            </w:r>
            <w:r>
              <w:rPr>
                <w:rFonts w:hint="eastAsia" w:ascii="Times New Roman" w:hAnsi="Times New Roman" w:cs="Times New Roman"/>
                <w:color w:val="auto"/>
                <w:sz w:val="24"/>
                <w:szCs w:val="24"/>
                <w:lang w:val="en-US" w:eastAsia="zh-CN"/>
              </w:rPr>
              <w:t>范围内</w:t>
            </w:r>
            <w:r>
              <w:rPr>
                <w:rFonts w:hint="eastAsia" w:cs="Times New Roman"/>
                <w:color w:val="auto"/>
                <w:sz w:val="24"/>
                <w:szCs w:val="24"/>
                <w:lang w:val="en-US" w:eastAsia="zh-CN"/>
              </w:rPr>
              <w:t>无</w:t>
            </w:r>
            <w:r>
              <w:rPr>
                <w:rFonts w:hint="default" w:ascii="Times New Roman" w:hAnsi="Times New Roman" w:cs="Times New Roman"/>
                <w:color w:val="auto"/>
                <w:sz w:val="24"/>
                <w:szCs w:val="24"/>
              </w:rPr>
              <w:t>声环境保护目标</w:t>
            </w:r>
            <w:r>
              <w:rPr>
                <w:rFonts w:hint="eastAsia" w:cs="Times New Roman"/>
                <w:color w:val="auto"/>
                <w:sz w:val="24"/>
                <w:szCs w:val="24"/>
                <w:lang w:eastAsia="zh-CN"/>
              </w:rPr>
              <w:t>，</w:t>
            </w:r>
            <w:r>
              <w:rPr>
                <w:rFonts w:hint="eastAsia" w:cs="Times New Roman"/>
                <w:color w:val="auto"/>
                <w:sz w:val="24"/>
                <w:szCs w:val="24"/>
                <w:lang w:val="en-US" w:eastAsia="zh-CN"/>
              </w:rPr>
              <w:t>经核实项目南侧为烤烟房</w:t>
            </w:r>
            <w:r>
              <w:rPr>
                <w:rFonts w:hint="default" w:ascii="Times New Roman" w:hAnsi="Times New Roman" w:cs="Times New Roman"/>
                <w:color w:val="auto"/>
                <w:sz w:val="24"/>
                <w:szCs w:val="24"/>
              </w:rPr>
              <w:t>。</w:t>
            </w:r>
          </w:p>
          <w:p w14:paraId="4580FF24">
            <w:pPr>
              <w:ind w:left="0" w:lef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地表水环境：本项目厂界外500米范围内无饮用水水源地、饮用水取水口，涉水的自然保护区、风景名胜区，重要湿地、重点保护与珍稀水生生物的栖息地、重要水生生物的自然产卵场及索饵场、越冬场和洄游通道，天然渔场等渔业水体，以及水产种质资源保护区等；</w:t>
            </w:r>
          </w:p>
          <w:p w14:paraId="1B19BB78">
            <w:pPr>
              <w:ind w:left="0"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.地下水环境：</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厂界外500米范围内</w:t>
            </w:r>
            <w:r>
              <w:rPr>
                <w:rFonts w:hint="default"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地下水集中式饮用水水源和热水、矿泉水、温泉等特殊地下水资源。</w:t>
            </w:r>
          </w:p>
          <w:p w14:paraId="4273F34A">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.生态环境：</w:t>
            </w:r>
            <w:r>
              <w:rPr>
                <w:rFonts w:hint="default" w:ascii="Times New Roman" w:hAnsi="Times New Roman" w:eastAsia="宋体" w:cs="Times New Roman"/>
                <w:color w:val="auto"/>
                <w:kern w:val="2"/>
                <w:sz w:val="24"/>
                <w:szCs w:val="24"/>
              </w:rPr>
              <w:t>本项目占地范围内无特殊生态敏感区及重要生态敏感区等生态环境保护目标，项目所在地无国家级、省、市级自然保护区、风景名胜区、文物保护对象。</w:t>
            </w:r>
          </w:p>
          <w:p w14:paraId="4A6C6214">
            <w:pPr>
              <w:pStyle w:val="37"/>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厂界</w:t>
            </w:r>
            <w:r>
              <w:rPr>
                <w:rFonts w:hint="default" w:ascii="Times New Roman" w:hAnsi="Times New Roman" w:cs="Times New Roman"/>
                <w:color w:val="auto"/>
                <w:sz w:val="24"/>
                <w:szCs w:val="24"/>
              </w:rPr>
              <w:t>外50m范围内</w:t>
            </w:r>
            <w:r>
              <w:rPr>
                <w:rFonts w:hint="eastAsia"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声环境保护目标；</w:t>
            </w:r>
            <w:r>
              <w:rPr>
                <w:rFonts w:hint="default" w:ascii="Times New Roman" w:hAnsi="Times New Roman" w:cs="Times New Roman"/>
                <w:color w:val="auto"/>
                <w:sz w:val="24"/>
                <w:szCs w:val="24"/>
                <w:lang w:val="en-US" w:eastAsia="zh-CN"/>
              </w:rPr>
              <w:t>厂界外500m范围内无</w:t>
            </w:r>
            <w:r>
              <w:rPr>
                <w:rFonts w:hint="default" w:ascii="Times New Roman" w:hAnsi="Times New Roman" w:cs="Times New Roman"/>
                <w:color w:val="auto"/>
                <w:sz w:val="24"/>
                <w:szCs w:val="24"/>
              </w:rPr>
              <w:t>大气环境保护目标</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项目区无地下水集中式饮用水水源</w:t>
            </w:r>
            <w:r>
              <w:rPr>
                <w:rFonts w:hint="default" w:ascii="Times New Roman" w:hAnsi="Times New Roman" w:cs="Times New Roman"/>
                <w:snapToGrid w:val="0"/>
                <w:color w:val="auto"/>
                <w:kern w:val="0"/>
                <w:sz w:val="24"/>
                <w:szCs w:val="24"/>
              </w:rPr>
              <w:t>和热水、矿泉水、温泉等特殊地下水资源</w:t>
            </w:r>
            <w:r>
              <w:rPr>
                <w:rFonts w:hint="default" w:ascii="Times New Roman" w:hAnsi="Times New Roman" w:cs="Times New Roman"/>
                <w:color w:val="auto"/>
                <w:sz w:val="24"/>
                <w:szCs w:val="24"/>
              </w:rPr>
              <w:t>。</w:t>
            </w:r>
          </w:p>
          <w:p w14:paraId="4F6AD7D7">
            <w:pPr>
              <w:pStyle w:val="37"/>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综上所述，本项目环境保护目标如下表所示。</w:t>
            </w:r>
          </w:p>
          <w:p w14:paraId="7394313A">
            <w:pPr>
              <w:pStyle w:val="35"/>
              <w:rPr>
                <w:rFonts w:hint="default" w:ascii="Times New Roman" w:hAnsi="Times New Roman" w:cs="Times New Roman"/>
                <w:color w:val="auto"/>
              </w:rPr>
            </w:pPr>
          </w:p>
          <w:p w14:paraId="2324F41D">
            <w:pPr>
              <w:pStyle w:val="35"/>
              <w:rPr>
                <w:rFonts w:hint="default" w:ascii="Times New Roman" w:hAnsi="Times New Roman" w:cs="Times New Roman"/>
                <w:color w:val="auto"/>
              </w:rPr>
            </w:pPr>
          </w:p>
          <w:p w14:paraId="77019A59">
            <w:pPr>
              <w:pStyle w:val="35"/>
              <w:rPr>
                <w:rFonts w:hint="default" w:ascii="Times New Roman" w:hAnsi="Times New Roman" w:cs="Times New Roman"/>
                <w:color w:val="auto"/>
              </w:rPr>
            </w:pPr>
          </w:p>
          <w:p w14:paraId="0DA260CE">
            <w:pPr>
              <w:pStyle w:val="35"/>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9</w:t>
            </w:r>
            <w:r>
              <w:rPr>
                <w:rFonts w:hint="default" w:ascii="Times New Roman" w:hAnsi="Times New Roman" w:cs="Times New Roman"/>
                <w:color w:val="auto"/>
              </w:rPr>
              <w:t>生态环境保护目标</w:t>
            </w:r>
          </w:p>
          <w:tbl>
            <w:tblPr>
              <w:tblStyle w:val="44"/>
              <w:tblW w:w="497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2"/>
              <w:gridCol w:w="2510"/>
              <w:gridCol w:w="2058"/>
              <w:gridCol w:w="1571"/>
              <w:gridCol w:w="1861"/>
            </w:tblGrid>
            <w:tr w14:paraId="214DC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53" w:type="pct"/>
                  <w:tcBorders>
                    <w:tl2br w:val="nil"/>
                    <w:tr2bl w:val="nil"/>
                  </w:tcBorders>
                  <w:vAlign w:val="center"/>
                </w:tcPr>
                <w:p w14:paraId="7E6075F0">
                  <w:pPr>
                    <w:pStyle w:val="42"/>
                    <w:bidi w:val="0"/>
                    <w:rPr>
                      <w:rFonts w:hint="default" w:ascii="Times New Roman" w:hAnsi="Times New Roman" w:cs="Times New Roman"/>
                      <w:color w:val="auto"/>
                    </w:rPr>
                  </w:pPr>
                  <w:r>
                    <w:rPr>
                      <w:rFonts w:hint="default" w:ascii="Times New Roman" w:hAnsi="Times New Roman" w:cs="Times New Roman"/>
                      <w:color w:val="auto"/>
                    </w:rPr>
                    <w:t>环境要素</w:t>
                  </w:r>
                </w:p>
              </w:tc>
              <w:tc>
                <w:tcPr>
                  <w:tcW w:w="1363" w:type="pct"/>
                  <w:tcBorders>
                    <w:tl2br w:val="nil"/>
                    <w:tr2bl w:val="nil"/>
                  </w:tcBorders>
                  <w:vAlign w:val="center"/>
                </w:tcPr>
                <w:p w14:paraId="51353766">
                  <w:pPr>
                    <w:pStyle w:val="42"/>
                    <w:bidi w:val="0"/>
                    <w:rPr>
                      <w:rFonts w:hint="default" w:ascii="Times New Roman" w:hAnsi="Times New Roman" w:cs="Times New Roman"/>
                      <w:color w:val="auto"/>
                    </w:rPr>
                  </w:pPr>
                  <w:r>
                    <w:rPr>
                      <w:rFonts w:hint="default" w:ascii="Times New Roman" w:hAnsi="Times New Roman" w:cs="Times New Roman"/>
                      <w:color w:val="auto"/>
                    </w:rPr>
                    <w:t>保护目标</w:t>
                  </w:r>
                </w:p>
              </w:tc>
              <w:tc>
                <w:tcPr>
                  <w:tcW w:w="1118" w:type="pct"/>
                  <w:tcBorders>
                    <w:tl2br w:val="nil"/>
                    <w:tr2bl w:val="nil"/>
                  </w:tcBorders>
                  <w:vAlign w:val="center"/>
                </w:tcPr>
                <w:p w14:paraId="2E2F37BE">
                  <w:pPr>
                    <w:pStyle w:val="42"/>
                    <w:bidi w:val="0"/>
                    <w:rPr>
                      <w:rFonts w:hint="default" w:ascii="Times New Roman" w:hAnsi="Times New Roman" w:cs="Times New Roman"/>
                      <w:color w:val="auto"/>
                    </w:rPr>
                  </w:pPr>
                  <w:r>
                    <w:rPr>
                      <w:rFonts w:hint="default" w:ascii="Times New Roman" w:hAnsi="Times New Roman" w:cs="Times New Roman"/>
                      <w:color w:val="auto"/>
                    </w:rPr>
                    <w:t>方位</w:t>
                  </w:r>
                </w:p>
              </w:tc>
              <w:tc>
                <w:tcPr>
                  <w:tcW w:w="853" w:type="pct"/>
                  <w:tcBorders>
                    <w:tl2br w:val="nil"/>
                    <w:tr2bl w:val="nil"/>
                  </w:tcBorders>
                  <w:vAlign w:val="center"/>
                </w:tcPr>
                <w:p w14:paraId="58969E6B">
                  <w:pPr>
                    <w:pStyle w:val="42"/>
                    <w:bidi w:val="0"/>
                    <w:rPr>
                      <w:rFonts w:hint="default" w:ascii="Times New Roman" w:hAnsi="Times New Roman" w:cs="Times New Roman"/>
                      <w:color w:val="auto"/>
                    </w:rPr>
                  </w:pPr>
                  <w:r>
                    <w:rPr>
                      <w:rFonts w:hint="default" w:ascii="Times New Roman" w:hAnsi="Times New Roman" w:cs="Times New Roman"/>
                      <w:color w:val="auto"/>
                    </w:rPr>
                    <w:t>项目与保护目标距离</w:t>
                  </w:r>
                </w:p>
              </w:tc>
              <w:tc>
                <w:tcPr>
                  <w:tcW w:w="1011" w:type="pct"/>
                  <w:tcBorders>
                    <w:tl2br w:val="nil"/>
                    <w:tr2bl w:val="nil"/>
                  </w:tcBorders>
                  <w:vAlign w:val="center"/>
                </w:tcPr>
                <w:p w14:paraId="7FABA5D7">
                  <w:pPr>
                    <w:pStyle w:val="42"/>
                    <w:bidi w:val="0"/>
                    <w:rPr>
                      <w:rFonts w:hint="default" w:ascii="Times New Roman" w:hAnsi="Times New Roman" w:cs="Times New Roman"/>
                      <w:color w:val="auto"/>
                    </w:rPr>
                  </w:pPr>
                  <w:r>
                    <w:rPr>
                      <w:rFonts w:hint="default" w:ascii="Times New Roman" w:hAnsi="Times New Roman" w:cs="Times New Roman"/>
                      <w:color w:val="auto"/>
                    </w:rPr>
                    <w:t>环境标准</w:t>
                  </w:r>
                </w:p>
              </w:tc>
            </w:tr>
            <w:tr w14:paraId="2CAF5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653" w:type="pct"/>
                  <w:tcBorders>
                    <w:tl2br w:val="nil"/>
                    <w:tr2bl w:val="nil"/>
                  </w:tcBorders>
                  <w:vAlign w:val="center"/>
                </w:tcPr>
                <w:p w14:paraId="5D1ADEE2">
                  <w:pPr>
                    <w:pStyle w:val="42"/>
                    <w:bidi w:val="0"/>
                    <w:rPr>
                      <w:rFonts w:hint="default" w:ascii="Times New Roman" w:hAnsi="Times New Roman" w:cs="Times New Roman"/>
                      <w:color w:val="auto"/>
                    </w:rPr>
                  </w:pPr>
                  <w:r>
                    <w:rPr>
                      <w:rFonts w:hint="default" w:ascii="Times New Roman" w:hAnsi="Times New Roman" w:cs="Times New Roman"/>
                      <w:color w:val="auto"/>
                    </w:rPr>
                    <w:t>生态</w:t>
                  </w:r>
                </w:p>
              </w:tc>
              <w:tc>
                <w:tcPr>
                  <w:tcW w:w="1363" w:type="pct"/>
                  <w:tcBorders>
                    <w:tl2br w:val="nil"/>
                    <w:tr2bl w:val="nil"/>
                  </w:tcBorders>
                  <w:vAlign w:val="center"/>
                </w:tcPr>
                <w:p w14:paraId="447DA85D">
                  <w:pPr>
                    <w:pStyle w:val="42"/>
                    <w:bidi w:val="0"/>
                    <w:rPr>
                      <w:rFonts w:hint="default" w:ascii="Times New Roman" w:hAnsi="Times New Roman" w:cs="Times New Roman"/>
                      <w:color w:val="auto"/>
                    </w:rPr>
                  </w:pPr>
                  <w:r>
                    <w:rPr>
                      <w:rFonts w:hint="default" w:ascii="Times New Roman" w:hAnsi="Times New Roman" w:cs="Times New Roman"/>
                      <w:color w:val="auto"/>
                    </w:rPr>
                    <w:t>水土流失、植被、动物</w:t>
                  </w:r>
                </w:p>
              </w:tc>
              <w:tc>
                <w:tcPr>
                  <w:tcW w:w="2982" w:type="pct"/>
                  <w:gridSpan w:val="3"/>
                  <w:tcBorders>
                    <w:tl2br w:val="nil"/>
                    <w:tr2bl w:val="nil"/>
                  </w:tcBorders>
                  <w:vAlign w:val="center"/>
                </w:tcPr>
                <w:p w14:paraId="0316F0BC">
                  <w:pPr>
                    <w:pStyle w:val="42"/>
                    <w:bidi w:val="0"/>
                    <w:rPr>
                      <w:rFonts w:hint="default" w:ascii="Times New Roman" w:hAnsi="Times New Roman" w:cs="Times New Roman"/>
                      <w:color w:val="auto"/>
                    </w:rPr>
                  </w:pPr>
                  <w:r>
                    <w:rPr>
                      <w:rFonts w:hint="default" w:ascii="Times New Roman" w:hAnsi="Times New Roman" w:cs="Times New Roman"/>
                      <w:color w:val="auto"/>
                      <w:lang w:val="en-US" w:eastAsia="zh-CN"/>
                    </w:rPr>
                    <w:t>项目</w:t>
                  </w:r>
                  <w:r>
                    <w:rPr>
                      <w:rFonts w:hint="default" w:ascii="Times New Roman" w:hAnsi="Times New Roman" w:cs="Times New Roman"/>
                      <w:color w:val="auto"/>
                    </w:rPr>
                    <w:t>区域的动植物种类、生物多样性等。</w:t>
                  </w:r>
                </w:p>
              </w:tc>
            </w:tr>
          </w:tbl>
          <w:p w14:paraId="414CBF3D">
            <w:pPr>
              <w:pStyle w:val="37"/>
              <w:rPr>
                <w:rFonts w:hint="default" w:ascii="Times New Roman" w:hAnsi="Times New Roman" w:cs="Times New Roman"/>
                <w:color w:val="auto"/>
                <w:sz w:val="24"/>
                <w:szCs w:val="24"/>
                <w:lang w:val="en-US" w:eastAsia="zh-CN"/>
              </w:rPr>
            </w:pPr>
          </w:p>
        </w:tc>
      </w:tr>
      <w:tr w14:paraId="015AD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56" w:type="dxa"/>
            <w:tcMar>
              <w:left w:w="28" w:type="dxa"/>
              <w:right w:w="28" w:type="dxa"/>
            </w:tcMar>
            <w:vAlign w:val="center"/>
          </w:tcPr>
          <w:p w14:paraId="60F9787A">
            <w:pPr>
              <w:pStyle w:val="40"/>
              <w:rPr>
                <w:rFonts w:hint="default" w:ascii="Times New Roman" w:hAnsi="Times New Roman" w:cs="Times New Roman"/>
                <w:color w:val="auto"/>
              </w:rPr>
            </w:pPr>
            <w:r>
              <w:rPr>
                <w:rFonts w:hint="default" w:ascii="Times New Roman" w:hAnsi="Times New Roman" w:cs="Times New Roman"/>
                <w:color w:val="auto"/>
              </w:rPr>
              <w:t>污染物排放控制标准</w:t>
            </w:r>
          </w:p>
        </w:tc>
        <w:tc>
          <w:tcPr>
            <w:tcW w:w="9415" w:type="dxa"/>
            <w:vAlign w:val="top"/>
          </w:tcPr>
          <w:p w14:paraId="3F74A712">
            <w:pPr>
              <w:pStyle w:val="37"/>
              <w:bidi w:val="0"/>
              <w:rPr>
                <w:rFonts w:hint="default" w:ascii="Times New Roman" w:hAnsi="Times New Roman" w:cs="Times New Roman"/>
                <w:b/>
                <w:bCs/>
                <w:color w:val="auto"/>
                <w:sz w:val="24"/>
                <w:szCs w:val="24"/>
              </w:rPr>
            </w:pPr>
            <w:bookmarkStart w:id="12" w:name="_Toc27639260"/>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施工期污染物排放控制标准</w:t>
            </w:r>
          </w:p>
          <w:p w14:paraId="594AD9A9">
            <w:pPr>
              <w:pStyle w:val="38"/>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rPr>
            </w:pPr>
            <w:r>
              <w:rPr>
                <w:rFonts w:hint="default" w:ascii="Times New Roman" w:hAnsi="Times New Roman" w:cs="Times New Roman"/>
                <w:color w:val="auto"/>
              </w:rPr>
              <w:t>（1）废水</w:t>
            </w:r>
          </w:p>
          <w:p w14:paraId="6B20B1F7">
            <w:pPr>
              <w:pStyle w:val="38"/>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val="0"/>
                <w:bCs/>
                <w:caps w:val="0"/>
                <w:color w:val="auto"/>
                <w:spacing w:val="0"/>
                <w:sz w:val="24"/>
                <w:szCs w:val="24"/>
                <w:highlight w:val="none"/>
                <w:lang w:val="en-US" w:eastAsia="zh-CN"/>
              </w:rPr>
            </w:pPr>
            <w:r>
              <w:rPr>
                <w:rFonts w:hint="default" w:ascii="Times New Roman" w:hAnsi="Times New Roman" w:eastAsia="宋体" w:cs="Times New Roman"/>
                <w:b w:val="0"/>
                <w:bCs/>
                <w:caps w:val="0"/>
                <w:color w:val="auto"/>
                <w:spacing w:val="0"/>
                <w:sz w:val="24"/>
                <w:szCs w:val="24"/>
                <w:highlight w:val="none"/>
                <w:lang w:val="en-US" w:eastAsia="zh-CN"/>
              </w:rPr>
              <w:t>本项目施工期生活废水排入原</w:t>
            </w:r>
            <w:r>
              <w:rPr>
                <w:rFonts w:hint="default" w:ascii="Times New Roman" w:hAnsi="Times New Roman" w:cs="Times New Roman"/>
                <w:b w:val="0"/>
                <w:bCs/>
                <w:caps w:val="0"/>
                <w:color w:val="auto"/>
                <w:spacing w:val="0"/>
                <w:sz w:val="24"/>
                <w:szCs w:val="24"/>
                <w:highlight w:val="none"/>
                <w:lang w:val="en-US" w:eastAsia="zh-CN"/>
              </w:rPr>
              <w:t>法果红砖厂</w:t>
            </w:r>
            <w:r>
              <w:rPr>
                <w:rFonts w:hint="default" w:ascii="Times New Roman" w:hAnsi="Times New Roman" w:eastAsia="宋体" w:cs="Times New Roman"/>
                <w:b w:val="0"/>
                <w:bCs/>
                <w:caps w:val="0"/>
                <w:color w:val="auto"/>
                <w:spacing w:val="0"/>
                <w:sz w:val="24"/>
                <w:szCs w:val="24"/>
                <w:highlight w:val="none"/>
                <w:lang w:val="en-US" w:eastAsia="zh-CN"/>
              </w:rPr>
              <w:t>修建的化粪池，</w:t>
            </w:r>
            <w:r>
              <w:rPr>
                <w:rFonts w:hint="default" w:ascii="Times New Roman" w:hAnsi="Times New Roman" w:cs="Times New Roman"/>
                <w:b w:val="0"/>
                <w:bCs/>
                <w:caps w:val="0"/>
                <w:color w:val="auto"/>
                <w:spacing w:val="0"/>
                <w:sz w:val="24"/>
                <w:szCs w:val="24"/>
                <w:highlight w:val="none"/>
                <w:lang w:val="en-US" w:eastAsia="zh-CN"/>
              </w:rPr>
              <w:t>定期使用吸粪车清</w:t>
            </w:r>
            <w:r>
              <w:rPr>
                <w:rFonts w:hint="eastAsia" w:cs="Times New Roman"/>
                <w:b w:val="0"/>
                <w:bCs/>
                <w:caps w:val="0"/>
                <w:color w:val="auto"/>
                <w:spacing w:val="0"/>
                <w:sz w:val="24"/>
                <w:szCs w:val="24"/>
                <w:highlight w:val="none"/>
                <w:lang w:val="en-US" w:eastAsia="zh-CN"/>
              </w:rPr>
              <w:t>运至华宁县污水处理厂处理</w:t>
            </w:r>
            <w:r>
              <w:rPr>
                <w:rFonts w:hint="default" w:ascii="Times New Roman" w:hAnsi="Times New Roman" w:cs="Times New Roman"/>
                <w:b w:val="0"/>
                <w:bCs/>
                <w:caps w:val="0"/>
                <w:color w:val="auto"/>
                <w:spacing w:val="0"/>
                <w:sz w:val="24"/>
                <w:szCs w:val="24"/>
                <w:highlight w:val="none"/>
                <w:lang w:val="en-US" w:eastAsia="zh-CN"/>
              </w:rPr>
              <w:t>。</w:t>
            </w:r>
          </w:p>
          <w:p w14:paraId="066718EC">
            <w:pPr>
              <w:pStyle w:val="38"/>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rPr>
            </w:pPr>
            <w:r>
              <w:rPr>
                <w:rFonts w:hint="default" w:ascii="Times New Roman" w:hAnsi="Times New Roman" w:cs="Times New Roman"/>
                <w:color w:val="auto"/>
              </w:rPr>
              <w:t>（2）废气</w:t>
            </w:r>
          </w:p>
          <w:p w14:paraId="727B2816">
            <w:pPr>
              <w:pStyle w:val="4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施工期粉尘排放执行《大气污染物综合排放标准》（GB16297-1996）表2中颗粒物无组织排放监控浓度限值。标准值见下表。</w:t>
            </w:r>
          </w:p>
          <w:p w14:paraId="0CBD21F4">
            <w:pPr>
              <w:pStyle w:val="4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w:t>
            </w:r>
            <w:r>
              <w:rPr>
                <w:rFonts w:hint="default" w:ascii="Times New Roman" w:hAnsi="Times New Roman" w:eastAsia="宋体" w:cs="Times New Roman"/>
                <w:color w:val="auto"/>
                <w:sz w:val="21"/>
                <w:szCs w:val="21"/>
                <w:lang w:val="en-US" w:eastAsia="zh-CN"/>
              </w:rPr>
              <w:t>1</w:t>
            </w:r>
            <w:r>
              <w:rPr>
                <w:rFonts w:hint="eastAsia" w:eastAsia="宋体" w:cs="Times New Roman"/>
                <w:color w:val="auto"/>
                <w:sz w:val="21"/>
                <w:szCs w:val="21"/>
                <w:lang w:val="en-US" w:eastAsia="zh-CN"/>
              </w:rPr>
              <w:t>0</w:t>
            </w:r>
            <w:r>
              <w:rPr>
                <w:rFonts w:hint="default" w:ascii="Times New Roman" w:hAnsi="Times New Roman" w:eastAsia="宋体" w:cs="Times New Roman"/>
                <w:color w:val="auto"/>
                <w:sz w:val="21"/>
                <w:szCs w:val="21"/>
              </w:rPr>
              <w:t>《大气污染物综合排放标准》（GB16297-1996）</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2555"/>
              <w:gridCol w:w="2749"/>
              <w:gridCol w:w="3922"/>
            </w:tblGrid>
            <w:tr w14:paraId="14FE5647">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0" w:hRule="atLeast"/>
                <w:jc w:val="center"/>
              </w:trPr>
              <w:tc>
                <w:tcPr>
                  <w:tcW w:w="2204" w:type="dxa"/>
                  <w:vMerge w:val="restart"/>
                  <w:tcBorders>
                    <w:tl2br w:val="nil"/>
                    <w:tr2bl w:val="nil"/>
                  </w:tcBorders>
                  <w:noWrap w:val="0"/>
                  <w:vAlign w:val="center"/>
                </w:tcPr>
                <w:p w14:paraId="494371B9">
                  <w:pPr>
                    <w:pStyle w:val="8"/>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5756" w:type="dxa"/>
                  <w:gridSpan w:val="2"/>
                  <w:tcBorders>
                    <w:tl2br w:val="nil"/>
                    <w:tr2bl w:val="nil"/>
                  </w:tcBorders>
                  <w:noWrap w:val="0"/>
                  <w:vAlign w:val="center"/>
                </w:tcPr>
                <w:p w14:paraId="7937C22C">
                  <w:pPr>
                    <w:pStyle w:val="8"/>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无组织排放监控浓度限值</w:t>
                  </w:r>
                </w:p>
              </w:tc>
            </w:tr>
            <w:tr w14:paraId="26DDF52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210" w:hRule="atLeast"/>
                <w:jc w:val="center"/>
              </w:trPr>
              <w:tc>
                <w:tcPr>
                  <w:tcW w:w="2213" w:type="dxa"/>
                  <w:vMerge w:val="continue"/>
                  <w:tcBorders>
                    <w:tl2br w:val="nil"/>
                    <w:tr2bl w:val="nil"/>
                  </w:tcBorders>
                  <w:noWrap w:val="0"/>
                  <w:vAlign w:val="center"/>
                </w:tcPr>
                <w:p w14:paraId="05D91F9A">
                  <w:pPr>
                    <w:rPr>
                      <w:rFonts w:hint="default" w:ascii="Times New Roman" w:hAnsi="Times New Roman" w:eastAsia="宋体" w:cs="Times New Roman"/>
                      <w:color w:val="auto"/>
                      <w:sz w:val="21"/>
                      <w:szCs w:val="21"/>
                    </w:rPr>
                  </w:pPr>
                </w:p>
              </w:tc>
              <w:tc>
                <w:tcPr>
                  <w:tcW w:w="2372" w:type="dxa"/>
                  <w:tcBorders>
                    <w:tl2br w:val="nil"/>
                    <w:tr2bl w:val="nil"/>
                  </w:tcBorders>
                  <w:noWrap w:val="0"/>
                  <w:vAlign w:val="center"/>
                </w:tcPr>
                <w:p w14:paraId="7254693D">
                  <w:pPr>
                    <w:pStyle w:val="8"/>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p>
              </w:tc>
              <w:tc>
                <w:tcPr>
                  <w:tcW w:w="3384" w:type="dxa"/>
                  <w:tcBorders>
                    <w:tl2br w:val="nil"/>
                    <w:tr2bl w:val="nil"/>
                  </w:tcBorders>
                  <w:noWrap w:val="0"/>
                  <w:vAlign w:val="center"/>
                </w:tcPr>
                <w:p w14:paraId="3276E0C0">
                  <w:pPr>
                    <w:pStyle w:val="8"/>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r>
            <w:tr w14:paraId="109824DB">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0" w:hRule="atLeast"/>
                <w:jc w:val="center"/>
              </w:trPr>
              <w:tc>
                <w:tcPr>
                  <w:tcW w:w="2204" w:type="dxa"/>
                  <w:tcBorders>
                    <w:tl2br w:val="nil"/>
                    <w:tr2bl w:val="nil"/>
                  </w:tcBorders>
                  <w:noWrap w:val="0"/>
                  <w:vAlign w:val="center"/>
                </w:tcPr>
                <w:p w14:paraId="69650B1A">
                  <w:pPr>
                    <w:pStyle w:val="8"/>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372" w:type="dxa"/>
                  <w:tcBorders>
                    <w:tl2br w:val="nil"/>
                    <w:tr2bl w:val="nil"/>
                  </w:tcBorders>
                  <w:noWrap w:val="0"/>
                  <w:vAlign w:val="center"/>
                </w:tcPr>
                <w:p w14:paraId="501E2339">
                  <w:pPr>
                    <w:pStyle w:val="8"/>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周界外浓度最高点</w:t>
                  </w:r>
                </w:p>
              </w:tc>
              <w:tc>
                <w:tcPr>
                  <w:tcW w:w="3384" w:type="dxa"/>
                  <w:tcBorders>
                    <w:tl2br w:val="nil"/>
                    <w:tr2bl w:val="nil"/>
                  </w:tcBorders>
                  <w:noWrap w:val="0"/>
                  <w:vAlign w:val="center"/>
                </w:tcPr>
                <w:p w14:paraId="6C88F0AA">
                  <w:pPr>
                    <w:pStyle w:val="8"/>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1.0mg/m</w:t>
                  </w:r>
                  <w:r>
                    <w:rPr>
                      <w:rFonts w:hint="default" w:ascii="Times New Roman" w:hAnsi="Times New Roman" w:eastAsia="宋体" w:cs="Times New Roman"/>
                      <w:color w:val="auto"/>
                      <w:sz w:val="21"/>
                      <w:szCs w:val="21"/>
                      <w:vertAlign w:val="superscript"/>
                    </w:rPr>
                    <w:t>3</w:t>
                  </w:r>
                </w:p>
              </w:tc>
            </w:tr>
          </w:tbl>
          <w:p w14:paraId="6F3ED215">
            <w:pPr>
              <w:pStyle w:val="38"/>
              <w:ind w:left="0" w:leftChars="0" w:firstLine="482" w:firstLineChars="200"/>
              <w:rPr>
                <w:rFonts w:hint="default" w:ascii="Times New Roman" w:hAnsi="Times New Roman" w:cs="Times New Roman"/>
                <w:color w:val="auto"/>
              </w:rPr>
            </w:pPr>
            <w:r>
              <w:rPr>
                <w:rFonts w:hint="default" w:ascii="Times New Roman" w:hAnsi="Times New Roman" w:cs="Times New Roman"/>
                <w:color w:val="auto"/>
              </w:rPr>
              <w:t>（3）噪声</w:t>
            </w:r>
          </w:p>
          <w:p w14:paraId="3C87628C">
            <w:pPr>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根据《建筑施工噪声排放标准》（GB12523-20</w:t>
            </w:r>
            <w:r>
              <w:rPr>
                <w:rFonts w:hint="eastAsia" w:ascii="Times New Roman" w:hAnsi="Times New Roman" w:cs="Times New Roman"/>
                <w:color w:val="auto"/>
                <w:lang w:val="en-US" w:eastAsia="zh-CN"/>
              </w:rPr>
              <w:t>25</w:t>
            </w:r>
            <w:r>
              <w:rPr>
                <w:rFonts w:hint="default" w:ascii="Times New Roman" w:hAnsi="Times New Roman" w:cs="Times New Roman"/>
                <w:color w:val="auto"/>
                <w:lang w:val="en-US" w:eastAsia="zh-CN"/>
              </w:rPr>
              <w:t>），建筑施工场噪声标准如下表所示</w:t>
            </w:r>
          </w:p>
          <w:p w14:paraId="5FA4F3DD">
            <w:pPr>
              <w:pStyle w:val="35"/>
              <w:keepNext w:val="0"/>
              <w:keepLines w:val="0"/>
              <w:widowControl w:val="0"/>
              <w:suppressLineNumbers w:val="0"/>
              <w:bidi w:val="0"/>
              <w:spacing w:before="0" w:beforeAutospacing="0" w:after="0" w:afterAutospacing="0"/>
              <w:ind w:left="0" w:right="0"/>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表3-1</w:t>
            </w:r>
            <w:r>
              <w:rPr>
                <w:rFonts w:hint="eastAsia" w:cs="Times New Roman"/>
                <w:color w:val="auto"/>
                <w:szCs w:val="20"/>
                <w:lang w:val="en-US" w:eastAsia="zh-CN"/>
              </w:rPr>
              <w:t>1</w:t>
            </w:r>
            <w:r>
              <w:rPr>
                <w:rFonts w:hint="default" w:ascii="Times New Roman" w:hAnsi="Times New Roman" w:cs="Times New Roman"/>
                <w:color w:val="auto"/>
                <w:szCs w:val="20"/>
                <w:lang w:val="en-US" w:eastAsia="zh-CN"/>
              </w:rPr>
              <w:t>建筑施工</w:t>
            </w:r>
            <w:r>
              <w:rPr>
                <w:rFonts w:hint="eastAsia" w:cs="Times New Roman"/>
                <w:color w:val="auto"/>
                <w:szCs w:val="20"/>
                <w:lang w:val="en-US" w:eastAsia="zh-CN"/>
              </w:rPr>
              <w:t>场界</w:t>
            </w:r>
            <w:r>
              <w:rPr>
                <w:rFonts w:hint="default" w:ascii="Times New Roman" w:hAnsi="Times New Roman" w:cs="Times New Roman"/>
                <w:color w:val="auto"/>
                <w:szCs w:val="20"/>
                <w:lang w:val="en-US" w:eastAsia="zh-CN"/>
              </w:rPr>
              <w:t>噪声排放标准</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7"/>
              <w:gridCol w:w="4617"/>
            </w:tblGrid>
            <w:tr w14:paraId="52C8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FB29F30">
                  <w:pPr>
                    <w:pStyle w:val="42"/>
                    <w:keepNext w:val="0"/>
                    <w:keepLines w:val="0"/>
                    <w:suppressLineNumbers w:val="0"/>
                    <w:bidi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时段</w:t>
                  </w:r>
                </w:p>
              </w:tc>
              <w:tc>
                <w:tcPr>
                  <w:tcW w:w="2500" w:type="pct"/>
                  <w:noWrap w:val="0"/>
                  <w:vAlign w:val="top"/>
                </w:tcPr>
                <w:p w14:paraId="20EC5E09">
                  <w:pPr>
                    <w:pStyle w:val="42"/>
                    <w:keepNext w:val="0"/>
                    <w:keepLines w:val="0"/>
                    <w:suppressLineNumbers w:val="0"/>
                    <w:bidi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噪声限值（单位：dB（A））</w:t>
                  </w:r>
                </w:p>
              </w:tc>
            </w:tr>
            <w:tr w14:paraId="4E58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0C640EB">
                  <w:pPr>
                    <w:pStyle w:val="42"/>
                    <w:keepNext w:val="0"/>
                    <w:keepLines w:val="0"/>
                    <w:suppressLineNumbers w:val="0"/>
                    <w:bidi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昼间</w:t>
                  </w:r>
                </w:p>
              </w:tc>
              <w:tc>
                <w:tcPr>
                  <w:tcW w:w="2500" w:type="pct"/>
                  <w:noWrap w:val="0"/>
                  <w:vAlign w:val="top"/>
                </w:tcPr>
                <w:p w14:paraId="5B5EA671">
                  <w:pPr>
                    <w:pStyle w:val="42"/>
                    <w:keepNext w:val="0"/>
                    <w:keepLines w:val="0"/>
                    <w:suppressLineNumbers w:val="0"/>
                    <w:bidi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r>
            <w:tr w14:paraId="6326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F94D775">
                  <w:pPr>
                    <w:pStyle w:val="42"/>
                    <w:keepNext w:val="0"/>
                    <w:keepLines w:val="0"/>
                    <w:suppressLineNumbers w:val="0"/>
                    <w:bidi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夜间</w:t>
                  </w:r>
                </w:p>
              </w:tc>
              <w:tc>
                <w:tcPr>
                  <w:tcW w:w="2500" w:type="pct"/>
                  <w:noWrap w:val="0"/>
                  <w:vAlign w:val="top"/>
                </w:tcPr>
                <w:p w14:paraId="412CF8F4">
                  <w:pPr>
                    <w:pStyle w:val="42"/>
                    <w:keepNext w:val="0"/>
                    <w:keepLines w:val="0"/>
                    <w:suppressLineNumbers w:val="0"/>
                    <w:bidi w:val="0"/>
                    <w:spacing w:before="0" w:beforeAutospacing="0" w:after="0" w:afterAutospacing="0"/>
                    <w:ind w:left="0" w:right="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bl>
          <w:p w14:paraId="24192F9A">
            <w:pPr>
              <w:pStyle w:val="37"/>
              <w:numPr>
                <w:ilvl w:val="0"/>
                <w:numId w:val="0"/>
              </w:numPr>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color w:val="auto"/>
                <w:kern w:val="21"/>
                <w:sz w:val="24"/>
                <w:szCs w:val="24"/>
                <w:lang w:val="en-US" w:eastAsia="zh-CN" w:bidi="ar-SA"/>
              </w:rPr>
              <w:t>（4）</w:t>
            </w:r>
            <w:r>
              <w:rPr>
                <w:rFonts w:hint="default" w:ascii="Times New Roman" w:hAnsi="Times New Roman" w:cs="Times New Roman"/>
                <w:b/>
                <w:bCs/>
                <w:color w:val="auto"/>
                <w:sz w:val="24"/>
                <w:szCs w:val="24"/>
                <w:lang w:val="en-US" w:eastAsia="zh-CN"/>
              </w:rPr>
              <w:t>固体废物</w:t>
            </w:r>
          </w:p>
          <w:p w14:paraId="50AB0CAF">
            <w:pPr>
              <w:pStyle w:val="37"/>
              <w:numPr>
                <w:ilvl w:val="0"/>
                <w:numId w:val="0"/>
              </w:numPr>
              <w:ind w:firstLine="480" w:firstLineChars="200"/>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施工期固体废物主要是生活垃圾和建筑垃圾；生活垃圾集中收集，运送至</w:t>
            </w:r>
            <w:r>
              <w:rPr>
                <w:rFonts w:hint="eastAsia" w:cs="Times New Roman"/>
                <w:b w:val="0"/>
                <w:bCs/>
                <w:color w:val="auto"/>
                <w:sz w:val="24"/>
                <w:szCs w:val="24"/>
                <w:lang w:val="en-US" w:eastAsia="zh-CN"/>
              </w:rPr>
              <w:t>法果村</w:t>
            </w:r>
            <w:r>
              <w:rPr>
                <w:rFonts w:hint="default" w:ascii="Times New Roman" w:hAnsi="Times New Roman" w:cs="Times New Roman"/>
                <w:b w:val="0"/>
                <w:bCs/>
                <w:color w:val="auto"/>
                <w:sz w:val="24"/>
                <w:szCs w:val="24"/>
                <w:lang w:val="en-US" w:eastAsia="zh-CN"/>
              </w:rPr>
              <w:t>生活垃圾处置点处置</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建筑垃圾</w:t>
            </w:r>
            <w:r>
              <w:rPr>
                <w:rFonts w:hint="default" w:ascii="Times New Roman" w:hAnsi="Times New Roman" w:cs="Times New Roman"/>
                <w:color w:val="auto"/>
                <w:sz w:val="24"/>
                <w:szCs w:val="24"/>
              </w:rPr>
              <w:t>分类收集，可回收回收利用，剩余部分</w:t>
            </w:r>
            <w:r>
              <w:rPr>
                <w:rFonts w:hint="default" w:ascii="Times New Roman" w:hAnsi="Times New Roman" w:cs="Times New Roman"/>
                <w:color w:val="auto"/>
                <w:sz w:val="24"/>
                <w:szCs w:val="24"/>
                <w:lang w:val="en-US" w:eastAsia="zh-CN"/>
              </w:rPr>
              <w:t>清运至市政部门指定地点</w:t>
            </w:r>
            <w:r>
              <w:rPr>
                <w:rFonts w:hint="eastAsia" w:cs="Times New Roman"/>
                <w:color w:val="auto"/>
                <w:sz w:val="24"/>
                <w:szCs w:val="24"/>
                <w:lang w:val="en-US" w:eastAsia="zh-CN"/>
              </w:rPr>
              <w:t>处置</w:t>
            </w:r>
            <w:r>
              <w:rPr>
                <w:rFonts w:hint="default" w:ascii="Times New Roman" w:hAnsi="Times New Roman" w:cs="Times New Roman"/>
                <w:b w:val="0"/>
                <w:bCs/>
                <w:color w:val="auto"/>
                <w:sz w:val="24"/>
                <w:szCs w:val="24"/>
                <w:lang w:val="en-US" w:eastAsia="zh-CN"/>
              </w:rPr>
              <w:t>。</w:t>
            </w:r>
          </w:p>
          <w:p w14:paraId="5ECB484D">
            <w:pPr>
              <w:pStyle w:val="37"/>
              <w:numPr>
                <w:ilvl w:val="0"/>
                <w:numId w:val="0"/>
              </w:numPr>
              <w:ind w:firstLine="0" w:firstLineChars="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运营期污染物排放控制标准</w:t>
            </w:r>
          </w:p>
          <w:p w14:paraId="05646AED">
            <w:pPr>
              <w:pStyle w:val="38"/>
              <w:numPr>
                <w:ilvl w:val="0"/>
                <w:numId w:val="0"/>
              </w:numPr>
              <w:ind w:firstLine="482" w:firstLineChars="200"/>
              <w:rPr>
                <w:rFonts w:hint="default" w:ascii="Times New Roman" w:hAnsi="Times New Roman" w:cs="Times New Roman"/>
                <w:color w:val="auto"/>
              </w:rPr>
            </w:pPr>
            <w:r>
              <w:rPr>
                <w:rFonts w:hint="default" w:ascii="Times New Roman" w:hAnsi="Times New Roman" w:eastAsia="宋体" w:cs="Times New Roman"/>
                <w:b/>
                <w:color w:val="auto"/>
                <w:kern w:val="21"/>
                <w:sz w:val="24"/>
                <w:szCs w:val="24"/>
                <w:lang w:val="en-US" w:eastAsia="zh-CN" w:bidi="ar-SA"/>
              </w:rPr>
              <w:t>（1）</w:t>
            </w:r>
            <w:r>
              <w:rPr>
                <w:rFonts w:hint="default" w:ascii="Times New Roman" w:hAnsi="Times New Roman" w:cs="Times New Roman"/>
                <w:color w:val="auto"/>
              </w:rPr>
              <w:t>废水排放</w:t>
            </w:r>
            <w:bookmarkEnd w:id="12"/>
          </w:p>
          <w:p w14:paraId="5CDD4BC5">
            <w:pPr>
              <w:keepNext/>
              <w:keepLines/>
              <w:ind w:firstLine="482"/>
              <w:outlineLvl w:val="1"/>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①生活污水</w:t>
            </w:r>
          </w:p>
          <w:p w14:paraId="6A03764B">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1"/>
                <w:sz w:val="24"/>
                <w:szCs w:val="24"/>
                <w:lang w:val="en-US" w:eastAsia="zh-CN"/>
              </w:rPr>
            </w:pPr>
            <w:bookmarkStart w:id="13" w:name="_Toc22247"/>
            <w:bookmarkStart w:id="14" w:name="_Toc8740"/>
            <w:bookmarkStart w:id="15" w:name="_Toc66283185"/>
            <w:bookmarkStart w:id="16" w:name="_Toc27639261"/>
            <w:r>
              <w:rPr>
                <w:rFonts w:hint="default" w:ascii="Times New Roman" w:hAnsi="Times New Roman" w:cs="Times New Roman"/>
                <w:color w:val="auto"/>
                <w:lang w:val="en-US" w:eastAsia="zh-CN"/>
              </w:rPr>
              <w:t>新建一个隔油池（1m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），食堂废水排入隔油池处理后，排入化粪池中，其他生活污水直接排入原法果红砖厂化粪池中（3.0m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），定期使用吸粪车清运至华宁县污水处理厂处理。</w:t>
            </w:r>
            <w:r>
              <w:rPr>
                <w:rFonts w:hint="eastAsia" w:cs="Times New Roman"/>
                <w:color w:val="auto"/>
                <w:lang w:val="en-US" w:eastAsia="zh-CN"/>
              </w:rPr>
              <w:t>生活污水</w:t>
            </w:r>
            <w:r>
              <w:rPr>
                <w:rFonts w:hint="eastAsia" w:ascii="Times New Roman" w:hAnsi="Times New Roman" w:eastAsia="宋体" w:cs="Times New Roman"/>
                <w:b w:val="0"/>
                <w:bCs w:val="0"/>
                <w:color w:val="auto"/>
                <w:kern w:val="21"/>
                <w:sz w:val="24"/>
                <w:szCs w:val="24"/>
                <w:lang w:val="en-US" w:eastAsia="zh-CN"/>
              </w:rPr>
              <w:t xml:space="preserve">水质执行《污水排入城镇下水道水质标准》（GB/T 31962-2015）中 </w:t>
            </w:r>
            <w:r>
              <w:rPr>
                <w:rFonts w:hint="eastAsia" w:ascii="Times New Roman" w:hAnsi="Times New Roman" w:cs="Times New Roman"/>
                <w:b w:val="0"/>
                <w:bCs w:val="0"/>
                <w:color w:val="auto"/>
                <w:kern w:val="21"/>
                <w:sz w:val="24"/>
                <w:szCs w:val="24"/>
                <w:lang w:val="en-US" w:eastAsia="zh-CN"/>
              </w:rPr>
              <w:t>B</w:t>
            </w:r>
            <w:r>
              <w:rPr>
                <w:rFonts w:hint="eastAsia" w:ascii="Times New Roman" w:hAnsi="Times New Roman" w:eastAsia="宋体" w:cs="Times New Roman"/>
                <w:b w:val="0"/>
                <w:bCs w:val="0"/>
                <w:color w:val="auto"/>
                <w:kern w:val="21"/>
                <w:sz w:val="24"/>
                <w:szCs w:val="24"/>
                <w:lang w:val="en-US" w:eastAsia="zh-CN"/>
              </w:rPr>
              <w:t xml:space="preserve"> 级标准及《污水综合排放标准》（GB8978-1996）中的三级标准。</w:t>
            </w:r>
          </w:p>
          <w:p w14:paraId="44BBB431">
            <w:pPr>
              <w:keepNext w:val="0"/>
              <w:keepLines w:val="0"/>
              <w:widowControl/>
              <w:suppressLineNumbers w:val="0"/>
              <w:jc w:val="center"/>
              <w:rPr>
                <w:rFonts w:hint="default" w:ascii="Times New Roman" w:hAnsi="Times New Roman" w:eastAsia="新宋体" w:cs="Times New Roman"/>
                <w:b w:val="0"/>
                <w:bCs w:val="0"/>
                <w:color w:val="auto"/>
                <w:kern w:val="0"/>
                <w:sz w:val="21"/>
                <w:szCs w:val="21"/>
                <w:lang w:val="en-US" w:eastAsia="zh-CN" w:bidi="ar"/>
              </w:rPr>
            </w:pPr>
            <w:r>
              <w:rPr>
                <w:rFonts w:hint="default" w:ascii="Times New Roman" w:hAnsi="Times New Roman" w:cs="Times New Roman"/>
                <w:b/>
                <w:bCs/>
                <w:color w:val="auto"/>
                <w:kern w:val="21"/>
                <w:sz w:val="21"/>
                <w:szCs w:val="21"/>
                <w:lang w:val="en-US" w:eastAsia="zh-CN"/>
              </w:rPr>
              <w:t>表3-</w:t>
            </w:r>
            <w:r>
              <w:rPr>
                <w:rFonts w:hint="eastAsia" w:ascii="Times New Roman" w:hAnsi="Times New Roman" w:cs="Times New Roman"/>
                <w:b/>
                <w:bCs/>
                <w:color w:val="auto"/>
                <w:kern w:val="21"/>
                <w:sz w:val="21"/>
                <w:szCs w:val="21"/>
                <w:lang w:val="en-US" w:eastAsia="zh-CN"/>
              </w:rPr>
              <w:t>1</w:t>
            </w:r>
            <w:r>
              <w:rPr>
                <w:rFonts w:hint="eastAsia" w:cs="Times New Roman"/>
                <w:b/>
                <w:bCs/>
                <w:color w:val="auto"/>
                <w:kern w:val="21"/>
                <w:sz w:val="21"/>
                <w:szCs w:val="21"/>
                <w:lang w:val="en-US" w:eastAsia="zh-CN"/>
              </w:rPr>
              <w:t>2</w:t>
            </w:r>
            <w:r>
              <w:rPr>
                <w:rFonts w:hint="eastAsia" w:ascii="Times New Roman" w:hAnsi="Times New Roman" w:eastAsia="新宋体" w:cs="Times New Roman"/>
                <w:b/>
                <w:bCs/>
                <w:color w:val="auto"/>
                <w:kern w:val="0"/>
                <w:sz w:val="21"/>
                <w:szCs w:val="21"/>
                <w:lang w:val="en-US" w:eastAsia="zh-CN" w:bidi="ar"/>
              </w:rPr>
              <w:t>生活污水间接排放执行标准</w:t>
            </w:r>
            <w:r>
              <w:rPr>
                <w:rFonts w:hint="default" w:ascii="Times New Roman" w:hAnsi="Times New Roman" w:eastAsia="新宋体" w:cs="Times New Roman"/>
                <w:b/>
                <w:bCs/>
                <w:color w:val="auto"/>
                <w:kern w:val="0"/>
                <w:sz w:val="21"/>
                <w:szCs w:val="21"/>
                <w:lang w:val="en-US" w:eastAsia="zh-CN" w:bidi="ar"/>
              </w:rPr>
              <w:t xml:space="preserve"> </w:t>
            </w:r>
            <w:r>
              <w:rPr>
                <w:rFonts w:hint="default" w:ascii="Times New Roman" w:hAnsi="Times New Roman" w:eastAsia="新宋体" w:cs="Times New Roman"/>
                <w:b w:val="0"/>
                <w:bCs w:val="0"/>
                <w:color w:val="auto"/>
                <w:kern w:val="0"/>
                <w:sz w:val="21"/>
                <w:szCs w:val="21"/>
                <w:lang w:val="en-US" w:eastAsia="zh-CN" w:bidi="ar"/>
              </w:rPr>
              <w:t>单位：pH 无量纲，其他单位 mg/L</w:t>
            </w:r>
          </w:p>
          <w:tbl>
            <w:tblPr>
              <w:tblStyle w:val="17"/>
              <w:tblW w:w="9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1094"/>
              <w:gridCol w:w="667"/>
              <w:gridCol w:w="872"/>
              <w:gridCol w:w="1020"/>
              <w:gridCol w:w="853"/>
              <w:gridCol w:w="1484"/>
              <w:gridCol w:w="1484"/>
            </w:tblGrid>
            <w:tr w14:paraId="6B9F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762" w:type="dxa"/>
                  <w:noWrap w:val="0"/>
                  <w:vAlign w:val="center"/>
                </w:tcPr>
                <w:p w14:paraId="48899D0B">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项目</w:t>
                  </w:r>
                </w:p>
              </w:tc>
              <w:tc>
                <w:tcPr>
                  <w:tcW w:w="1094" w:type="dxa"/>
                  <w:noWrap w:val="0"/>
                  <w:vAlign w:val="center"/>
                </w:tcPr>
                <w:p w14:paraId="4B18383B">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pH</w:t>
                  </w:r>
                </w:p>
              </w:tc>
              <w:tc>
                <w:tcPr>
                  <w:tcW w:w="667" w:type="dxa"/>
                  <w:noWrap w:val="0"/>
                  <w:vAlign w:val="center"/>
                </w:tcPr>
                <w:p w14:paraId="4A184AE9">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SS</w:t>
                  </w:r>
                </w:p>
              </w:tc>
              <w:tc>
                <w:tcPr>
                  <w:tcW w:w="872" w:type="dxa"/>
                  <w:noWrap w:val="0"/>
                  <w:vAlign w:val="center"/>
                </w:tcPr>
                <w:p w14:paraId="3A90042F">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COD</w:t>
                  </w:r>
                </w:p>
              </w:tc>
              <w:tc>
                <w:tcPr>
                  <w:tcW w:w="1020" w:type="dxa"/>
                  <w:noWrap w:val="0"/>
                  <w:vAlign w:val="center"/>
                </w:tcPr>
                <w:p w14:paraId="30FCD675">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BOD</w:t>
                  </w:r>
                  <w:r>
                    <w:rPr>
                      <w:rFonts w:hint="eastAsia" w:ascii="Times New Roman" w:hAnsi="Times New Roman" w:eastAsia="宋体" w:cs="Times New Roman"/>
                      <w:b w:val="0"/>
                      <w:bCs w:val="0"/>
                      <w:color w:val="auto"/>
                      <w:kern w:val="21"/>
                      <w:sz w:val="21"/>
                      <w:szCs w:val="21"/>
                      <w:vertAlign w:val="subscript"/>
                      <w:lang w:val="en-US" w:eastAsia="zh-CN"/>
                    </w:rPr>
                    <w:t>5</w:t>
                  </w:r>
                </w:p>
              </w:tc>
              <w:tc>
                <w:tcPr>
                  <w:tcW w:w="853" w:type="dxa"/>
                  <w:noWrap w:val="0"/>
                  <w:vAlign w:val="center"/>
                </w:tcPr>
                <w:p w14:paraId="24B07365">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氨氮</w:t>
                  </w:r>
                </w:p>
              </w:tc>
              <w:tc>
                <w:tcPr>
                  <w:tcW w:w="1484" w:type="dxa"/>
                  <w:noWrap w:val="0"/>
                  <w:vAlign w:val="center"/>
                </w:tcPr>
                <w:p w14:paraId="1B77DA7A">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动植物油</w:t>
                  </w:r>
                </w:p>
              </w:tc>
              <w:tc>
                <w:tcPr>
                  <w:tcW w:w="1484" w:type="dxa"/>
                  <w:noWrap w:val="0"/>
                  <w:vAlign w:val="center"/>
                </w:tcPr>
                <w:p w14:paraId="634D69B3">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阴离子表面活性剂</w:t>
                  </w:r>
                </w:p>
              </w:tc>
            </w:tr>
            <w:tr w14:paraId="5346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762" w:type="dxa"/>
                  <w:noWrap w:val="0"/>
                  <w:vAlign w:val="center"/>
                </w:tcPr>
                <w:p w14:paraId="5DDF1E2F">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GB/T 31962-2015</w:t>
                  </w:r>
                  <w:r>
                    <w:rPr>
                      <w:rFonts w:hint="eastAsia" w:ascii="Times New Roman" w:hAnsi="Times New Roman" w:cs="Times New Roman"/>
                      <w:b w:val="0"/>
                      <w:bCs w:val="0"/>
                      <w:color w:val="auto"/>
                      <w:kern w:val="21"/>
                      <w:sz w:val="21"/>
                      <w:szCs w:val="21"/>
                      <w:vertAlign w:val="baseline"/>
                      <w:lang w:val="en-US" w:eastAsia="zh-CN"/>
                    </w:rPr>
                    <w:t xml:space="preserve"> B</w:t>
                  </w:r>
                  <w:r>
                    <w:rPr>
                      <w:rFonts w:hint="eastAsia" w:ascii="Times New Roman" w:hAnsi="Times New Roman" w:eastAsia="宋体" w:cs="Times New Roman"/>
                      <w:b w:val="0"/>
                      <w:bCs w:val="0"/>
                      <w:color w:val="auto"/>
                      <w:kern w:val="21"/>
                      <w:sz w:val="21"/>
                      <w:szCs w:val="21"/>
                      <w:vertAlign w:val="baseline"/>
                      <w:lang w:val="en-US" w:eastAsia="zh-CN"/>
                    </w:rPr>
                    <w:t>级限值</w:t>
                  </w:r>
                </w:p>
              </w:tc>
              <w:tc>
                <w:tcPr>
                  <w:tcW w:w="1094" w:type="dxa"/>
                  <w:noWrap w:val="0"/>
                  <w:vAlign w:val="center"/>
                </w:tcPr>
                <w:p w14:paraId="000E3BF7">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6.5~9.5</w:t>
                  </w:r>
                </w:p>
              </w:tc>
              <w:tc>
                <w:tcPr>
                  <w:tcW w:w="667" w:type="dxa"/>
                  <w:noWrap w:val="0"/>
                  <w:vAlign w:val="center"/>
                </w:tcPr>
                <w:p w14:paraId="20F50964">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400</w:t>
                  </w:r>
                </w:p>
              </w:tc>
              <w:tc>
                <w:tcPr>
                  <w:tcW w:w="872" w:type="dxa"/>
                  <w:noWrap w:val="0"/>
                  <w:vAlign w:val="center"/>
                </w:tcPr>
                <w:p w14:paraId="0D04048B">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500</w:t>
                  </w:r>
                </w:p>
              </w:tc>
              <w:tc>
                <w:tcPr>
                  <w:tcW w:w="1020" w:type="dxa"/>
                  <w:noWrap w:val="0"/>
                  <w:vAlign w:val="center"/>
                </w:tcPr>
                <w:p w14:paraId="1BFE76B9">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350</w:t>
                  </w:r>
                </w:p>
              </w:tc>
              <w:tc>
                <w:tcPr>
                  <w:tcW w:w="853" w:type="dxa"/>
                  <w:noWrap w:val="0"/>
                  <w:vAlign w:val="center"/>
                </w:tcPr>
                <w:p w14:paraId="4F26CDF1">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45</w:t>
                  </w:r>
                </w:p>
              </w:tc>
              <w:tc>
                <w:tcPr>
                  <w:tcW w:w="1484" w:type="dxa"/>
                  <w:noWrap w:val="0"/>
                  <w:vAlign w:val="center"/>
                </w:tcPr>
                <w:p w14:paraId="6744E50C">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100</w:t>
                  </w:r>
                </w:p>
              </w:tc>
              <w:tc>
                <w:tcPr>
                  <w:tcW w:w="1484" w:type="dxa"/>
                  <w:noWrap w:val="0"/>
                  <w:vAlign w:val="center"/>
                </w:tcPr>
                <w:p w14:paraId="437E0208">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20</w:t>
                  </w:r>
                </w:p>
              </w:tc>
            </w:tr>
            <w:tr w14:paraId="66FD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762" w:type="dxa"/>
                  <w:noWrap w:val="0"/>
                  <w:vAlign w:val="center"/>
                </w:tcPr>
                <w:p w14:paraId="0F8A846B">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GB8978-1996</w:t>
                  </w:r>
                </w:p>
                <w:p w14:paraId="2544E48F">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三级标准</w:t>
                  </w:r>
                </w:p>
              </w:tc>
              <w:tc>
                <w:tcPr>
                  <w:tcW w:w="1094" w:type="dxa"/>
                  <w:noWrap w:val="0"/>
                  <w:vAlign w:val="center"/>
                </w:tcPr>
                <w:p w14:paraId="32ADE0B0">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6~9</w:t>
                  </w:r>
                </w:p>
              </w:tc>
              <w:tc>
                <w:tcPr>
                  <w:tcW w:w="667" w:type="dxa"/>
                  <w:noWrap w:val="0"/>
                  <w:vAlign w:val="center"/>
                </w:tcPr>
                <w:p w14:paraId="1AF3D37F">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400</w:t>
                  </w:r>
                </w:p>
              </w:tc>
              <w:tc>
                <w:tcPr>
                  <w:tcW w:w="872" w:type="dxa"/>
                  <w:noWrap w:val="0"/>
                  <w:vAlign w:val="center"/>
                </w:tcPr>
                <w:p w14:paraId="0FE79D4F">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500</w:t>
                  </w:r>
                </w:p>
              </w:tc>
              <w:tc>
                <w:tcPr>
                  <w:tcW w:w="1020" w:type="dxa"/>
                  <w:noWrap w:val="0"/>
                  <w:vAlign w:val="center"/>
                </w:tcPr>
                <w:p w14:paraId="36B349DE">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300</w:t>
                  </w:r>
                </w:p>
              </w:tc>
              <w:tc>
                <w:tcPr>
                  <w:tcW w:w="853" w:type="dxa"/>
                  <w:noWrap w:val="0"/>
                  <w:vAlign w:val="center"/>
                </w:tcPr>
                <w:p w14:paraId="64FA312D">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w:t>
                  </w:r>
                </w:p>
              </w:tc>
              <w:tc>
                <w:tcPr>
                  <w:tcW w:w="1484" w:type="dxa"/>
                  <w:noWrap w:val="0"/>
                  <w:vAlign w:val="center"/>
                </w:tcPr>
                <w:p w14:paraId="133CB84F">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100</w:t>
                  </w:r>
                </w:p>
              </w:tc>
              <w:tc>
                <w:tcPr>
                  <w:tcW w:w="1484" w:type="dxa"/>
                  <w:noWrap w:val="0"/>
                  <w:vAlign w:val="center"/>
                </w:tcPr>
                <w:p w14:paraId="3469A813">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20</w:t>
                  </w:r>
                </w:p>
              </w:tc>
            </w:tr>
            <w:tr w14:paraId="1500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62" w:type="dxa"/>
                  <w:noWrap w:val="0"/>
                  <w:vAlign w:val="center"/>
                </w:tcPr>
                <w:p w14:paraId="628C6C7D">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本项目执行标准</w:t>
                  </w:r>
                </w:p>
              </w:tc>
              <w:tc>
                <w:tcPr>
                  <w:tcW w:w="1094" w:type="dxa"/>
                  <w:noWrap w:val="0"/>
                  <w:vAlign w:val="center"/>
                </w:tcPr>
                <w:p w14:paraId="5F1919F4">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6~9</w:t>
                  </w:r>
                </w:p>
              </w:tc>
              <w:tc>
                <w:tcPr>
                  <w:tcW w:w="667" w:type="dxa"/>
                  <w:noWrap w:val="0"/>
                  <w:vAlign w:val="center"/>
                </w:tcPr>
                <w:p w14:paraId="0EED8A39">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eastAsia" w:ascii="Times New Roman" w:hAnsi="Times New Roman" w:eastAsia="宋体" w:cs="Times New Roman"/>
                      <w:b w:val="0"/>
                      <w:bCs w:val="0"/>
                      <w:color w:val="auto"/>
                      <w:kern w:val="21"/>
                      <w:sz w:val="21"/>
                      <w:szCs w:val="21"/>
                      <w:vertAlign w:val="baseline"/>
                      <w:lang w:val="en-US" w:eastAsia="zh-CN"/>
                    </w:rPr>
                    <w:t>400</w:t>
                  </w:r>
                </w:p>
              </w:tc>
              <w:tc>
                <w:tcPr>
                  <w:tcW w:w="872" w:type="dxa"/>
                  <w:noWrap w:val="0"/>
                  <w:vAlign w:val="center"/>
                </w:tcPr>
                <w:p w14:paraId="006FBD80">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eastAsia" w:ascii="Times New Roman" w:hAnsi="Times New Roman" w:eastAsia="宋体" w:cs="Times New Roman"/>
                      <w:b w:val="0"/>
                      <w:bCs w:val="0"/>
                      <w:color w:val="auto"/>
                      <w:kern w:val="21"/>
                      <w:sz w:val="21"/>
                      <w:szCs w:val="21"/>
                      <w:vertAlign w:val="baseline"/>
                      <w:lang w:val="en-US" w:eastAsia="zh-CN"/>
                    </w:rPr>
                    <w:t>500</w:t>
                  </w:r>
                </w:p>
              </w:tc>
              <w:tc>
                <w:tcPr>
                  <w:tcW w:w="1020" w:type="dxa"/>
                  <w:noWrap w:val="0"/>
                  <w:vAlign w:val="center"/>
                </w:tcPr>
                <w:p w14:paraId="1B3B6A61">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eastAsia" w:ascii="Times New Roman" w:hAnsi="Times New Roman" w:eastAsia="宋体" w:cs="Times New Roman"/>
                      <w:b w:val="0"/>
                      <w:bCs w:val="0"/>
                      <w:color w:val="auto"/>
                      <w:kern w:val="21"/>
                      <w:sz w:val="21"/>
                      <w:szCs w:val="21"/>
                      <w:vertAlign w:val="baseline"/>
                      <w:lang w:val="en-US" w:eastAsia="zh-CN"/>
                    </w:rPr>
                    <w:t>300</w:t>
                  </w:r>
                </w:p>
              </w:tc>
              <w:tc>
                <w:tcPr>
                  <w:tcW w:w="853" w:type="dxa"/>
                  <w:noWrap w:val="0"/>
                  <w:vAlign w:val="center"/>
                </w:tcPr>
                <w:p w14:paraId="34C73EF8">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1"/>
                      <w:sz w:val="21"/>
                      <w:szCs w:val="21"/>
                      <w:vertAlign w:val="baseline"/>
                      <w:lang w:val="en-US" w:eastAsia="zh-CN"/>
                    </w:rPr>
                  </w:pPr>
                  <w:r>
                    <w:rPr>
                      <w:rFonts w:hint="eastAsia" w:ascii="Times New Roman" w:hAnsi="Times New Roman" w:eastAsia="宋体" w:cs="Times New Roman"/>
                      <w:b w:val="0"/>
                      <w:bCs w:val="0"/>
                      <w:color w:val="auto"/>
                      <w:kern w:val="21"/>
                      <w:sz w:val="21"/>
                      <w:szCs w:val="21"/>
                      <w:vertAlign w:val="baseline"/>
                      <w:lang w:val="en-US" w:eastAsia="zh-CN"/>
                    </w:rPr>
                    <w:t>45</w:t>
                  </w:r>
                </w:p>
              </w:tc>
              <w:tc>
                <w:tcPr>
                  <w:tcW w:w="1484" w:type="dxa"/>
                  <w:noWrap w:val="0"/>
                  <w:vAlign w:val="center"/>
                </w:tcPr>
                <w:p w14:paraId="58A91384">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eastAsia" w:ascii="Times New Roman" w:hAnsi="Times New Roman" w:eastAsia="宋体" w:cs="Times New Roman"/>
                      <w:b w:val="0"/>
                      <w:bCs w:val="0"/>
                      <w:color w:val="auto"/>
                      <w:kern w:val="21"/>
                      <w:sz w:val="21"/>
                      <w:szCs w:val="21"/>
                      <w:vertAlign w:val="baseline"/>
                      <w:lang w:val="en-US" w:eastAsia="zh-CN"/>
                    </w:rPr>
                    <w:t>100</w:t>
                  </w:r>
                </w:p>
              </w:tc>
              <w:tc>
                <w:tcPr>
                  <w:tcW w:w="1484" w:type="dxa"/>
                  <w:noWrap w:val="0"/>
                  <w:vAlign w:val="center"/>
                </w:tcPr>
                <w:p w14:paraId="748D3CB1">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val="0"/>
                      <w:bCs w:val="0"/>
                      <w:color w:val="auto"/>
                      <w:kern w:val="21"/>
                      <w:sz w:val="21"/>
                      <w:szCs w:val="21"/>
                      <w:vertAlign w:val="baseline"/>
                      <w:lang w:val="en-US" w:eastAsia="zh-CN" w:bidi="ar-SA"/>
                    </w:rPr>
                  </w:pPr>
                  <w:r>
                    <w:rPr>
                      <w:rFonts w:hint="eastAsia" w:ascii="Times New Roman" w:hAnsi="Times New Roman" w:eastAsia="宋体" w:cs="Times New Roman"/>
                      <w:b w:val="0"/>
                      <w:bCs w:val="0"/>
                      <w:color w:val="auto"/>
                      <w:kern w:val="21"/>
                      <w:sz w:val="21"/>
                      <w:szCs w:val="21"/>
                      <w:vertAlign w:val="baseline"/>
                      <w:lang w:val="en-US" w:eastAsia="zh-CN"/>
                    </w:rPr>
                    <w:t>20</w:t>
                  </w:r>
                </w:p>
              </w:tc>
            </w:tr>
          </w:tbl>
          <w:p w14:paraId="1BFEB660">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w:t>
            </w:r>
            <w:r>
              <w:rPr>
                <w:rFonts w:hint="eastAsia" w:cs="Times New Roman"/>
                <w:color w:val="auto"/>
                <w:lang w:val="en-US" w:eastAsia="zh-CN"/>
              </w:rPr>
              <w:t>生产废水</w:t>
            </w:r>
          </w:p>
          <w:p w14:paraId="3E017D75">
            <w:pPr>
              <w:pStyle w:val="2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本项目生产废水主要是洗砂废水</w:t>
            </w:r>
            <w:r>
              <w:rPr>
                <w:rFonts w:hint="eastAsia" w:ascii="Times New Roman" w:cs="Times New Roman"/>
                <w:color w:val="auto"/>
                <w:lang w:val="en-US" w:eastAsia="zh-CN"/>
              </w:rPr>
              <w:t>、压滤废水</w:t>
            </w:r>
            <w:r>
              <w:rPr>
                <w:rFonts w:hint="default" w:ascii="Times New Roman" w:hAnsi="Times New Roman" w:cs="Times New Roman"/>
                <w:color w:val="auto"/>
                <w:lang w:val="en-US" w:eastAsia="zh-CN"/>
              </w:rPr>
              <w:t>，通过</w:t>
            </w:r>
            <w:r>
              <w:rPr>
                <w:rFonts w:hint="eastAsia" w:ascii="Times New Roman" w:cs="Times New Roman"/>
                <w:color w:val="auto"/>
                <w:lang w:val="en-US" w:eastAsia="zh-CN"/>
              </w:rPr>
              <w:t>沉淀系统沉淀处理后，</w:t>
            </w:r>
            <w:r>
              <w:rPr>
                <w:rFonts w:hint="default" w:ascii="Times New Roman" w:hAnsi="Times New Roman" w:cs="Times New Roman"/>
                <w:color w:val="auto"/>
                <w:lang w:val="en-US" w:eastAsia="zh-CN"/>
              </w:rPr>
              <w:t>上清液进入清水循环池（</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40m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回用于生产</w:t>
            </w:r>
            <w:r>
              <w:rPr>
                <w:rFonts w:hint="default" w:ascii="Times New Roman" w:hAnsi="Times New Roman" w:cs="Times New Roman"/>
                <w:color w:val="auto"/>
                <w:lang w:val="en-US" w:eastAsia="zh-CN"/>
              </w:rPr>
              <w:t>，不外排。</w:t>
            </w:r>
          </w:p>
          <w:p w14:paraId="54134EFA">
            <w:pPr>
              <w:keepNext/>
              <w:keepLines/>
              <w:ind w:firstLine="482"/>
              <w:outlineLvl w:val="1"/>
              <w:rPr>
                <w:rFonts w:hint="default" w:ascii="Times New Roman" w:hAnsi="Times New Roman" w:cs="Times New Roman"/>
                <w:b/>
                <w:bCs/>
                <w:color w:val="auto"/>
                <w:szCs w:val="32"/>
              </w:rPr>
            </w:pPr>
            <w:r>
              <w:rPr>
                <w:rFonts w:hint="default" w:ascii="Times New Roman" w:hAnsi="Times New Roman" w:cs="Times New Roman"/>
                <w:b/>
                <w:bCs/>
                <w:color w:val="auto"/>
                <w:szCs w:val="32"/>
              </w:rPr>
              <w:t>（2）废气排放</w:t>
            </w:r>
            <w:bookmarkEnd w:id="13"/>
            <w:bookmarkEnd w:id="14"/>
            <w:bookmarkEnd w:id="15"/>
            <w:bookmarkEnd w:id="16"/>
          </w:p>
          <w:p w14:paraId="500B64DA">
            <w:pPr>
              <w:ind w:firstLine="480"/>
              <w:jc w:val="left"/>
              <w:rPr>
                <w:rFonts w:hint="default" w:ascii="Times New Roman" w:hAnsi="Times New Roman" w:cs="Times New Roman"/>
                <w:color w:val="auto"/>
              </w:rPr>
            </w:pPr>
            <w:r>
              <w:rPr>
                <w:rFonts w:hint="eastAsia" w:ascii="Times New Roman" w:hAnsi="Times New Roman" w:cs="Times New Roman"/>
                <w:color w:val="auto"/>
                <w:lang w:val="en-US" w:eastAsia="zh-CN"/>
              </w:rPr>
              <w:t>①</w:t>
            </w:r>
            <w:r>
              <w:rPr>
                <w:rFonts w:hint="default" w:ascii="Times New Roman" w:hAnsi="Times New Roman" w:cs="Times New Roman"/>
                <w:color w:val="auto"/>
                <w:lang w:val="en-US" w:eastAsia="zh-CN"/>
              </w:rPr>
              <w:t>项目未设置雷蒙磨，仅对原料进行水洗、筛分，工艺全程涉水，生产废气主要为原料装卸堆存、成品装卸堆存及物料运输产生的粉尘，</w:t>
            </w:r>
            <w:r>
              <w:rPr>
                <w:rFonts w:hint="default" w:ascii="Times New Roman" w:hAnsi="Times New Roman" w:cs="Times New Roman"/>
                <w:color w:val="auto"/>
              </w:rPr>
              <w:t>扬（粉）尘执行《大气污染物</w:t>
            </w:r>
            <w:r>
              <w:rPr>
                <w:rFonts w:hint="default" w:ascii="Times New Roman" w:hAnsi="Times New Roman" w:cs="Times New Roman"/>
                <w:color w:val="auto"/>
                <w:lang w:val="en-US" w:eastAsia="zh-CN"/>
              </w:rPr>
              <w:t>综合</w:t>
            </w:r>
            <w:r>
              <w:rPr>
                <w:rFonts w:hint="default" w:ascii="Times New Roman" w:hAnsi="Times New Roman" w:cs="Times New Roman"/>
                <w:color w:val="auto"/>
              </w:rPr>
              <w:t>排放</w:t>
            </w:r>
            <w:r>
              <w:rPr>
                <w:rFonts w:hint="default" w:ascii="Times New Roman" w:hAnsi="Times New Roman" w:cs="Times New Roman"/>
                <w:color w:val="auto"/>
                <w:lang w:val="en-US" w:eastAsia="zh-CN"/>
              </w:rPr>
              <w:t>标准</w:t>
            </w:r>
            <w:r>
              <w:rPr>
                <w:rFonts w:hint="default" w:ascii="Times New Roman" w:hAnsi="Times New Roman" w:cs="Times New Roman"/>
                <w:color w:val="auto"/>
              </w:rPr>
              <w:t>》</w:t>
            </w:r>
            <w:r>
              <w:rPr>
                <w:rFonts w:hint="default" w:ascii="Times New Roman" w:hAnsi="Times New Roman" w:eastAsia="宋体" w:cs="Times New Roman"/>
                <w:color w:val="auto"/>
                <w:sz w:val="24"/>
                <w:szCs w:val="24"/>
              </w:rPr>
              <w:t>（GB16297-1996）</w:t>
            </w:r>
            <w:r>
              <w:rPr>
                <w:rFonts w:hint="default" w:ascii="Times New Roman" w:hAnsi="Times New Roman" w:cs="Times New Roman"/>
                <w:color w:val="auto"/>
                <w:sz w:val="24"/>
                <w:szCs w:val="24"/>
                <w:lang w:val="en-US" w:eastAsia="zh-CN"/>
              </w:rPr>
              <w:t>中</w:t>
            </w:r>
            <w:r>
              <w:rPr>
                <w:rFonts w:hint="default" w:ascii="Times New Roman" w:hAnsi="Times New Roman" w:cs="Times New Roman"/>
                <w:color w:val="auto"/>
                <w:lang w:val="en-US" w:eastAsia="zh-CN"/>
              </w:rPr>
              <w:t>表2新污染源大气污染物排放</w:t>
            </w:r>
            <w:r>
              <w:rPr>
                <w:rFonts w:hint="default" w:ascii="Times New Roman" w:hAnsi="Times New Roman" w:cs="Times New Roman"/>
                <w:color w:val="auto"/>
              </w:rPr>
              <w:t>限值</w:t>
            </w:r>
            <w:r>
              <w:rPr>
                <w:rFonts w:hint="default" w:ascii="Times New Roman" w:hAnsi="Times New Roman" w:cs="Times New Roman"/>
                <w:color w:val="auto"/>
                <w:lang w:val="en-US" w:eastAsia="zh-CN"/>
              </w:rPr>
              <w:t>的相关无组织标准</w:t>
            </w:r>
            <w:r>
              <w:rPr>
                <w:rFonts w:hint="default" w:ascii="Times New Roman" w:hAnsi="Times New Roman" w:cs="Times New Roman"/>
                <w:color w:val="auto"/>
              </w:rPr>
              <w:t>。</w:t>
            </w:r>
          </w:p>
          <w:p w14:paraId="68F6E7BB">
            <w:pPr>
              <w:spacing w:line="240" w:lineRule="auto"/>
              <w:ind w:firstLine="0" w:firstLineChars="0"/>
              <w:jc w:val="center"/>
              <w:rPr>
                <w:rFonts w:hint="default" w:ascii="Times New Roman" w:hAnsi="Times New Roman" w:cs="Times New Roman"/>
                <w:b/>
                <w:color w:val="auto"/>
                <w:sz w:val="21"/>
                <w:szCs w:val="28"/>
              </w:rPr>
            </w:pPr>
            <w:r>
              <w:rPr>
                <w:rFonts w:hint="default" w:ascii="Times New Roman" w:hAnsi="Times New Roman" w:cs="Times New Roman"/>
                <w:b/>
                <w:color w:val="auto"/>
                <w:sz w:val="21"/>
                <w:szCs w:val="28"/>
              </w:rPr>
              <w:t>表3-</w:t>
            </w:r>
            <w:r>
              <w:rPr>
                <w:rFonts w:hint="default" w:ascii="Times New Roman" w:hAnsi="Times New Roman" w:cs="Times New Roman"/>
                <w:b/>
                <w:color w:val="auto"/>
                <w:sz w:val="21"/>
                <w:szCs w:val="28"/>
                <w:lang w:val="en-US" w:eastAsia="zh-CN"/>
              </w:rPr>
              <w:t>1</w:t>
            </w:r>
            <w:r>
              <w:rPr>
                <w:rFonts w:hint="eastAsia" w:cs="Times New Roman"/>
                <w:b/>
                <w:color w:val="auto"/>
                <w:sz w:val="21"/>
                <w:szCs w:val="28"/>
                <w:lang w:val="en-US" w:eastAsia="zh-CN"/>
              </w:rPr>
              <w:t>3</w:t>
            </w:r>
            <w:r>
              <w:rPr>
                <w:rFonts w:hint="default" w:ascii="Times New Roman" w:hAnsi="Times New Roman" w:cs="Times New Roman"/>
                <w:b/>
                <w:color w:val="auto"/>
                <w:sz w:val="21"/>
                <w:szCs w:val="28"/>
              </w:rPr>
              <w:t>大气污染物综合</w:t>
            </w:r>
            <w:r>
              <w:rPr>
                <w:rFonts w:hint="default" w:ascii="Times New Roman" w:hAnsi="Times New Roman" w:cs="Times New Roman"/>
                <w:b/>
                <w:bCs/>
                <w:color w:val="auto"/>
                <w:sz w:val="21"/>
                <w:szCs w:val="21"/>
                <w:lang w:val="en-US" w:eastAsia="zh-CN"/>
              </w:rPr>
              <w:t>无组织标准</w:t>
            </w:r>
            <w:r>
              <w:rPr>
                <w:rFonts w:hint="default" w:ascii="Times New Roman" w:hAnsi="Times New Roman" w:cs="Times New Roman"/>
                <w:b/>
                <w:color w:val="auto"/>
                <w:sz w:val="21"/>
                <w:szCs w:val="28"/>
              </w:rPr>
              <w:t>排放</w:t>
            </w:r>
          </w:p>
          <w:tbl>
            <w:tblPr>
              <w:tblStyle w:val="16"/>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932"/>
              <w:gridCol w:w="5297"/>
            </w:tblGrid>
            <w:tr w14:paraId="287B5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2130" w:type="pct"/>
                  <w:vMerge w:val="restart"/>
                  <w:vAlign w:val="center"/>
                </w:tcPr>
                <w:p w14:paraId="3D74251E">
                  <w:pPr>
                    <w:pStyle w:val="4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2869" w:type="pct"/>
                  <w:vMerge w:val="restart"/>
                  <w:vAlign w:val="center"/>
                </w:tcPr>
                <w:p w14:paraId="5202B7E0">
                  <w:pPr>
                    <w:pStyle w:val="4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周界外浓度最高点</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r>
            <w:tr w14:paraId="1C8FC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2130" w:type="pct"/>
                  <w:vMerge w:val="continue"/>
                  <w:vAlign w:val="center"/>
                </w:tcPr>
                <w:p w14:paraId="3121DD6A">
                  <w:pPr>
                    <w:pStyle w:val="4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p>
              </w:tc>
              <w:tc>
                <w:tcPr>
                  <w:tcW w:w="2869" w:type="pct"/>
                  <w:vMerge w:val="continue"/>
                  <w:vAlign w:val="center"/>
                </w:tcPr>
                <w:p w14:paraId="5AA706B1">
                  <w:pPr>
                    <w:pStyle w:val="4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p>
              </w:tc>
            </w:tr>
            <w:tr w14:paraId="243B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130" w:type="pct"/>
                  <w:tcMar>
                    <w:left w:w="28" w:type="dxa"/>
                    <w:right w:w="28" w:type="dxa"/>
                  </w:tcMar>
                  <w:vAlign w:val="center"/>
                </w:tcPr>
                <w:p w14:paraId="4B1489C0">
                  <w:pPr>
                    <w:pStyle w:val="4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颗粒物</w:t>
                  </w:r>
                </w:p>
              </w:tc>
              <w:tc>
                <w:tcPr>
                  <w:tcW w:w="2869" w:type="pct"/>
                  <w:vAlign w:val="center"/>
                </w:tcPr>
                <w:p w14:paraId="7C1E3D2B">
                  <w:pPr>
                    <w:pStyle w:val="4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r>
          </w:tbl>
          <w:p w14:paraId="3AEAEE3B">
            <w:pPr>
              <w:keepNext w:val="0"/>
              <w:keepLines w:val="0"/>
              <w:widowControl/>
              <w:suppressLineNumbers w:val="0"/>
              <w:jc w:val="left"/>
              <w:rPr>
                <w:b w:val="0"/>
                <w:bCs w:val="0"/>
                <w:color w:val="auto"/>
              </w:rPr>
            </w:pPr>
            <w:bookmarkStart w:id="17" w:name="_Toc14466"/>
            <w:bookmarkStart w:id="18" w:name="_Toc27639264"/>
            <w:bookmarkStart w:id="19" w:name="_Toc66283186"/>
            <w:bookmarkStart w:id="20" w:name="_Toc26531"/>
            <w:r>
              <w:rPr>
                <w:rFonts w:hint="eastAsia" w:ascii="Times New Roman" w:hAnsi="Times New Roman" w:cs="Times New Roman"/>
                <w:b w:val="0"/>
                <w:bCs w:val="0"/>
                <w:color w:val="auto"/>
                <w:szCs w:val="32"/>
                <w:lang w:val="en-US" w:eastAsia="zh-CN"/>
              </w:rPr>
              <w:t>②项目区拟设置1个食堂，食堂油烟执行</w:t>
            </w:r>
            <w:r>
              <w:rPr>
                <w:rFonts w:hint="eastAsia" w:ascii="宋体" w:hAnsi="宋体" w:eastAsia="宋体" w:cs="宋体"/>
                <w:b w:val="0"/>
                <w:bCs w:val="0"/>
                <w:color w:val="auto"/>
                <w:kern w:val="0"/>
                <w:sz w:val="24"/>
                <w:szCs w:val="24"/>
                <w:lang w:val="en-US" w:eastAsia="zh-CN" w:bidi="ar"/>
              </w:rPr>
              <w:t>《饮食业油烟排放标准（试行）》（</w:t>
            </w:r>
            <w:r>
              <w:rPr>
                <w:rFonts w:hint="default" w:ascii="Times New Roman" w:hAnsi="Times New Roman" w:eastAsia="宋体" w:cs="Times New Roman"/>
                <w:b w:val="0"/>
                <w:bCs w:val="0"/>
                <w:color w:val="auto"/>
                <w:kern w:val="0"/>
                <w:sz w:val="24"/>
                <w:szCs w:val="24"/>
                <w:lang w:val="en-US" w:eastAsia="zh-CN" w:bidi="ar"/>
              </w:rPr>
              <w:t>GB18483-2001</w:t>
            </w:r>
            <w:r>
              <w:rPr>
                <w:rFonts w:hint="eastAsia" w:ascii="宋体" w:hAnsi="宋体" w:eastAsia="宋体" w:cs="宋体"/>
                <w:b w:val="0"/>
                <w:bCs w:val="0"/>
                <w:color w:val="auto"/>
                <w:kern w:val="0"/>
                <w:sz w:val="24"/>
                <w:szCs w:val="24"/>
                <w:lang w:val="en-US" w:eastAsia="zh-CN" w:bidi="ar"/>
              </w:rPr>
              <w:t>）小型规模最高允许排放浓度及最低去除效率标准限值，具体标准限值详见下表。</w:t>
            </w:r>
          </w:p>
          <w:p w14:paraId="3F3B3CE8">
            <w:pPr>
              <w:keepNext/>
              <w:keepLines/>
              <w:spacing w:line="240" w:lineRule="auto"/>
              <w:ind w:left="0" w:leftChars="0" w:firstLine="0" w:firstLineChars="0"/>
              <w:jc w:val="center"/>
              <w:outlineLvl w:val="1"/>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lang w:val="en-US" w:eastAsia="zh-CN"/>
              </w:rPr>
              <w:t>表3-1</w:t>
            </w:r>
            <w:r>
              <w:rPr>
                <w:rFonts w:hint="eastAsia"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 xml:space="preserve">  饮食油烟排放标准限值</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2220"/>
              <w:gridCol w:w="3345"/>
              <w:gridCol w:w="2574"/>
            </w:tblGrid>
            <w:tr w14:paraId="0BB6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14:paraId="0B8333EA">
                  <w:pPr>
                    <w:keepNext/>
                    <w:keepLines/>
                    <w:spacing w:line="240" w:lineRule="auto"/>
                    <w:ind w:left="0" w:leftChars="0" w:firstLine="0" w:firstLineChars="0"/>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规模</w:t>
                  </w:r>
                </w:p>
              </w:tc>
              <w:tc>
                <w:tcPr>
                  <w:tcW w:w="2220" w:type="dxa"/>
                  <w:vAlign w:val="center"/>
                </w:tcPr>
                <w:p w14:paraId="5A2273B3">
                  <w:pPr>
                    <w:keepNext/>
                    <w:keepLines/>
                    <w:spacing w:line="240" w:lineRule="auto"/>
                    <w:ind w:left="0" w:leftChars="0" w:firstLine="0" w:firstLineChars="0"/>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基准灶头数</w:t>
                  </w:r>
                </w:p>
              </w:tc>
              <w:tc>
                <w:tcPr>
                  <w:tcW w:w="3345" w:type="dxa"/>
                  <w:vAlign w:val="center"/>
                </w:tcPr>
                <w:p w14:paraId="72C29C6F">
                  <w:pPr>
                    <w:keepNext/>
                    <w:keepLines/>
                    <w:spacing w:line="240" w:lineRule="auto"/>
                    <w:ind w:left="0" w:leftChars="0" w:firstLine="0" w:firstLineChars="0"/>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最高允许排放浓度（mg/m</w:t>
                  </w:r>
                  <w:r>
                    <w:rPr>
                      <w:rFonts w:hint="eastAsia" w:ascii="Times New Roman" w:hAnsi="Times New Roman"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w:t>
                  </w:r>
                </w:p>
              </w:tc>
              <w:tc>
                <w:tcPr>
                  <w:tcW w:w="2574" w:type="dxa"/>
                  <w:vAlign w:val="center"/>
                </w:tcPr>
                <w:p w14:paraId="5F03696E">
                  <w:pPr>
                    <w:keepNext/>
                    <w:keepLines/>
                    <w:spacing w:line="240" w:lineRule="auto"/>
                    <w:ind w:left="0" w:leftChars="0" w:firstLine="0" w:firstLineChars="0"/>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净化设施最低去除效率%</w:t>
                  </w:r>
                </w:p>
              </w:tc>
            </w:tr>
            <w:tr w14:paraId="022C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60" w:type="dxa"/>
                  <w:vAlign w:val="center"/>
                </w:tcPr>
                <w:p w14:paraId="1EFECAA1">
                  <w:pPr>
                    <w:keepNext/>
                    <w:keepLines/>
                    <w:spacing w:line="240" w:lineRule="auto"/>
                    <w:ind w:left="0" w:leftChars="0" w:firstLine="0" w:firstLineChars="0"/>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小型</w:t>
                  </w:r>
                </w:p>
              </w:tc>
              <w:tc>
                <w:tcPr>
                  <w:tcW w:w="2220" w:type="dxa"/>
                  <w:vAlign w:val="center"/>
                </w:tcPr>
                <w:p w14:paraId="55F750BF">
                  <w:pPr>
                    <w:keepNext/>
                    <w:keepLines/>
                    <w:spacing w:line="240" w:lineRule="auto"/>
                    <w:ind w:left="0" w:leftChars="0" w:firstLine="0" w:firstLineChars="0"/>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≥1，＜3</w:t>
                  </w:r>
                </w:p>
              </w:tc>
              <w:tc>
                <w:tcPr>
                  <w:tcW w:w="3345" w:type="dxa"/>
                  <w:vAlign w:val="center"/>
                </w:tcPr>
                <w:p w14:paraId="0AC49B4D">
                  <w:pPr>
                    <w:keepNext/>
                    <w:keepLines/>
                    <w:spacing w:line="240" w:lineRule="auto"/>
                    <w:ind w:left="0" w:leftChars="0" w:firstLine="0" w:firstLineChars="0"/>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w:t>
                  </w:r>
                </w:p>
              </w:tc>
              <w:tc>
                <w:tcPr>
                  <w:tcW w:w="2574" w:type="dxa"/>
                  <w:vAlign w:val="center"/>
                </w:tcPr>
                <w:p w14:paraId="4442CE40">
                  <w:pPr>
                    <w:keepNext/>
                    <w:keepLines/>
                    <w:spacing w:line="240" w:lineRule="auto"/>
                    <w:jc w:val="center"/>
                    <w:outlineLvl w:val="1"/>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60</w:t>
                  </w:r>
                </w:p>
              </w:tc>
            </w:tr>
          </w:tbl>
          <w:p w14:paraId="74C43620">
            <w:pPr>
              <w:keepNext/>
              <w:keepLines/>
              <w:ind w:firstLine="482"/>
              <w:outlineLvl w:val="1"/>
              <w:rPr>
                <w:rFonts w:hint="default" w:ascii="Times New Roman" w:hAnsi="Times New Roman" w:cs="Times New Roman"/>
                <w:b/>
                <w:bCs/>
                <w:color w:val="auto"/>
                <w:szCs w:val="32"/>
              </w:rPr>
            </w:pPr>
            <w:r>
              <w:rPr>
                <w:rFonts w:hint="default" w:ascii="Times New Roman" w:hAnsi="Times New Roman" w:cs="Times New Roman"/>
                <w:b/>
                <w:bCs/>
                <w:color w:val="auto"/>
                <w:szCs w:val="32"/>
              </w:rPr>
              <w:t>（3）噪声</w:t>
            </w:r>
            <w:bookmarkEnd w:id="17"/>
            <w:bookmarkEnd w:id="18"/>
            <w:bookmarkEnd w:id="19"/>
            <w:bookmarkEnd w:id="20"/>
          </w:p>
          <w:p w14:paraId="4F1777C6">
            <w:pPr>
              <w:pStyle w:val="37"/>
              <w:numPr>
                <w:ilvl w:val="0"/>
                <w:numId w:val="0"/>
              </w:numPr>
              <w:ind w:firstLine="480" w:firstLineChars="200"/>
              <w:rPr>
                <w:rFonts w:hint="default" w:ascii="Times New Roman" w:hAnsi="Times New Roman" w:cs="Times New Roman"/>
                <w:b/>
                <w:bCs w:val="0"/>
                <w:color w:val="auto"/>
                <w:kern w:val="21"/>
                <w:sz w:val="21"/>
                <w:szCs w:val="21"/>
                <w:lang w:val="en-US" w:eastAsia="zh-CN" w:bidi="ar-SA"/>
              </w:rPr>
            </w:pPr>
            <w:r>
              <w:rPr>
                <w:rFonts w:hint="default" w:ascii="Times New Roman" w:hAnsi="Times New Roman" w:cs="Times New Roman"/>
                <w:b w:val="0"/>
                <w:bCs/>
                <w:color w:val="auto"/>
                <w:kern w:val="21"/>
                <w:sz w:val="24"/>
                <w:szCs w:val="24"/>
                <w:lang w:val="en-US" w:eastAsia="zh-CN" w:bidi="ar-SA"/>
              </w:rPr>
              <w:t>项目所在区域属于2类声环境功能区</w:t>
            </w:r>
            <w:r>
              <w:rPr>
                <w:rFonts w:hint="eastAsia" w:cs="Times New Roman"/>
                <w:b w:val="0"/>
                <w:bCs/>
                <w:color w:val="auto"/>
                <w:kern w:val="21"/>
                <w:sz w:val="24"/>
                <w:szCs w:val="24"/>
                <w:lang w:val="en-US" w:eastAsia="zh-CN" w:bidi="ar-SA"/>
              </w:rPr>
              <w:t>，</w:t>
            </w:r>
            <w:r>
              <w:rPr>
                <w:rFonts w:hint="default" w:ascii="Times New Roman" w:hAnsi="Times New Roman" w:cs="Times New Roman"/>
                <w:b w:val="0"/>
                <w:bCs/>
                <w:color w:val="auto"/>
                <w:kern w:val="21"/>
                <w:sz w:val="24"/>
                <w:szCs w:val="24"/>
                <w:lang w:val="en-US" w:eastAsia="zh-CN" w:bidi="ar-SA"/>
              </w:rPr>
              <w:t>运营期执行《</w:t>
            </w:r>
            <w:r>
              <w:rPr>
                <w:rFonts w:hint="eastAsia" w:cs="Times New Roman"/>
                <w:b w:val="0"/>
                <w:bCs/>
                <w:color w:val="auto"/>
                <w:kern w:val="21"/>
                <w:sz w:val="24"/>
                <w:szCs w:val="24"/>
                <w:lang w:val="en-US" w:eastAsia="zh-CN" w:bidi="ar-SA"/>
              </w:rPr>
              <w:t>工业</w:t>
            </w:r>
            <w:r>
              <w:rPr>
                <w:rFonts w:hint="default" w:ascii="Times New Roman" w:hAnsi="Times New Roman" w:cs="Times New Roman"/>
                <w:b w:val="0"/>
                <w:bCs/>
                <w:color w:val="auto"/>
                <w:kern w:val="21"/>
                <w:sz w:val="24"/>
                <w:szCs w:val="24"/>
                <w:lang w:val="en-US" w:eastAsia="zh-CN" w:bidi="ar-SA"/>
              </w:rPr>
              <w:t>企业厂界环境噪声排放标准》（GB12348-2008）中2类标准，本项目厂界噪声限值如下表所示：</w:t>
            </w:r>
          </w:p>
          <w:p w14:paraId="09A985DB">
            <w:pPr>
              <w:pStyle w:val="37"/>
              <w:numPr>
                <w:ilvl w:val="0"/>
                <w:numId w:val="0"/>
              </w:numPr>
              <w:ind w:firstLine="422" w:firstLineChars="200"/>
              <w:jc w:val="center"/>
              <w:rPr>
                <w:rFonts w:hint="default" w:ascii="Times New Roman" w:hAnsi="Times New Roman" w:cs="Times New Roman"/>
                <w:b/>
                <w:bCs w:val="0"/>
                <w:color w:val="auto"/>
                <w:kern w:val="21"/>
                <w:sz w:val="21"/>
                <w:szCs w:val="21"/>
                <w:lang w:val="en-US" w:eastAsia="zh-CN" w:bidi="ar-SA"/>
              </w:rPr>
            </w:pPr>
          </w:p>
          <w:p w14:paraId="0C488251">
            <w:pPr>
              <w:pStyle w:val="37"/>
              <w:numPr>
                <w:ilvl w:val="0"/>
                <w:numId w:val="0"/>
              </w:numPr>
              <w:ind w:firstLine="422" w:firstLineChars="200"/>
              <w:jc w:val="center"/>
              <w:rPr>
                <w:rFonts w:hint="default" w:ascii="Times New Roman" w:hAnsi="Times New Roman" w:cs="Times New Roman"/>
                <w:b/>
                <w:bCs w:val="0"/>
                <w:color w:val="auto"/>
                <w:kern w:val="21"/>
                <w:sz w:val="21"/>
                <w:szCs w:val="21"/>
                <w:lang w:val="en-US" w:eastAsia="zh-CN" w:bidi="ar-SA"/>
              </w:rPr>
            </w:pPr>
            <w:r>
              <w:rPr>
                <w:rFonts w:hint="default" w:ascii="Times New Roman" w:hAnsi="Times New Roman" w:cs="Times New Roman"/>
                <w:b/>
                <w:bCs w:val="0"/>
                <w:color w:val="auto"/>
                <w:kern w:val="21"/>
                <w:sz w:val="21"/>
                <w:szCs w:val="21"/>
                <w:lang w:val="en-US" w:eastAsia="zh-CN" w:bidi="ar-SA"/>
              </w:rPr>
              <w:t>表3-1</w:t>
            </w:r>
            <w:r>
              <w:rPr>
                <w:rFonts w:hint="eastAsia" w:cs="Times New Roman"/>
                <w:b/>
                <w:bCs w:val="0"/>
                <w:color w:val="auto"/>
                <w:kern w:val="21"/>
                <w:sz w:val="21"/>
                <w:szCs w:val="21"/>
                <w:lang w:val="en-US" w:eastAsia="zh-CN" w:bidi="ar-SA"/>
              </w:rPr>
              <w:t>5</w:t>
            </w:r>
            <w:r>
              <w:rPr>
                <w:rFonts w:hint="default" w:ascii="Times New Roman" w:hAnsi="Times New Roman" w:cs="Times New Roman"/>
                <w:b/>
                <w:bCs w:val="0"/>
                <w:color w:val="auto"/>
                <w:kern w:val="21"/>
                <w:sz w:val="21"/>
                <w:szCs w:val="21"/>
                <w:lang w:val="en-US" w:eastAsia="zh-CN" w:bidi="ar-SA"/>
              </w:rPr>
              <w:t>本项目厂界噪声限值  单位（dB）</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8"/>
              <w:gridCol w:w="3078"/>
              <w:gridCol w:w="3080"/>
            </w:tblGrid>
            <w:tr w14:paraId="0A8B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14:paraId="32D9F526">
                  <w:pPr>
                    <w:pStyle w:val="37"/>
                    <w:numPr>
                      <w:ilvl w:val="0"/>
                      <w:numId w:val="0"/>
                    </w:numPr>
                    <w:spacing w:line="240" w:lineRule="auto"/>
                    <w:jc w:val="center"/>
                    <w:rPr>
                      <w:rFonts w:hint="default" w:ascii="Times New Roman" w:hAnsi="Times New Roman" w:cs="Times New Roman"/>
                      <w:b w:val="0"/>
                      <w:bCs/>
                      <w:color w:val="auto"/>
                      <w:kern w:val="21"/>
                      <w:sz w:val="21"/>
                      <w:szCs w:val="21"/>
                      <w:lang w:val="en-US" w:eastAsia="zh-CN" w:bidi="ar-SA"/>
                    </w:rPr>
                  </w:pPr>
                  <w:r>
                    <w:rPr>
                      <w:rFonts w:hint="default" w:ascii="Times New Roman" w:hAnsi="Times New Roman" w:cs="Times New Roman"/>
                      <w:b w:val="0"/>
                      <w:bCs/>
                      <w:color w:val="auto"/>
                      <w:kern w:val="21"/>
                      <w:sz w:val="21"/>
                      <w:szCs w:val="21"/>
                      <w:lang w:val="en-US" w:eastAsia="zh-CN" w:bidi="ar-SA"/>
                    </w:rPr>
                    <w:t>厂界外声环境功能区类别</w:t>
                  </w:r>
                </w:p>
              </w:tc>
              <w:tc>
                <w:tcPr>
                  <w:tcW w:w="3333" w:type="pct"/>
                  <w:gridSpan w:val="2"/>
                  <w:vAlign w:val="center"/>
                </w:tcPr>
                <w:p w14:paraId="061561AC">
                  <w:pPr>
                    <w:pStyle w:val="37"/>
                    <w:numPr>
                      <w:ilvl w:val="0"/>
                      <w:numId w:val="0"/>
                    </w:numPr>
                    <w:spacing w:line="240" w:lineRule="auto"/>
                    <w:jc w:val="center"/>
                    <w:rPr>
                      <w:rFonts w:hint="default" w:ascii="Times New Roman" w:hAnsi="Times New Roman" w:cs="Times New Roman"/>
                      <w:b w:val="0"/>
                      <w:bCs/>
                      <w:color w:val="auto"/>
                      <w:kern w:val="21"/>
                      <w:sz w:val="21"/>
                      <w:szCs w:val="21"/>
                      <w:lang w:val="en-US" w:eastAsia="zh-CN" w:bidi="ar-SA"/>
                    </w:rPr>
                  </w:pPr>
                  <w:r>
                    <w:rPr>
                      <w:rFonts w:hint="default" w:ascii="Times New Roman" w:hAnsi="Times New Roman" w:cs="Times New Roman"/>
                      <w:b w:val="0"/>
                      <w:bCs/>
                      <w:color w:val="auto"/>
                      <w:kern w:val="21"/>
                      <w:sz w:val="21"/>
                      <w:szCs w:val="21"/>
                      <w:lang w:val="en-US" w:eastAsia="zh-CN" w:bidi="ar-SA"/>
                    </w:rPr>
                    <w:t>时段</w:t>
                  </w:r>
                </w:p>
              </w:tc>
            </w:tr>
            <w:tr w14:paraId="3CDF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14:paraId="5D245FB4">
                  <w:pPr>
                    <w:pStyle w:val="37"/>
                    <w:numPr>
                      <w:ilvl w:val="0"/>
                      <w:numId w:val="0"/>
                    </w:numPr>
                    <w:spacing w:line="240" w:lineRule="auto"/>
                    <w:ind w:firstLine="420" w:firstLineChars="200"/>
                    <w:jc w:val="center"/>
                    <w:rPr>
                      <w:rFonts w:hint="default" w:ascii="Times New Roman" w:hAnsi="Times New Roman" w:cs="Times New Roman"/>
                      <w:b w:val="0"/>
                      <w:bCs/>
                      <w:color w:val="auto"/>
                      <w:kern w:val="21"/>
                      <w:sz w:val="21"/>
                      <w:szCs w:val="21"/>
                      <w:lang w:val="en-US" w:eastAsia="zh-CN" w:bidi="ar-SA"/>
                    </w:rPr>
                  </w:pPr>
                </w:p>
              </w:tc>
              <w:tc>
                <w:tcPr>
                  <w:tcW w:w="1666" w:type="pct"/>
                  <w:vAlign w:val="center"/>
                </w:tcPr>
                <w:p w14:paraId="2A2A28A6">
                  <w:pPr>
                    <w:pStyle w:val="37"/>
                    <w:numPr>
                      <w:ilvl w:val="0"/>
                      <w:numId w:val="0"/>
                    </w:numPr>
                    <w:spacing w:line="240" w:lineRule="auto"/>
                    <w:jc w:val="center"/>
                    <w:rPr>
                      <w:rFonts w:hint="default" w:ascii="Times New Roman" w:hAnsi="Times New Roman" w:cs="Times New Roman"/>
                      <w:b w:val="0"/>
                      <w:bCs/>
                      <w:color w:val="auto"/>
                      <w:kern w:val="21"/>
                      <w:sz w:val="21"/>
                      <w:szCs w:val="21"/>
                      <w:lang w:val="en-US" w:eastAsia="zh-CN" w:bidi="ar-SA"/>
                    </w:rPr>
                  </w:pPr>
                  <w:r>
                    <w:rPr>
                      <w:rFonts w:hint="default" w:ascii="Times New Roman" w:hAnsi="Times New Roman" w:cs="Times New Roman"/>
                      <w:b w:val="0"/>
                      <w:bCs/>
                      <w:color w:val="auto"/>
                      <w:kern w:val="21"/>
                      <w:sz w:val="21"/>
                      <w:szCs w:val="21"/>
                      <w:lang w:val="en-US" w:eastAsia="zh-CN" w:bidi="ar-SA"/>
                    </w:rPr>
                    <w:t>昼间</w:t>
                  </w:r>
                </w:p>
              </w:tc>
              <w:tc>
                <w:tcPr>
                  <w:tcW w:w="1666" w:type="pct"/>
                  <w:vAlign w:val="center"/>
                </w:tcPr>
                <w:p w14:paraId="61AA3F27">
                  <w:pPr>
                    <w:pStyle w:val="37"/>
                    <w:numPr>
                      <w:ilvl w:val="0"/>
                      <w:numId w:val="0"/>
                    </w:numPr>
                    <w:spacing w:line="240" w:lineRule="auto"/>
                    <w:jc w:val="center"/>
                    <w:rPr>
                      <w:rFonts w:hint="default" w:ascii="Times New Roman" w:hAnsi="Times New Roman" w:cs="Times New Roman"/>
                      <w:b w:val="0"/>
                      <w:bCs/>
                      <w:color w:val="auto"/>
                      <w:kern w:val="21"/>
                      <w:sz w:val="21"/>
                      <w:szCs w:val="21"/>
                      <w:lang w:val="en-US" w:eastAsia="zh-CN" w:bidi="ar-SA"/>
                    </w:rPr>
                  </w:pPr>
                  <w:r>
                    <w:rPr>
                      <w:rFonts w:hint="default" w:ascii="Times New Roman" w:hAnsi="Times New Roman" w:cs="Times New Roman"/>
                      <w:b w:val="0"/>
                      <w:bCs/>
                      <w:color w:val="auto"/>
                      <w:kern w:val="21"/>
                      <w:sz w:val="21"/>
                      <w:szCs w:val="21"/>
                      <w:lang w:val="en-US" w:eastAsia="zh-CN" w:bidi="ar-SA"/>
                    </w:rPr>
                    <w:t>夜间</w:t>
                  </w:r>
                </w:p>
              </w:tc>
            </w:tr>
            <w:tr w14:paraId="4569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B8FB6A3">
                  <w:pPr>
                    <w:pStyle w:val="37"/>
                    <w:numPr>
                      <w:ilvl w:val="0"/>
                      <w:numId w:val="0"/>
                    </w:numPr>
                    <w:spacing w:line="240" w:lineRule="auto"/>
                    <w:jc w:val="center"/>
                    <w:rPr>
                      <w:rFonts w:hint="default" w:ascii="Times New Roman" w:hAnsi="Times New Roman" w:cs="Times New Roman"/>
                      <w:b w:val="0"/>
                      <w:bCs/>
                      <w:color w:val="auto"/>
                      <w:kern w:val="21"/>
                      <w:sz w:val="21"/>
                      <w:szCs w:val="21"/>
                      <w:lang w:val="en-US" w:eastAsia="zh-CN" w:bidi="ar-SA"/>
                    </w:rPr>
                  </w:pPr>
                  <w:r>
                    <w:rPr>
                      <w:rFonts w:hint="default" w:ascii="Times New Roman" w:hAnsi="Times New Roman" w:cs="Times New Roman"/>
                      <w:b w:val="0"/>
                      <w:bCs/>
                      <w:color w:val="auto"/>
                      <w:kern w:val="21"/>
                      <w:sz w:val="21"/>
                      <w:szCs w:val="21"/>
                      <w:lang w:val="en-US" w:eastAsia="zh-CN" w:bidi="ar-SA"/>
                    </w:rPr>
                    <w:t>2类</w:t>
                  </w:r>
                </w:p>
              </w:tc>
              <w:tc>
                <w:tcPr>
                  <w:tcW w:w="1666" w:type="pct"/>
                  <w:vAlign w:val="center"/>
                </w:tcPr>
                <w:p w14:paraId="4FCCCEDC">
                  <w:pPr>
                    <w:pStyle w:val="37"/>
                    <w:numPr>
                      <w:ilvl w:val="0"/>
                      <w:numId w:val="0"/>
                    </w:numPr>
                    <w:spacing w:line="240" w:lineRule="auto"/>
                    <w:jc w:val="center"/>
                    <w:rPr>
                      <w:rFonts w:hint="default" w:ascii="Times New Roman" w:hAnsi="Times New Roman" w:cs="Times New Roman"/>
                      <w:b w:val="0"/>
                      <w:bCs/>
                      <w:color w:val="auto"/>
                      <w:kern w:val="21"/>
                      <w:sz w:val="21"/>
                      <w:szCs w:val="21"/>
                      <w:lang w:val="en-US" w:eastAsia="zh-CN" w:bidi="ar-SA"/>
                    </w:rPr>
                  </w:pPr>
                  <w:r>
                    <w:rPr>
                      <w:rFonts w:hint="default" w:ascii="Times New Roman" w:hAnsi="Times New Roman" w:cs="Times New Roman"/>
                      <w:b w:val="0"/>
                      <w:bCs/>
                      <w:color w:val="auto"/>
                      <w:kern w:val="21"/>
                      <w:sz w:val="21"/>
                      <w:szCs w:val="21"/>
                      <w:lang w:val="en-US" w:eastAsia="zh-CN" w:bidi="ar-SA"/>
                    </w:rPr>
                    <w:t>6</w:t>
                  </w:r>
                  <w:r>
                    <w:rPr>
                      <w:rFonts w:hint="eastAsia" w:ascii="Times New Roman" w:hAnsi="Times New Roman" w:cs="Times New Roman"/>
                      <w:b w:val="0"/>
                      <w:bCs/>
                      <w:color w:val="auto"/>
                      <w:kern w:val="21"/>
                      <w:sz w:val="21"/>
                      <w:szCs w:val="21"/>
                      <w:lang w:val="en-US" w:eastAsia="zh-CN" w:bidi="ar-SA"/>
                    </w:rPr>
                    <w:t>0</w:t>
                  </w:r>
                </w:p>
              </w:tc>
              <w:tc>
                <w:tcPr>
                  <w:tcW w:w="1666" w:type="pct"/>
                  <w:vAlign w:val="center"/>
                </w:tcPr>
                <w:p w14:paraId="39C8FAF6">
                  <w:pPr>
                    <w:pStyle w:val="37"/>
                    <w:numPr>
                      <w:ilvl w:val="0"/>
                      <w:numId w:val="0"/>
                    </w:numPr>
                    <w:spacing w:line="240" w:lineRule="auto"/>
                    <w:jc w:val="center"/>
                    <w:rPr>
                      <w:rFonts w:hint="default" w:ascii="Times New Roman" w:hAnsi="Times New Roman" w:cs="Times New Roman"/>
                      <w:b w:val="0"/>
                      <w:bCs/>
                      <w:color w:val="auto"/>
                      <w:kern w:val="21"/>
                      <w:sz w:val="21"/>
                      <w:szCs w:val="21"/>
                      <w:lang w:val="en-US" w:eastAsia="zh-CN" w:bidi="ar-SA"/>
                    </w:rPr>
                  </w:pPr>
                  <w:r>
                    <w:rPr>
                      <w:rFonts w:hint="default" w:ascii="Times New Roman" w:hAnsi="Times New Roman" w:cs="Times New Roman"/>
                      <w:b w:val="0"/>
                      <w:bCs/>
                      <w:color w:val="auto"/>
                      <w:kern w:val="21"/>
                      <w:sz w:val="21"/>
                      <w:szCs w:val="21"/>
                      <w:lang w:val="en-US" w:eastAsia="zh-CN" w:bidi="ar-SA"/>
                    </w:rPr>
                    <w:t>5</w:t>
                  </w:r>
                  <w:r>
                    <w:rPr>
                      <w:rFonts w:hint="eastAsia" w:ascii="Times New Roman" w:hAnsi="Times New Roman" w:cs="Times New Roman"/>
                      <w:b w:val="0"/>
                      <w:bCs/>
                      <w:color w:val="auto"/>
                      <w:kern w:val="21"/>
                      <w:sz w:val="21"/>
                      <w:szCs w:val="21"/>
                      <w:lang w:val="en-US" w:eastAsia="zh-CN" w:bidi="ar-SA"/>
                    </w:rPr>
                    <w:t>0</w:t>
                  </w:r>
                </w:p>
              </w:tc>
            </w:tr>
          </w:tbl>
          <w:p w14:paraId="15C72AF1">
            <w:pPr>
              <w:keepNext/>
              <w:keepLines/>
              <w:ind w:firstLine="482"/>
              <w:outlineLvl w:val="1"/>
              <w:rPr>
                <w:rFonts w:hint="default" w:ascii="Times New Roman" w:hAnsi="Times New Roman" w:cs="Times New Roman"/>
                <w:b/>
                <w:bCs/>
                <w:color w:val="auto"/>
                <w:szCs w:val="32"/>
              </w:rPr>
            </w:pPr>
            <w:bookmarkStart w:id="21" w:name="_Toc27639267"/>
            <w:bookmarkStart w:id="22" w:name="_Toc5381"/>
            <w:bookmarkStart w:id="23" w:name="_Toc11852"/>
            <w:bookmarkStart w:id="24" w:name="_Toc66283187"/>
            <w:r>
              <w:rPr>
                <w:rFonts w:hint="default" w:ascii="Times New Roman" w:hAnsi="Times New Roman" w:cs="Times New Roman"/>
                <w:b/>
                <w:bCs/>
                <w:color w:val="auto"/>
                <w:szCs w:val="32"/>
              </w:rPr>
              <w:t>（4）固体废物排放标准</w:t>
            </w:r>
            <w:bookmarkEnd w:id="21"/>
            <w:bookmarkEnd w:id="22"/>
            <w:bookmarkEnd w:id="23"/>
            <w:bookmarkEnd w:id="24"/>
          </w:p>
          <w:p w14:paraId="3F4604D2">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一般工业固废执行《一般工业固体废物贮存和填埋污染控制标准》（</w:t>
            </w:r>
            <w:r>
              <w:rPr>
                <w:rFonts w:hint="default" w:ascii="Times New Roman" w:hAnsi="Times New Roman" w:eastAsia="宋体" w:cs="Times New Roman"/>
                <w:color w:val="auto"/>
                <w:kern w:val="0"/>
                <w:sz w:val="24"/>
                <w:szCs w:val="24"/>
                <w:lang w:val="en-US" w:eastAsia="zh-CN" w:bidi="ar"/>
              </w:rPr>
              <w:t>GB18599-2020</w:t>
            </w:r>
            <w:r>
              <w:rPr>
                <w:rFonts w:hint="eastAsia" w:ascii="宋体" w:hAnsi="宋体" w:eastAsia="宋体" w:cs="宋体"/>
                <w:color w:val="auto"/>
                <w:kern w:val="0"/>
                <w:sz w:val="24"/>
                <w:szCs w:val="24"/>
                <w:lang w:val="en-US" w:eastAsia="zh-CN" w:bidi="ar"/>
              </w:rPr>
              <w:t>）及《固体废物分类与代码目录》（公告</w:t>
            </w:r>
            <w:r>
              <w:rPr>
                <w:rFonts w:hint="default" w:ascii="Times New Roman" w:hAnsi="Times New Roman" w:eastAsia="宋体" w:cs="Times New Roman"/>
                <w:color w:val="auto"/>
                <w:kern w:val="0"/>
                <w:sz w:val="24"/>
                <w:szCs w:val="24"/>
                <w:lang w:val="en-US" w:eastAsia="zh-CN" w:bidi="ar"/>
              </w:rPr>
              <w:t>2024</w:t>
            </w:r>
            <w:r>
              <w:rPr>
                <w:rFonts w:hint="eastAsia" w:ascii="宋体" w:hAnsi="宋体" w:eastAsia="宋体" w:cs="宋体"/>
                <w:color w:val="auto"/>
                <w:kern w:val="0"/>
                <w:sz w:val="24"/>
                <w:szCs w:val="24"/>
                <w:lang w:val="en-US" w:eastAsia="zh-CN" w:bidi="ar"/>
              </w:rPr>
              <w:t>年第</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号）。</w:t>
            </w:r>
          </w:p>
          <w:p w14:paraId="491689D4">
            <w:pPr>
              <w:keepNext w:val="0"/>
              <w:keepLines w:val="0"/>
              <w:widowControl/>
              <w:suppressLineNumbers w:val="0"/>
              <w:jc w:val="left"/>
              <w:rPr>
                <w:rFonts w:hint="default" w:ascii="Times New Roman" w:hAnsi="Times New Roman" w:cs="Times New Roman"/>
                <w:color w:val="auto"/>
                <w:kern w:val="0"/>
                <w:szCs w:val="21"/>
                <w:lang w:val="en-US"/>
              </w:rPr>
            </w:pP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、危险废物收集、暂存、转移及处置：危险废物按《国家危险废物名录（</w:t>
            </w:r>
            <w:r>
              <w:rPr>
                <w:rFonts w:hint="default" w:ascii="Times New Roman" w:hAnsi="Times New Roman" w:eastAsia="宋体" w:cs="Times New Roman"/>
                <w:color w:val="auto"/>
                <w:kern w:val="0"/>
                <w:sz w:val="24"/>
                <w:szCs w:val="24"/>
                <w:lang w:val="en-US" w:eastAsia="zh-CN" w:bidi="ar"/>
              </w:rPr>
              <w:t>2025</w:t>
            </w:r>
            <w:r>
              <w:rPr>
                <w:rFonts w:hint="eastAsia" w:ascii="宋体" w:hAnsi="宋体" w:eastAsia="宋体" w:cs="宋体"/>
                <w:color w:val="auto"/>
                <w:kern w:val="0"/>
                <w:sz w:val="24"/>
                <w:szCs w:val="24"/>
                <w:lang w:val="en-US" w:eastAsia="zh-CN" w:bidi="ar"/>
              </w:rPr>
              <w:t>年版）》进行分类；危险废物暂存及处置执行《危险废物贮存污染控制标准》（</w:t>
            </w:r>
            <w:r>
              <w:rPr>
                <w:rFonts w:hint="default" w:ascii="Times New Roman" w:hAnsi="Times New Roman" w:eastAsia="宋体" w:cs="Times New Roman"/>
                <w:color w:val="auto"/>
                <w:kern w:val="0"/>
                <w:sz w:val="24"/>
                <w:szCs w:val="24"/>
                <w:lang w:val="en-US" w:eastAsia="zh-CN" w:bidi="ar"/>
              </w:rPr>
              <w:t>GB18597-2023</w:t>
            </w:r>
            <w:r>
              <w:rPr>
                <w:rFonts w:hint="eastAsia" w:ascii="宋体" w:hAnsi="宋体" w:eastAsia="宋体" w:cs="宋体"/>
                <w:color w:val="auto"/>
                <w:kern w:val="0"/>
                <w:sz w:val="24"/>
                <w:szCs w:val="24"/>
                <w:lang w:val="en-US" w:eastAsia="zh-CN" w:bidi="ar"/>
              </w:rPr>
              <w:t>）标准。</w:t>
            </w:r>
          </w:p>
        </w:tc>
      </w:tr>
      <w:tr w14:paraId="1C535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456" w:type="dxa"/>
            <w:vAlign w:val="center"/>
          </w:tcPr>
          <w:p w14:paraId="2B245793">
            <w:pPr>
              <w:pStyle w:val="40"/>
              <w:rPr>
                <w:rFonts w:hint="default" w:ascii="Times New Roman" w:hAnsi="Times New Roman" w:cs="Times New Roman"/>
                <w:color w:val="auto"/>
              </w:rPr>
            </w:pPr>
            <w:r>
              <w:rPr>
                <w:rFonts w:hint="default" w:ascii="Times New Roman" w:hAnsi="Times New Roman" w:cs="Times New Roman"/>
                <w:color w:val="auto"/>
              </w:rPr>
              <w:t>总量</w:t>
            </w:r>
          </w:p>
          <w:p w14:paraId="6099D690">
            <w:pPr>
              <w:pStyle w:val="40"/>
              <w:rPr>
                <w:rFonts w:hint="default" w:ascii="Times New Roman" w:hAnsi="Times New Roman" w:cs="Times New Roman"/>
                <w:color w:val="auto"/>
              </w:rPr>
            </w:pPr>
            <w:r>
              <w:rPr>
                <w:rFonts w:hint="default" w:ascii="Times New Roman" w:hAnsi="Times New Roman" w:cs="Times New Roman"/>
                <w:color w:val="auto"/>
              </w:rPr>
              <w:t>控制</w:t>
            </w:r>
          </w:p>
          <w:p w14:paraId="671292A0">
            <w:pPr>
              <w:pStyle w:val="40"/>
              <w:rPr>
                <w:rFonts w:hint="default" w:ascii="Times New Roman" w:hAnsi="Times New Roman" w:cs="Times New Roman"/>
                <w:color w:val="auto"/>
              </w:rPr>
            </w:pPr>
            <w:r>
              <w:rPr>
                <w:rFonts w:hint="default" w:ascii="Times New Roman" w:hAnsi="Times New Roman" w:cs="Times New Roman"/>
                <w:color w:val="auto"/>
              </w:rPr>
              <w:t>指标</w:t>
            </w:r>
          </w:p>
        </w:tc>
        <w:tc>
          <w:tcPr>
            <w:tcW w:w="9415" w:type="dxa"/>
            <w:vAlign w:val="center"/>
          </w:tcPr>
          <w:p w14:paraId="13E71B2D">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p>
          <w:p w14:paraId="5A4D8689">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p>
          <w:p w14:paraId="1F48E2C2">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p>
          <w:p w14:paraId="6A3F54B1">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根据《固定污染源排污许可分类管理名录（2019年版）》，本项目属于</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二十五、非金属矿物制造业30-</w:t>
            </w:r>
            <w:r>
              <w:rPr>
                <w:rFonts w:hint="eastAsia" w:cs="Times New Roman"/>
                <w:color w:val="auto"/>
                <w:kern w:val="0"/>
                <w:sz w:val="24"/>
                <w:szCs w:val="24"/>
                <w:lang w:val="en-US" w:eastAsia="zh-CN" w:bidi="ar"/>
              </w:rPr>
              <w:t>64砖瓦、石材、等建筑材料制造303</w:t>
            </w:r>
            <w:r>
              <w:rPr>
                <w:rFonts w:hint="default" w:ascii="Times New Roman" w:hAnsi="Times New Roman" w:eastAsia="宋体" w:cs="Times New Roman"/>
                <w:color w:val="auto"/>
                <w:kern w:val="0"/>
                <w:sz w:val="24"/>
                <w:szCs w:val="24"/>
                <w:highlight w:val="none"/>
                <w:lang w:val="en-US" w:eastAsia="zh-CN" w:bidi="ar"/>
              </w:rPr>
              <w:t>-其他</w:t>
            </w:r>
            <w:r>
              <w:rPr>
                <w:rFonts w:hint="eastAsia" w:cs="Times New Roman"/>
                <w:color w:val="auto"/>
                <w:kern w:val="0"/>
                <w:sz w:val="24"/>
                <w:szCs w:val="24"/>
                <w:highlight w:val="none"/>
                <w:lang w:val="en-US" w:eastAsia="zh-CN" w:bidi="ar"/>
              </w:rPr>
              <w:t>建筑材料制造</w:t>
            </w:r>
            <w:r>
              <w:rPr>
                <w:rFonts w:hint="default" w:ascii="Times New Roman" w:hAnsi="Times New Roman" w:eastAsia="宋体" w:cs="Times New Roman"/>
                <w:color w:val="auto"/>
                <w:kern w:val="0"/>
                <w:sz w:val="24"/>
                <w:szCs w:val="24"/>
                <w:highlight w:val="none"/>
                <w:lang w:val="en-US" w:eastAsia="zh-CN" w:bidi="ar"/>
              </w:rPr>
              <w:t>30</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9</w:t>
            </w:r>
            <w:r>
              <w:rPr>
                <w:rFonts w:hint="eastAsia" w:ascii="Times New Roman" w:hAnsi="Times New Roman"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其排污许可</w:t>
            </w:r>
            <w:r>
              <w:rPr>
                <w:rFonts w:hint="eastAsia" w:cs="Times New Roman"/>
                <w:color w:val="auto"/>
                <w:kern w:val="0"/>
                <w:sz w:val="24"/>
                <w:szCs w:val="24"/>
                <w:lang w:val="en-US" w:eastAsia="zh-CN" w:bidi="ar"/>
              </w:rPr>
              <w:t>实行简化</w:t>
            </w:r>
            <w:r>
              <w:rPr>
                <w:rFonts w:hint="default" w:ascii="Times New Roman" w:hAnsi="Times New Roman" w:eastAsia="宋体" w:cs="Times New Roman"/>
                <w:color w:val="auto"/>
                <w:kern w:val="0"/>
                <w:sz w:val="24"/>
                <w:szCs w:val="24"/>
                <w:lang w:val="en-US" w:eastAsia="zh-CN" w:bidi="ar"/>
              </w:rPr>
              <w:t>管理</w:t>
            </w:r>
            <w:r>
              <w:rPr>
                <w:rFonts w:hint="eastAsia" w:cs="Times New Roman"/>
                <w:color w:val="auto"/>
                <w:kern w:val="0"/>
                <w:sz w:val="24"/>
                <w:szCs w:val="24"/>
                <w:lang w:val="en-US" w:eastAsia="zh-CN" w:bidi="ar"/>
              </w:rPr>
              <w:t>，</w:t>
            </w:r>
            <w:r>
              <w:rPr>
                <w:rFonts w:hint="default" w:ascii="Times New Roman" w:hAnsi="Times New Roman" w:cs="Times New Roman"/>
                <w:color w:val="auto"/>
                <w:kern w:val="21"/>
                <w:sz w:val="24"/>
                <w:szCs w:val="24"/>
                <w:highlight w:val="none"/>
              </w:rPr>
              <w:t>项目应当在启动运行或者发生实际排污之前进行排污许可</w:t>
            </w:r>
            <w:r>
              <w:rPr>
                <w:rFonts w:hint="eastAsia" w:ascii="Times New Roman" w:hAnsi="Times New Roman" w:cs="Times New Roman"/>
                <w:color w:val="auto"/>
                <w:kern w:val="21"/>
                <w:sz w:val="24"/>
                <w:szCs w:val="24"/>
                <w:highlight w:val="none"/>
                <w:lang w:val="en-US" w:eastAsia="zh-CN"/>
              </w:rPr>
              <w:t>办理，</w:t>
            </w:r>
            <w:r>
              <w:rPr>
                <w:rFonts w:hint="eastAsia" w:ascii="宋体" w:hAnsi="宋体" w:eastAsia="宋体" w:cs="宋体"/>
                <w:color w:val="auto"/>
                <w:kern w:val="0"/>
                <w:sz w:val="24"/>
                <w:szCs w:val="24"/>
                <w:lang w:val="en-US" w:eastAsia="zh-CN" w:bidi="ar"/>
              </w:rPr>
              <w:t>项目总量控制指标如下：</w:t>
            </w:r>
          </w:p>
          <w:p w14:paraId="244F5442">
            <w:pPr>
              <w:ind w:left="0" w:leftChars="0"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1、废气</w:t>
            </w:r>
          </w:p>
          <w:p w14:paraId="52E0EAA1">
            <w:pPr>
              <w:ind w:left="0" w:leftChars="0" w:firstLine="480" w:firstLineChars="200"/>
              <w:rPr>
                <w:rFonts w:hint="default" w:ascii="Times New Roman" w:hAnsi="Times New Roman" w:cs="Times New Roman"/>
                <w:color w:val="auto"/>
                <w:lang w:val="en-US" w:eastAsia="zh-CN"/>
              </w:rPr>
            </w:pPr>
            <w:r>
              <w:rPr>
                <w:rFonts w:hint="eastAsia" w:cs="Times New Roman"/>
                <w:color w:val="auto"/>
                <w:lang w:val="en-US" w:eastAsia="zh-CN"/>
              </w:rPr>
              <w:t>本项目运营期颗粒物排放量为7.914t/a，为无组织排放。国家“十四五”大气总量控制指标为二氧化硫、氮氧化物和VOCs，本项目大气污染物为颗粒物，不属于十四五大气总量控制指标，故不设总量控制。</w:t>
            </w:r>
          </w:p>
          <w:p w14:paraId="5651C76C">
            <w:pPr>
              <w:ind w:left="0" w:leftChars="0"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2、废水</w:t>
            </w:r>
          </w:p>
          <w:p w14:paraId="78386CDA">
            <w:pPr>
              <w:ind w:left="0" w:leftChars="0" w:firstLine="480" w:firstLineChars="200"/>
              <w:rPr>
                <w:rFonts w:hint="default" w:ascii="Times New Roman" w:hAnsi="Times New Roman" w:cs="Times New Roman"/>
                <w:color w:val="auto"/>
                <w:lang w:val="en-US" w:eastAsia="zh-CN"/>
              </w:rPr>
            </w:pPr>
            <w:r>
              <w:rPr>
                <w:rFonts w:hint="eastAsia" w:ascii="宋体" w:hAnsi="宋体" w:eastAsia="宋体" w:cs="宋体"/>
                <w:color w:val="auto"/>
                <w:kern w:val="0"/>
                <w:sz w:val="24"/>
                <w:szCs w:val="24"/>
                <w:lang w:val="en-US" w:eastAsia="zh-CN" w:bidi="ar"/>
              </w:rPr>
              <w:t>项目</w:t>
            </w:r>
            <w:r>
              <w:rPr>
                <w:rFonts w:hint="eastAsia" w:ascii="宋体" w:hAnsi="宋体" w:cs="宋体"/>
                <w:color w:val="auto"/>
                <w:kern w:val="0"/>
                <w:sz w:val="24"/>
                <w:szCs w:val="24"/>
                <w:lang w:val="en-US" w:eastAsia="zh-CN" w:bidi="ar"/>
              </w:rPr>
              <w:t>生产废水</w:t>
            </w:r>
            <w:r>
              <w:rPr>
                <w:rFonts w:hint="default" w:ascii="Times New Roman" w:hAnsi="Times New Roman" w:cs="Times New Roman"/>
                <w:color w:val="auto"/>
                <w:lang w:val="en-US" w:eastAsia="zh-CN"/>
              </w:rPr>
              <w:t>通过</w:t>
            </w:r>
            <w:r>
              <w:rPr>
                <w:rFonts w:hint="eastAsia" w:ascii="Times New Roman" w:cs="Times New Roman"/>
                <w:color w:val="auto"/>
                <w:lang w:val="en-US" w:eastAsia="zh-CN"/>
              </w:rPr>
              <w:t>沉淀系统沉淀处理后，回用于生产，</w:t>
            </w:r>
            <w:r>
              <w:rPr>
                <w:rFonts w:hint="eastAsia" w:ascii="宋体" w:hAnsi="宋体" w:cs="宋体"/>
                <w:color w:val="auto"/>
                <w:kern w:val="0"/>
                <w:sz w:val="24"/>
                <w:szCs w:val="24"/>
                <w:lang w:val="en-US" w:eastAsia="zh-CN" w:bidi="ar"/>
              </w:rPr>
              <w:t>不</w:t>
            </w:r>
            <w:r>
              <w:rPr>
                <w:rFonts w:hint="eastAsia" w:ascii="宋体" w:hAnsi="宋体" w:eastAsia="宋体" w:cs="宋体"/>
                <w:color w:val="auto"/>
                <w:kern w:val="0"/>
                <w:sz w:val="24"/>
                <w:szCs w:val="24"/>
                <w:lang w:val="en-US" w:eastAsia="zh-CN" w:bidi="ar"/>
              </w:rPr>
              <w:t>外排；生活污水经隔油池</w:t>
            </w:r>
            <w:r>
              <w:rPr>
                <w:rFonts w:hint="eastAsia"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化粪池处理后</w:t>
            </w:r>
            <w:r>
              <w:rPr>
                <w:rFonts w:hint="eastAsia" w:ascii="宋体" w:hAnsi="宋体" w:cs="宋体"/>
                <w:color w:val="auto"/>
                <w:kern w:val="0"/>
                <w:sz w:val="24"/>
                <w:szCs w:val="24"/>
                <w:lang w:val="en-US" w:eastAsia="zh-CN" w:bidi="ar"/>
              </w:rPr>
              <w:t>定期</w:t>
            </w:r>
            <w:r>
              <w:rPr>
                <w:rFonts w:hint="eastAsia" w:ascii="宋体" w:hAnsi="宋体" w:eastAsia="宋体" w:cs="宋体"/>
                <w:color w:val="auto"/>
                <w:kern w:val="0"/>
                <w:sz w:val="24"/>
                <w:szCs w:val="24"/>
                <w:lang w:val="en-US" w:eastAsia="zh-CN" w:bidi="ar"/>
              </w:rPr>
              <w:t>使用吸粪车</w:t>
            </w:r>
            <w:r>
              <w:rPr>
                <w:rFonts w:hint="eastAsia" w:ascii="宋体" w:hAnsi="宋体" w:cs="宋体"/>
                <w:color w:val="auto"/>
                <w:kern w:val="0"/>
                <w:sz w:val="24"/>
                <w:szCs w:val="24"/>
                <w:lang w:val="en-US" w:eastAsia="zh-CN" w:bidi="ar"/>
              </w:rPr>
              <w:t>定期清运至华宁县污水处理厂处理</w:t>
            </w:r>
            <w:r>
              <w:rPr>
                <w:rFonts w:hint="eastAsia" w:ascii="宋体" w:hAnsi="宋体" w:eastAsia="宋体" w:cs="宋体"/>
                <w:color w:val="auto"/>
                <w:kern w:val="0"/>
                <w:sz w:val="24"/>
                <w:szCs w:val="24"/>
                <w:lang w:val="en-US" w:eastAsia="zh-CN" w:bidi="ar"/>
              </w:rPr>
              <w:t>，故本项目废水不设废水总量控制指标。</w:t>
            </w:r>
          </w:p>
          <w:p w14:paraId="10334DF7">
            <w:pPr>
              <w:ind w:left="0" w:leftChars="0"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3、固体废物</w:t>
            </w:r>
          </w:p>
          <w:p w14:paraId="16FA9A7A">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本项目产生的固体废物处置率</w:t>
            </w:r>
            <w:r>
              <w:rPr>
                <w:rFonts w:hint="default" w:ascii="Times New Roman" w:hAnsi="Times New Roman" w:eastAsia="宋体" w:cs="Times New Roman"/>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，不设总量控制指标。</w:t>
            </w:r>
          </w:p>
          <w:p w14:paraId="27758D84">
            <w:pPr>
              <w:keepNext w:val="0"/>
              <w:keepLines w:val="0"/>
              <w:widowControl/>
              <w:suppressLineNumbers w:val="0"/>
              <w:jc w:val="left"/>
              <w:rPr>
                <w:rFonts w:hint="eastAsia" w:ascii="宋体" w:hAnsi="宋体" w:eastAsia="宋体" w:cs="宋体"/>
                <w:color w:val="auto"/>
                <w:kern w:val="0"/>
                <w:sz w:val="24"/>
                <w:szCs w:val="24"/>
                <w:lang w:val="en-US" w:eastAsia="zh-CN" w:bidi="ar"/>
              </w:rPr>
            </w:pPr>
          </w:p>
          <w:p w14:paraId="7F411356">
            <w:pPr>
              <w:keepNext w:val="0"/>
              <w:keepLines w:val="0"/>
              <w:widowControl/>
              <w:suppressLineNumbers w:val="0"/>
              <w:jc w:val="left"/>
              <w:rPr>
                <w:rFonts w:hint="default" w:ascii="宋体" w:hAnsi="宋体" w:eastAsia="宋体" w:cs="宋体"/>
                <w:color w:val="auto"/>
                <w:kern w:val="0"/>
                <w:sz w:val="24"/>
                <w:szCs w:val="24"/>
                <w:lang w:val="en-US" w:eastAsia="zh-CN" w:bidi="ar"/>
              </w:rPr>
            </w:pPr>
          </w:p>
        </w:tc>
      </w:tr>
    </w:tbl>
    <w:p w14:paraId="654D8A1C">
      <w:pPr>
        <w:pStyle w:val="14"/>
        <w:rPr>
          <w:rFonts w:hint="default" w:ascii="Times New Roman" w:hAnsi="Times New Roman" w:cs="Times New Roman"/>
          <w:color w:val="auto"/>
        </w:rPr>
      </w:pPr>
      <w:r>
        <w:rPr>
          <w:rFonts w:hint="default" w:ascii="Times New Roman" w:hAnsi="Times New Roman" w:cs="Times New Roman"/>
          <w:color w:val="auto"/>
        </w:rPr>
        <w:br w:type="page"/>
      </w:r>
      <w:bookmarkStart w:id="25" w:name="_Toc1426"/>
      <w:bookmarkStart w:id="26" w:name="_Toc30257"/>
      <w:r>
        <w:rPr>
          <w:rFonts w:hint="default" w:ascii="Times New Roman" w:hAnsi="Times New Roman" w:cs="Times New Roman"/>
          <w:color w:val="auto"/>
        </w:rPr>
        <w:t>四、主要环境影响和保护措施</w:t>
      </w:r>
      <w:bookmarkEnd w:id="25"/>
      <w:bookmarkEnd w:id="26"/>
    </w:p>
    <w:tbl>
      <w:tblPr>
        <w:tblStyle w:val="16"/>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
        <w:gridCol w:w="9354"/>
      </w:tblGrid>
      <w:tr w14:paraId="2627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dxa"/>
            <w:tcBorders>
              <w:tl2br w:val="nil"/>
              <w:tr2bl w:val="nil"/>
            </w:tcBorders>
            <w:tcMar>
              <w:left w:w="28" w:type="dxa"/>
              <w:right w:w="28" w:type="dxa"/>
            </w:tcMar>
            <w:vAlign w:val="center"/>
          </w:tcPr>
          <w:p w14:paraId="20AC423C">
            <w:pPr>
              <w:pStyle w:val="40"/>
              <w:rPr>
                <w:rFonts w:hint="default" w:ascii="Times New Roman" w:hAnsi="Times New Roman" w:cs="Times New Roman"/>
                <w:color w:val="auto"/>
              </w:rPr>
            </w:pPr>
            <w:r>
              <w:rPr>
                <w:rFonts w:hint="default" w:ascii="Times New Roman" w:hAnsi="Times New Roman" w:cs="Times New Roman"/>
                <w:color w:val="auto"/>
              </w:rPr>
              <w:t>施工</w:t>
            </w:r>
          </w:p>
          <w:p w14:paraId="1514EED4">
            <w:pPr>
              <w:pStyle w:val="40"/>
              <w:rPr>
                <w:rFonts w:hint="default" w:ascii="Times New Roman" w:hAnsi="Times New Roman" w:cs="Times New Roman"/>
                <w:color w:val="auto"/>
              </w:rPr>
            </w:pPr>
            <w:r>
              <w:rPr>
                <w:rFonts w:hint="default" w:ascii="Times New Roman" w:hAnsi="Times New Roman" w:cs="Times New Roman"/>
                <w:color w:val="auto"/>
              </w:rPr>
              <w:t>期环</w:t>
            </w:r>
          </w:p>
          <w:p w14:paraId="0DC8E351">
            <w:pPr>
              <w:pStyle w:val="40"/>
              <w:rPr>
                <w:rFonts w:hint="default" w:ascii="Times New Roman" w:hAnsi="Times New Roman" w:cs="Times New Roman"/>
                <w:color w:val="auto"/>
              </w:rPr>
            </w:pPr>
            <w:r>
              <w:rPr>
                <w:rFonts w:hint="default" w:ascii="Times New Roman" w:hAnsi="Times New Roman" w:cs="Times New Roman"/>
                <w:color w:val="auto"/>
              </w:rPr>
              <w:t>境保</w:t>
            </w:r>
          </w:p>
          <w:p w14:paraId="34698D52">
            <w:pPr>
              <w:pStyle w:val="40"/>
              <w:rPr>
                <w:rFonts w:hint="default" w:ascii="Times New Roman" w:hAnsi="Times New Roman" w:cs="Times New Roman"/>
                <w:color w:val="auto"/>
              </w:rPr>
            </w:pPr>
            <w:r>
              <w:rPr>
                <w:rFonts w:hint="default" w:ascii="Times New Roman" w:hAnsi="Times New Roman" w:cs="Times New Roman"/>
                <w:color w:val="auto"/>
              </w:rPr>
              <w:t>护措</w:t>
            </w:r>
          </w:p>
          <w:p w14:paraId="29A85057">
            <w:pPr>
              <w:pStyle w:val="40"/>
              <w:rPr>
                <w:rFonts w:hint="default" w:ascii="Times New Roman" w:hAnsi="Times New Roman" w:cs="Times New Roman"/>
                <w:bCs/>
                <w:color w:val="auto"/>
              </w:rPr>
            </w:pPr>
            <w:r>
              <w:rPr>
                <w:rFonts w:hint="default" w:ascii="Times New Roman" w:hAnsi="Times New Roman" w:cs="Times New Roman"/>
                <w:color w:val="auto"/>
              </w:rPr>
              <w:t>施</w:t>
            </w:r>
          </w:p>
        </w:tc>
        <w:tc>
          <w:tcPr>
            <w:tcW w:w="9354" w:type="dxa"/>
            <w:tcBorders>
              <w:tl2br w:val="nil"/>
              <w:tr2bl w:val="nil"/>
            </w:tcBorders>
            <w:vAlign w:val="center"/>
          </w:tcPr>
          <w:p w14:paraId="6C7886EA">
            <w:pPr>
              <w:pStyle w:val="47"/>
              <w:keepNext w:val="0"/>
              <w:keepLines w:val="0"/>
              <w:pageBreakBefore w:val="0"/>
              <w:kinsoku/>
              <w:wordWrap/>
              <w:overflowPunct/>
              <w:topLinePunct w:val="0"/>
              <w:autoSpaceDE/>
              <w:autoSpaceDN/>
              <w:bidi w:val="0"/>
              <w:spacing w:line="360" w:lineRule="auto"/>
              <w:ind w:left="0" w:leftChars="0" w:firstLine="0" w:firstLine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1施工期主要环境保护措施</w:t>
            </w:r>
          </w:p>
          <w:p w14:paraId="2DF23C22">
            <w:pPr>
              <w:pStyle w:val="47"/>
              <w:keepNext w:val="0"/>
              <w:keepLines w:val="0"/>
              <w:pageBreakBefore w:val="0"/>
              <w:kinsoku/>
              <w:wordWrap/>
              <w:overflowPunct/>
              <w:topLinePunct w:val="0"/>
              <w:autoSpaceDE/>
              <w:autoSpaceDN/>
              <w:bidi w:val="0"/>
              <w:spacing w:line="360" w:lineRule="auto"/>
              <w:ind w:left="0" w:leftChars="0" w:firstLine="0" w:firstLineChars="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sz w:val="24"/>
                <w:szCs w:val="24"/>
                <w:lang w:val="en-US" w:eastAsia="zh-CN"/>
              </w:rPr>
              <w:t>1.1施工期大气环</w:t>
            </w:r>
            <w:r>
              <w:rPr>
                <w:rFonts w:hint="eastAsia" w:ascii="Times New Roman" w:hAnsi="Times New Roman" w:eastAsia="宋体" w:cs="Times New Roman"/>
                <w:b/>
                <w:bCs/>
                <w:color w:val="auto"/>
                <w:sz w:val="24"/>
                <w:szCs w:val="24"/>
                <w:lang w:val="en-US" w:eastAsia="zh-CN"/>
              </w:rPr>
              <w:t>境</w:t>
            </w:r>
            <w:r>
              <w:rPr>
                <w:rFonts w:hint="default" w:ascii="Times New Roman" w:hAnsi="Times New Roman" w:eastAsia="宋体" w:cs="Times New Roman"/>
                <w:b/>
                <w:bCs/>
                <w:color w:val="auto"/>
                <w:sz w:val="24"/>
                <w:szCs w:val="24"/>
                <w:lang w:val="en-US" w:eastAsia="zh-CN"/>
              </w:rPr>
              <w:t>保护措施</w:t>
            </w:r>
          </w:p>
          <w:p w14:paraId="0AB091B6">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施工废气主要包括施工扬尘、运输车辆以及施工机械产生的尾气。</w:t>
            </w:r>
          </w:p>
          <w:p w14:paraId="035A6A7C">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（1）施工扬尘</w:t>
            </w:r>
          </w:p>
          <w:p w14:paraId="4808CD8B">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施工期扬尘属无组织排放，其产生量与施工范围、方式方法、土壤干湿度、气象等诸多因素有关。根据云南省环境监测中心对建筑施工现场的扬尘污染监测，在距施工现场边界50m处，TSP浓度最大达到4.53mg/m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，至150m处仍可达到1.51mg/m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，只有在300m处才低于0.5mg/m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。所以施工期无组织排放的扬尘污染范围在300m以内。</w:t>
            </w:r>
          </w:p>
          <w:p w14:paraId="34CF6546">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根据住建部《关于严格执行全市城区房屋建筑施工现场扬尘治理六个百分之百标准的通知》有关要求，建筑单位务必做到以下几点：</w:t>
            </w:r>
          </w:p>
          <w:p w14:paraId="76D81081">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（1）现场封闭管理百分之百：施工现场硬质围挡应连续设置，一般路段的工地不低于1.8m，做到坚固、平稳、整洁、美观。在建工程外立面应用安全网实现全封闭围护。</w:t>
            </w:r>
          </w:p>
          <w:p w14:paraId="479883B4">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（2）场区道路硬化百分之百：主要通道、进出道路、加工区及办公生活区地面进行硬化处理。</w:t>
            </w:r>
          </w:p>
          <w:p w14:paraId="5A4C25F7">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（3）渣土物料蓬盖百分之百：施工现场内裸露的场地应采取覆盖、固化或绿化等防尘措施，易产生扬尘的物料要篷布覆盖。</w:t>
            </w:r>
          </w:p>
          <w:p w14:paraId="398890A5">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4）洒水清扫保洁百分之百：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139307F2">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（5）物料密闭运输百分之百：易产生扬尘的建筑材料、渣土应采取密闭搬运、存储或采用防尘布苫盖等防尘措施。严禁熔融沥青、焚烧垃圾等有毒有害物质，禁止无牌无证车辆进入施工现场。</w:t>
            </w:r>
          </w:p>
          <w:p w14:paraId="02A92C93">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（6）出入车辆清洗百分之百：施工现场出入口处设置人工车辆冲洗装置，运输车辆车轮冲洗干净后方可驶离施工现场。</w:t>
            </w:r>
          </w:p>
          <w:p w14:paraId="12BBF7F9">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项目施工期采取上述措施后，</w:t>
            </w:r>
            <w:r>
              <w:rPr>
                <w:rFonts w:hint="eastAsia" w:eastAsia="宋体" w:cs="Times New Roman"/>
                <w:b w:val="0"/>
                <w:bCs w:val="0"/>
                <w:color w:val="auto"/>
                <w:sz w:val="24"/>
                <w:szCs w:val="24"/>
                <w:lang w:val="en-US" w:eastAsia="zh-CN"/>
              </w:rPr>
              <w:t>施工扬尘对周围环境的影响不大</w:t>
            </w:r>
            <w:r>
              <w:rPr>
                <w:rFonts w:hint="default" w:ascii="Times New Roman" w:hAnsi="Times New Roman" w:eastAsia="宋体" w:cs="Times New Roman"/>
                <w:b w:val="0"/>
                <w:bCs w:val="0"/>
                <w:color w:val="auto"/>
                <w:sz w:val="24"/>
                <w:szCs w:val="24"/>
                <w:lang w:val="en-US" w:eastAsia="zh-CN"/>
              </w:rPr>
              <w:t>。</w:t>
            </w:r>
          </w:p>
          <w:p w14:paraId="3B293F90">
            <w:pPr>
              <w:pStyle w:val="4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（2）车辆及施工机械尾气</w:t>
            </w:r>
          </w:p>
          <w:p w14:paraId="1B707401">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施工机械和运输车辆，使用汽油或柴油作为能源，在运行时排放的废气会对环境产生一定的影响。燃油尾气污染物主要是</w:t>
            </w:r>
            <w:r>
              <w:rPr>
                <w:rFonts w:hint="default" w:ascii="Times New Roman" w:hAnsi="Times New Roman" w:eastAsia="宋体" w:cs="Times New Roman"/>
                <w:color w:val="auto"/>
                <w:kern w:val="0"/>
                <w:sz w:val="24"/>
                <w:szCs w:val="24"/>
                <w:lang w:val="en-US" w:eastAsia="zh-CN" w:bidi="ar"/>
              </w:rPr>
              <w:t>CO</w:t>
            </w:r>
            <w:r>
              <w:rPr>
                <w:rFonts w:hint="eastAsia" w:ascii="宋体" w:hAnsi="宋体" w:eastAsia="宋体" w:cs="宋体"/>
                <w:color w:val="auto"/>
                <w:kern w:val="0"/>
                <w:sz w:val="24"/>
                <w:szCs w:val="24"/>
                <w:lang w:val="en-US" w:eastAsia="zh-CN" w:bidi="ar"/>
              </w:rPr>
              <w:t>、碳氢化合物等，其产生量及废气中污染物浓度视其使用频率及发动机对燃料的燃烧情况而异。</w:t>
            </w:r>
          </w:p>
          <w:p w14:paraId="602024F1">
            <w:pPr>
              <w:keepNext w:val="0"/>
              <w:keepLines w:val="0"/>
              <w:pageBreakBefore w:val="0"/>
              <w:widowControl/>
              <w:suppressLineNumbers w:val="0"/>
              <w:kinsoku/>
              <w:wordWrap/>
              <w:overflowPunct/>
              <w:topLinePunct w:val="0"/>
              <w:autoSpaceDE/>
              <w:autoSpaceDN/>
              <w:bidi w:val="0"/>
              <w:spacing w:line="360" w:lineRule="auto"/>
              <w:jc w:val="left"/>
              <w:textAlignment w:val="auto"/>
              <w:rPr>
                <w:color w:val="auto"/>
              </w:rPr>
            </w:pPr>
            <w:r>
              <w:rPr>
                <w:rFonts w:hint="eastAsia" w:ascii="宋体" w:hAnsi="宋体" w:eastAsia="宋体" w:cs="宋体"/>
                <w:color w:val="auto"/>
                <w:kern w:val="0"/>
                <w:sz w:val="24"/>
                <w:szCs w:val="24"/>
                <w:lang w:val="en-US" w:eastAsia="zh-CN" w:bidi="ar"/>
              </w:rPr>
              <w:t>施工机械废气属低架点源无组织排放性质，具有间断性产生、产生量较小、产生点相对分散、易被稀释扩散等特点，施工结束后，环境空气影响会随即消失。加之项目施工场地周围较空旷，大气扩散条件相对较好，故一般情况下，施工机械和运输车辆所产生污染在空气中经自然扩散和稀释后，对区域的空气环境质量影响较小。</w:t>
            </w:r>
          </w:p>
          <w:p w14:paraId="7C3D3823">
            <w:pPr>
              <w:pStyle w:val="37"/>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1.2施工期</w:t>
            </w:r>
            <w:r>
              <w:rPr>
                <w:rFonts w:hint="default" w:ascii="Times New Roman" w:hAnsi="Times New Roman" w:cs="Times New Roman"/>
                <w:b/>
                <w:bCs/>
                <w:color w:val="auto"/>
                <w:sz w:val="24"/>
                <w:szCs w:val="24"/>
              </w:rPr>
              <w:t>声环境</w:t>
            </w:r>
            <w:r>
              <w:rPr>
                <w:rFonts w:hint="default" w:ascii="Times New Roman" w:hAnsi="Times New Roman" w:cs="Times New Roman"/>
                <w:b/>
                <w:bCs/>
                <w:color w:val="auto"/>
                <w:sz w:val="24"/>
                <w:szCs w:val="24"/>
                <w:lang w:val="en-US" w:eastAsia="zh-CN"/>
              </w:rPr>
              <w:t>保护措施</w:t>
            </w:r>
          </w:p>
          <w:p w14:paraId="4347E440">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ascii="宋体" w:hAnsi="宋体" w:eastAsia="宋体" w:cs="宋体"/>
                <w:b w:val="0"/>
                <w:bCs w:val="0"/>
                <w:color w:val="auto"/>
                <w:sz w:val="24"/>
                <w:szCs w:val="24"/>
              </w:rPr>
            </w:pPr>
            <w:r>
              <w:rPr>
                <w:rFonts w:ascii="宋体" w:hAnsi="宋体" w:eastAsia="宋体" w:cs="宋体"/>
                <w:b w:val="0"/>
                <w:bCs w:val="0"/>
                <w:color w:val="auto"/>
                <w:sz w:val="24"/>
                <w:szCs w:val="24"/>
              </w:rPr>
              <w:t>施工期噪声主要为施工机械噪声、施工作业噪声和运输车辆噪声。施工机械噪声来源于施工机械，多为点声源；施工作业噪声主要为一些零星的敲打声、装卸建材的撞击声、施工人员的吆喝声、拆装模板的撞击声等，多为瞬间噪声；运输车辆的噪声属于交通噪声，在这些施工噪声中对声环境影响最大的是施工机械噪声。参考《环境噪声与振动控制工程技术导则》（</w:t>
            </w:r>
            <w:r>
              <w:rPr>
                <w:rFonts w:ascii="TimesNewRomanPSMT" w:hAnsi="TimesNewRomanPSMT" w:eastAsia="TimesNewRomanPSMT" w:cs="TimesNewRomanPSMT"/>
                <w:b w:val="0"/>
                <w:bCs w:val="0"/>
                <w:color w:val="auto"/>
                <w:sz w:val="24"/>
                <w:szCs w:val="24"/>
              </w:rPr>
              <w:t>HJ2034-2013</w:t>
            </w:r>
            <w:r>
              <w:rPr>
                <w:rFonts w:ascii="宋体" w:hAnsi="宋体" w:eastAsia="宋体" w:cs="宋体"/>
                <w:b w:val="0"/>
                <w:bCs w:val="0"/>
                <w:color w:val="auto"/>
                <w:sz w:val="24"/>
                <w:szCs w:val="24"/>
              </w:rPr>
              <w:t>），施工机械设备的噪声源强详见表</w:t>
            </w:r>
            <w:r>
              <w:rPr>
                <w:rFonts w:hint="default" w:ascii="TimesNewRomanPSMT" w:hAnsi="TimesNewRomanPSMT" w:eastAsia="TimesNewRomanPSMT" w:cs="TimesNewRomanPSMT"/>
                <w:b w:val="0"/>
                <w:bCs w:val="0"/>
                <w:color w:val="auto"/>
                <w:sz w:val="24"/>
                <w:szCs w:val="24"/>
              </w:rPr>
              <w:t>4-1</w:t>
            </w:r>
            <w:r>
              <w:rPr>
                <w:rFonts w:ascii="宋体" w:hAnsi="宋体" w:eastAsia="宋体" w:cs="宋体"/>
                <w:b w:val="0"/>
                <w:bCs w:val="0"/>
                <w:color w:val="auto"/>
                <w:sz w:val="24"/>
                <w:szCs w:val="24"/>
              </w:rPr>
              <w:t>。</w:t>
            </w:r>
          </w:p>
          <w:p w14:paraId="1E853BAD">
            <w:pPr>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表4-1  施工设备主要噪声声源强度表  单位dB（A）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4"/>
              <w:gridCol w:w="4564"/>
            </w:tblGrid>
            <w:tr w14:paraId="680D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vAlign w:val="center"/>
                </w:tcPr>
                <w:p w14:paraId="72A3DA00">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施工设备名称</w:t>
                  </w:r>
                </w:p>
              </w:tc>
              <w:tc>
                <w:tcPr>
                  <w:tcW w:w="4569" w:type="dxa"/>
                  <w:vAlign w:val="center"/>
                </w:tcPr>
                <w:p w14:paraId="5E8EB02B">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距声源5m</w:t>
                  </w:r>
                </w:p>
              </w:tc>
            </w:tr>
            <w:tr w14:paraId="0C5C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vAlign w:val="center"/>
                </w:tcPr>
                <w:p w14:paraId="35ACE532">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推土机</w:t>
                  </w:r>
                </w:p>
              </w:tc>
              <w:tc>
                <w:tcPr>
                  <w:tcW w:w="4569" w:type="dxa"/>
                  <w:vAlign w:val="center"/>
                </w:tcPr>
                <w:p w14:paraId="276DD744">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80-85</w:t>
                  </w:r>
                </w:p>
              </w:tc>
            </w:tr>
            <w:tr w14:paraId="453A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vAlign w:val="center"/>
                </w:tcPr>
                <w:p w14:paraId="20BCDAF0">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装载机</w:t>
                  </w:r>
                </w:p>
              </w:tc>
              <w:tc>
                <w:tcPr>
                  <w:tcW w:w="4569" w:type="dxa"/>
                  <w:vAlign w:val="center"/>
                </w:tcPr>
                <w:p w14:paraId="4E42E7DF">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90-95</w:t>
                  </w:r>
                </w:p>
              </w:tc>
            </w:tr>
            <w:tr w14:paraId="7815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vAlign w:val="center"/>
                </w:tcPr>
                <w:p w14:paraId="0029B7A3">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挖掘机</w:t>
                  </w:r>
                </w:p>
              </w:tc>
              <w:tc>
                <w:tcPr>
                  <w:tcW w:w="4569" w:type="dxa"/>
                  <w:vAlign w:val="center"/>
                </w:tcPr>
                <w:p w14:paraId="2F62E81A">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82-90</w:t>
                  </w:r>
                </w:p>
              </w:tc>
            </w:tr>
            <w:tr w14:paraId="606E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vAlign w:val="center"/>
                </w:tcPr>
                <w:p w14:paraId="5BE2EAFB">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压路机</w:t>
                  </w:r>
                </w:p>
              </w:tc>
              <w:tc>
                <w:tcPr>
                  <w:tcW w:w="4569" w:type="dxa"/>
                  <w:vAlign w:val="center"/>
                </w:tcPr>
                <w:p w14:paraId="02665BDB">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80-85</w:t>
                  </w:r>
                </w:p>
              </w:tc>
            </w:tr>
            <w:tr w14:paraId="5E94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vAlign w:val="center"/>
                </w:tcPr>
                <w:p w14:paraId="57BD692D">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运输车</w:t>
                  </w:r>
                </w:p>
              </w:tc>
              <w:tc>
                <w:tcPr>
                  <w:tcW w:w="4569" w:type="dxa"/>
                  <w:vAlign w:val="center"/>
                </w:tcPr>
                <w:p w14:paraId="6A439CEF">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82-90</w:t>
                  </w:r>
                </w:p>
              </w:tc>
            </w:tr>
            <w:tr w14:paraId="20DB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vAlign w:val="center"/>
                </w:tcPr>
                <w:p w14:paraId="2892BAD4">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混凝土搅拌车</w:t>
                  </w:r>
                </w:p>
              </w:tc>
              <w:tc>
                <w:tcPr>
                  <w:tcW w:w="4569" w:type="dxa"/>
                  <w:vAlign w:val="center"/>
                </w:tcPr>
                <w:p w14:paraId="43E3B523">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85-90</w:t>
                  </w:r>
                </w:p>
              </w:tc>
            </w:tr>
          </w:tbl>
          <w:p w14:paraId="46919B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当多台机械设备同时作业时，产生噪声叠加，根据类比调查，叠加后的噪声增加3-8dB</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A</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，一般不会超过10dB</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A</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，因此施工期噪声必须按照《中华人民共和国环境噪声污染防治法》规定，严格按《建筑施工场界环境噪声排放标准》（GB12523-2011）进行控制。为减缓施工噪声的影响，本环评提出如下措施：</w:t>
            </w:r>
          </w:p>
          <w:p w14:paraId="7D346CA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（1）合理布置施工现场，应尽量避免在施工现场的同一地点安排大量的高噪声设备，造成局部声级过高。</w:t>
            </w:r>
          </w:p>
          <w:p w14:paraId="709FAB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（2）施工方应对物件装卸、搬运轻拿轻放，严禁抛掷。</w:t>
            </w:r>
          </w:p>
          <w:p w14:paraId="1B20EA3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（3）施工方应合理安排施工时间，施工工地周边设置围挡，禁止夜间（22时-6时）施工。</w:t>
            </w:r>
          </w:p>
          <w:p w14:paraId="7E36FC5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（4）对动力机械设备定期进行维修和养护，避免因松动部件振动而加大设备工作时的声级。</w:t>
            </w:r>
          </w:p>
          <w:p w14:paraId="7EB37F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项目施工期采取以上声环境保护措施后，施工期噪声对周围环境影响不大。</w:t>
            </w:r>
          </w:p>
          <w:p w14:paraId="4BABB820">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1.3水环境保护措施</w:t>
            </w:r>
          </w:p>
          <w:p w14:paraId="7A12FF02">
            <w:pPr>
              <w:pStyle w:val="49"/>
              <w:keepNext w:val="0"/>
              <w:keepLines w:val="0"/>
              <w:pageBreakBefore w:val="0"/>
              <w:numPr>
                <w:ilvl w:val="0"/>
                <w:numId w:val="2"/>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color w:val="auto"/>
              </w:rPr>
            </w:pPr>
            <w:r>
              <w:rPr>
                <w:rFonts w:hint="default" w:ascii="Times New Roman" w:hAnsi="Times New Roman" w:cs="Times New Roman"/>
                <w:b/>
                <w:bCs/>
                <w:color w:val="auto"/>
              </w:rPr>
              <w:t>施工机械冲洗水</w:t>
            </w:r>
          </w:p>
          <w:p w14:paraId="4DAFC8B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eastAsia="宋体" w:cs="Times New Roman"/>
                <w:color w:val="auto"/>
                <w:sz w:val="24"/>
                <w:szCs w:val="24"/>
              </w:rPr>
              <w:t>施工废水来源于现场施工机械冲洗废水</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施工机械冲洗废水排放量小，</w:t>
            </w:r>
            <w:r>
              <w:rPr>
                <w:rFonts w:hint="default" w:ascii="Times New Roman" w:hAnsi="Times New Roman" w:eastAsia="宋体" w:cs="Times New Roman"/>
                <w:color w:val="auto"/>
                <w:sz w:val="24"/>
                <w:szCs w:val="24"/>
                <w:lang w:val="en-US" w:eastAsia="zh-CN"/>
              </w:rPr>
              <w:t>设置一个临时</w:t>
            </w:r>
            <w:r>
              <w:rPr>
                <w:rFonts w:hint="default" w:ascii="Times New Roman" w:hAnsi="Times New Roman" w:cs="Times New Roman"/>
                <w:color w:val="auto"/>
                <w:sz w:val="24"/>
                <w:szCs w:val="24"/>
                <w:vertAlign w:val="baseline"/>
                <w:lang w:val="en-US" w:eastAsia="zh-CN"/>
              </w:rPr>
              <w:t>沉淀池（5m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），施工废水经沉淀处理后用于厂区洒水降尘，不外排。</w:t>
            </w:r>
          </w:p>
          <w:p w14:paraId="39B7D87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2" w:firstLineChars="200"/>
              <w:textAlignment w:val="auto"/>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lang w:val="en-US" w:eastAsia="zh-CN"/>
              </w:rPr>
              <w:t>生活污水</w:t>
            </w:r>
          </w:p>
          <w:p w14:paraId="0E481616">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val="0"/>
                <w:bCs/>
                <w:color w:val="auto"/>
                <w:sz w:val="24"/>
                <w:szCs w:val="24"/>
                <w:lang w:val="en-US" w:eastAsia="zh-CN"/>
              </w:rPr>
              <w:t>工程施工期日均人数10，均不在厂区食宿，施工期3个月，根据《云南省地方标准用水定额》（DB53/T168-2019）标准，综合生活用水定额采用80L/（人·d），生活用水量为0.8m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/d，排水定额按生活用水定额的80%</w:t>
            </w:r>
            <w:r>
              <w:rPr>
                <w:rFonts w:hint="eastAsia" w:cs="Times New Roman"/>
                <w:b w:val="0"/>
                <w:bCs/>
                <w:color w:val="auto"/>
                <w:sz w:val="24"/>
                <w:szCs w:val="24"/>
                <w:lang w:val="en-US" w:eastAsia="zh-CN"/>
              </w:rPr>
              <w:t>计，</w:t>
            </w:r>
            <w:r>
              <w:rPr>
                <w:rFonts w:hint="default" w:ascii="Times New Roman" w:hAnsi="Times New Roman" w:cs="Times New Roman"/>
                <w:b w:val="0"/>
                <w:bCs/>
                <w:color w:val="auto"/>
                <w:sz w:val="24"/>
                <w:szCs w:val="24"/>
                <w:lang w:val="en-US" w:eastAsia="zh-CN"/>
              </w:rPr>
              <w:t>则生活污水排水量为0.64m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施工期间产生的总生活污水量为</w:t>
            </w:r>
            <w:r>
              <w:rPr>
                <w:rFonts w:hint="eastAsia" w:ascii="Times New Roman" w:hAnsi="Times New Roman" w:cs="Times New Roman"/>
                <w:b w:val="0"/>
                <w:bCs/>
                <w:color w:val="auto"/>
                <w:sz w:val="24"/>
                <w:szCs w:val="24"/>
                <w:lang w:val="en-US" w:eastAsia="zh-CN"/>
              </w:rPr>
              <w:t>57.6</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vertAlign w:val="baseline"/>
                <w:lang w:val="en-US" w:eastAsia="zh-CN"/>
              </w:rPr>
              <w:t>，排入原法果红砖厂化粪池处置，</w:t>
            </w:r>
            <w:r>
              <w:rPr>
                <w:rFonts w:hint="eastAsia" w:cs="Times New Roman"/>
                <w:b w:val="0"/>
                <w:bCs/>
                <w:color w:val="auto"/>
                <w:sz w:val="24"/>
                <w:szCs w:val="24"/>
                <w:vertAlign w:val="baseline"/>
                <w:lang w:val="en-US" w:eastAsia="zh-CN"/>
              </w:rPr>
              <w:t>定期</w:t>
            </w:r>
            <w:r>
              <w:rPr>
                <w:rFonts w:hint="default" w:ascii="Times New Roman" w:hAnsi="Times New Roman" w:cs="Times New Roman"/>
                <w:color w:val="auto"/>
                <w:sz w:val="24"/>
                <w:szCs w:val="24"/>
                <w:lang w:val="en-US" w:eastAsia="zh-CN"/>
              </w:rPr>
              <w:t>使用吸粪车定期清运</w:t>
            </w:r>
            <w:r>
              <w:rPr>
                <w:rFonts w:hint="eastAsia" w:cs="Times New Roman"/>
                <w:color w:val="auto"/>
                <w:sz w:val="24"/>
                <w:szCs w:val="24"/>
                <w:lang w:val="en-US" w:eastAsia="zh-CN"/>
              </w:rPr>
              <w:t>至华宁县污水处理厂处理</w:t>
            </w:r>
            <w:r>
              <w:rPr>
                <w:rFonts w:hint="default" w:ascii="Times New Roman" w:hAnsi="Times New Roman" w:cs="Times New Roman"/>
                <w:color w:val="auto"/>
                <w:sz w:val="24"/>
                <w:szCs w:val="24"/>
                <w:lang w:val="en-US" w:eastAsia="zh-CN"/>
              </w:rPr>
              <w:t>。</w:t>
            </w:r>
          </w:p>
          <w:p w14:paraId="0E187AF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cs="Times New Roman"/>
                <w:color w:val="auto"/>
                <w:sz w:val="24"/>
                <w:szCs w:val="24"/>
                <w:lang w:val="en-US" w:eastAsia="zh-CN"/>
              </w:rPr>
            </w:pPr>
            <w:r>
              <w:rPr>
                <w:rFonts w:hint="eastAsia" w:cs="Times New Roman"/>
                <w:b w:val="0"/>
                <w:bCs w:val="0"/>
                <w:color w:val="auto"/>
                <w:sz w:val="24"/>
                <w:szCs w:val="24"/>
                <w:lang w:val="en-US" w:eastAsia="zh-CN"/>
              </w:rPr>
              <w:t>项目施工期采取以上水环境保护措施后，施工期废水对周围环境影响不大。</w:t>
            </w:r>
          </w:p>
          <w:p w14:paraId="7BCE8EDF">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1.4固体废物环境影响分析</w:t>
            </w:r>
          </w:p>
          <w:p w14:paraId="5132FE8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施工产生的固体废物主要是建筑垃圾和生活垃圾</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项目租用原法果红砖厂场地建设，土地已平整，不涉及开挖土石方。</w:t>
            </w:r>
          </w:p>
          <w:p w14:paraId="7BA6516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（1）施工过程</w:t>
            </w:r>
            <w:r>
              <w:rPr>
                <w:rFonts w:hint="default" w:ascii="Times New Roman" w:hAnsi="Times New Roman" w:cs="Times New Roman"/>
                <w:color w:val="auto"/>
                <w:sz w:val="24"/>
                <w:szCs w:val="24"/>
              </w:rPr>
              <w:t>产生</w:t>
            </w:r>
            <w:r>
              <w:rPr>
                <w:rFonts w:hint="default" w:ascii="Times New Roman" w:hAnsi="Times New Roman" w:cs="Times New Roman"/>
                <w:color w:val="auto"/>
                <w:sz w:val="24"/>
                <w:szCs w:val="24"/>
                <w:lang w:val="en-US" w:eastAsia="zh-CN"/>
              </w:rPr>
              <w:t>建筑</w:t>
            </w:r>
            <w:r>
              <w:rPr>
                <w:rFonts w:hint="default" w:ascii="Times New Roman" w:hAnsi="Times New Roman" w:cs="Times New Roman"/>
                <w:color w:val="auto"/>
                <w:sz w:val="24"/>
                <w:szCs w:val="24"/>
              </w:rPr>
              <w:t>垃圾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分类</w:t>
            </w:r>
            <w:r>
              <w:rPr>
                <w:rFonts w:hint="default" w:ascii="Times New Roman" w:hAnsi="Times New Roman" w:cs="Times New Roman"/>
                <w:color w:val="auto"/>
                <w:sz w:val="24"/>
                <w:szCs w:val="24"/>
                <w:lang w:val="en-US" w:eastAsia="zh-CN"/>
              </w:rPr>
              <w:t>收集</w:t>
            </w:r>
            <w:r>
              <w:rPr>
                <w:rFonts w:hint="default" w:ascii="Times New Roman" w:hAnsi="Times New Roman" w:cs="Times New Roman"/>
                <w:color w:val="auto"/>
                <w:sz w:val="24"/>
                <w:szCs w:val="24"/>
              </w:rPr>
              <w:t>，可再生利用的部分回收利用，不能利用的运至城管部门指定地点</w:t>
            </w:r>
            <w:r>
              <w:rPr>
                <w:rFonts w:hint="default" w:ascii="Times New Roman" w:hAnsi="Times New Roman" w:cs="Times New Roman"/>
                <w:color w:val="auto"/>
                <w:sz w:val="24"/>
                <w:szCs w:val="24"/>
                <w:lang w:val="en-US" w:eastAsia="zh-CN"/>
              </w:rPr>
              <w:t>堆放</w:t>
            </w:r>
            <w:r>
              <w:rPr>
                <w:rFonts w:hint="default" w:ascii="Times New Roman" w:hAnsi="Times New Roman" w:cs="Times New Roman"/>
                <w:color w:val="auto"/>
                <w:sz w:val="24"/>
                <w:szCs w:val="24"/>
              </w:rPr>
              <w:t>，禁止与生活垃圾混合处置，禁止随意丢弃。</w:t>
            </w:r>
          </w:p>
          <w:p w14:paraId="02BF6C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工程施工期</w:t>
            </w:r>
            <w:r>
              <w:rPr>
                <w:rFonts w:hint="default" w:ascii="Times New Roman" w:hAnsi="Times New Roman" w:cs="Times New Roman"/>
                <w:color w:val="auto"/>
                <w:sz w:val="24"/>
                <w:szCs w:val="24"/>
                <w:lang w:val="en-US" w:eastAsia="zh-CN"/>
              </w:rPr>
              <w:t>日均</w:t>
            </w:r>
            <w:r>
              <w:rPr>
                <w:rFonts w:hint="default" w:ascii="Times New Roman" w:hAnsi="Times New Roman" w:cs="Times New Roman"/>
                <w:color w:val="auto"/>
                <w:sz w:val="24"/>
                <w:szCs w:val="24"/>
              </w:rPr>
              <w:t>人数</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施工</w:t>
            </w:r>
            <w:r>
              <w:rPr>
                <w:rFonts w:hint="default" w:ascii="Times New Roman" w:hAnsi="Times New Roman" w:cs="Times New Roman"/>
                <w:color w:val="auto"/>
                <w:sz w:val="24"/>
                <w:szCs w:val="24"/>
                <w:lang w:val="en-US" w:eastAsia="zh-CN"/>
              </w:rPr>
              <w:t>期3个月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生活垃圾产生量按0.</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kg/</w:t>
            </w:r>
            <w:r>
              <w:rPr>
                <w:rFonts w:hint="eastAsia"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rPr>
              <w:t>d计，约</w:t>
            </w:r>
            <w:r>
              <w:rPr>
                <w:rFonts w:hint="eastAsia"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lang w:val="en-US" w:eastAsia="zh-CN"/>
              </w:rPr>
              <w:t>kg</w:t>
            </w:r>
            <w:r>
              <w:rPr>
                <w:rFonts w:hint="default" w:ascii="Times New Roman" w:hAnsi="Times New Roman" w:cs="Times New Roman"/>
                <w:color w:val="auto"/>
                <w:sz w:val="24"/>
                <w:szCs w:val="24"/>
              </w:rPr>
              <w:t>。生活垃圾袋装</w:t>
            </w:r>
            <w:r>
              <w:rPr>
                <w:rFonts w:hint="default" w:ascii="Times New Roman" w:hAnsi="Times New Roman" w:cs="Times New Roman"/>
                <w:color w:val="auto"/>
                <w:sz w:val="24"/>
                <w:szCs w:val="24"/>
                <w:lang w:val="en-US" w:eastAsia="zh-CN"/>
              </w:rPr>
              <w:t>或垃圾桶收集</w:t>
            </w:r>
            <w:r>
              <w:rPr>
                <w:rFonts w:hint="default" w:ascii="Times New Roman" w:hAnsi="Times New Roman" w:cs="Times New Roman"/>
                <w:color w:val="auto"/>
                <w:sz w:val="24"/>
                <w:szCs w:val="24"/>
              </w:rPr>
              <w:t>后</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运送至</w:t>
            </w:r>
            <w:r>
              <w:rPr>
                <w:rFonts w:hint="eastAsia" w:cs="Times New Roman"/>
                <w:color w:val="auto"/>
                <w:sz w:val="24"/>
                <w:szCs w:val="24"/>
                <w:lang w:val="en-US" w:eastAsia="zh-CN"/>
              </w:rPr>
              <w:t>法果村</w:t>
            </w:r>
            <w:r>
              <w:rPr>
                <w:rFonts w:hint="default" w:ascii="Times New Roman" w:hAnsi="Times New Roman" w:cs="Times New Roman"/>
                <w:color w:val="auto"/>
                <w:sz w:val="24"/>
                <w:szCs w:val="24"/>
                <w:lang w:val="en-US" w:eastAsia="zh-CN"/>
              </w:rPr>
              <w:t>生活垃圾处置点处置。</w:t>
            </w:r>
          </w:p>
          <w:p w14:paraId="342D95D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default" w:ascii="Times New Roman" w:hAnsi="Times New Roman" w:cs="Times New Roman"/>
                <w:color w:val="auto"/>
                <w:sz w:val="24"/>
                <w:szCs w:val="24"/>
                <w:lang w:val="en-US" w:eastAsia="zh-CN"/>
              </w:rPr>
            </w:pPr>
            <w:r>
              <w:rPr>
                <w:rFonts w:hint="eastAsia" w:cs="Times New Roman"/>
                <w:b w:val="0"/>
                <w:bCs w:val="0"/>
                <w:color w:val="auto"/>
                <w:sz w:val="24"/>
                <w:szCs w:val="24"/>
                <w:lang w:val="en-US" w:eastAsia="zh-CN"/>
              </w:rPr>
              <w:t>项目施工期固体废物采取以上保护措施后，施工期固体废物对周围环境影响不大。</w:t>
            </w:r>
          </w:p>
        </w:tc>
      </w:tr>
      <w:tr w14:paraId="2A4A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6" w:hRule="atLeast"/>
          <w:jc w:val="center"/>
        </w:trPr>
        <w:tc>
          <w:tcPr>
            <w:tcW w:w="330" w:type="dxa"/>
            <w:tcBorders>
              <w:tl2br w:val="nil"/>
              <w:tr2bl w:val="nil"/>
            </w:tcBorders>
            <w:tcMar>
              <w:left w:w="28" w:type="dxa"/>
              <w:right w:w="28" w:type="dxa"/>
            </w:tcMar>
            <w:vAlign w:val="center"/>
          </w:tcPr>
          <w:p w14:paraId="546E7038">
            <w:pPr>
              <w:pStyle w:val="4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运营期环境保护措施</w:t>
            </w:r>
          </w:p>
        </w:tc>
        <w:tc>
          <w:tcPr>
            <w:tcW w:w="9354" w:type="dxa"/>
            <w:tcBorders>
              <w:tl2br w:val="nil"/>
              <w:tr2bl w:val="nil"/>
            </w:tcBorders>
            <w:vAlign w:val="center"/>
          </w:tcPr>
          <w:p w14:paraId="6B79CCC8">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2运营期环境影响分析和保护措施</w:t>
            </w:r>
          </w:p>
          <w:p w14:paraId="03F78224">
            <w:pPr>
              <w:keepNext w:val="0"/>
              <w:keepLines w:val="0"/>
              <w:suppressLineNumbers w:val="0"/>
              <w:bidi w:val="0"/>
              <w:spacing w:before="0" w:beforeAutospacing="0" w:after="0" w:afterAutospacing="0" w:line="360" w:lineRule="auto"/>
              <w:ind w:left="0" w:leftChars="0" w:right="0" w:firstLine="0" w:firstLineChars="0"/>
              <w:rPr>
                <w:rFonts w:hint="eastAsia" w:cs="Times New Roman"/>
                <w:b/>
                <w:bCs/>
                <w:color w:val="auto"/>
                <w:kern w:val="0"/>
                <w:lang w:val="en-US" w:eastAsia="zh-CN"/>
              </w:rPr>
            </w:pPr>
            <w:r>
              <w:rPr>
                <w:rFonts w:hint="default" w:ascii="Times New Roman" w:hAnsi="Times New Roman" w:cs="Times New Roman"/>
                <w:b/>
                <w:bCs/>
                <w:color w:val="auto"/>
                <w:kern w:val="0"/>
                <w:lang w:val="en-US" w:eastAsia="zh-CN"/>
              </w:rPr>
              <w:t>2.1运营期大气环境影响分析</w:t>
            </w:r>
            <w:r>
              <w:rPr>
                <w:rFonts w:hint="eastAsia" w:cs="Times New Roman"/>
                <w:b/>
                <w:bCs/>
                <w:color w:val="auto"/>
                <w:kern w:val="0"/>
                <w:lang w:val="en-US" w:eastAsia="zh-CN"/>
              </w:rPr>
              <w:t>和保护措施</w:t>
            </w:r>
          </w:p>
          <w:p w14:paraId="409CE17A">
            <w:pPr>
              <w:keepNext w:val="0"/>
              <w:keepLines w:val="0"/>
              <w:suppressLineNumbers w:val="0"/>
              <w:bidi w:val="0"/>
              <w:spacing w:before="0" w:beforeAutospacing="0" w:after="0" w:afterAutospacing="0" w:line="360" w:lineRule="auto"/>
              <w:ind w:left="0" w:leftChars="0" w:right="0" w:firstLine="0" w:firstLineChars="0"/>
              <w:rPr>
                <w:rFonts w:hint="default" w:cs="Times New Roman"/>
                <w:b/>
                <w:bCs/>
                <w:color w:val="auto"/>
                <w:kern w:val="0"/>
                <w:lang w:val="en-US" w:eastAsia="zh-CN"/>
              </w:rPr>
            </w:pPr>
            <w:r>
              <w:rPr>
                <w:rFonts w:hint="eastAsia" w:cs="Times New Roman"/>
                <w:b/>
                <w:bCs/>
                <w:color w:val="auto"/>
                <w:kern w:val="0"/>
                <w:lang w:val="en-US" w:eastAsia="zh-CN"/>
              </w:rPr>
              <w:t>2.1.1大气环境影响分析</w:t>
            </w:r>
          </w:p>
          <w:p w14:paraId="6AB74D74">
            <w:pPr>
              <w:pStyle w:val="6"/>
              <w:rPr>
                <w:rFonts w:hint="eastAsia"/>
                <w:color w:val="auto"/>
                <w:lang w:val="en-US" w:eastAsia="zh-CN"/>
              </w:rPr>
            </w:pPr>
            <w:r>
              <w:rPr>
                <w:rFonts w:hint="eastAsia"/>
                <w:color w:val="auto"/>
                <w:lang w:val="en-US" w:eastAsia="zh-CN"/>
              </w:rPr>
              <w:t>本项目运营期大气污染物主要是燃油废气</w:t>
            </w:r>
            <w:r>
              <w:rPr>
                <w:rFonts w:hint="default" w:ascii="Times New Roman" w:hAnsi="Times New Roman" w:cs="Times New Roman"/>
                <w:color w:val="auto"/>
                <w:lang w:val="en-US" w:eastAsia="zh-CN"/>
              </w:rPr>
              <w:t>原料装卸堆存、成品装卸堆存</w:t>
            </w:r>
            <w:r>
              <w:rPr>
                <w:rFonts w:hint="eastAsia" w:cs="Times New Roman"/>
                <w:color w:val="auto"/>
                <w:lang w:val="en-US" w:eastAsia="zh-CN"/>
              </w:rPr>
              <w:t>、</w:t>
            </w:r>
            <w:r>
              <w:rPr>
                <w:rFonts w:hint="default" w:ascii="Times New Roman" w:hAnsi="Times New Roman" w:cs="Times New Roman"/>
                <w:color w:val="auto"/>
                <w:lang w:val="en-US" w:eastAsia="zh-CN"/>
              </w:rPr>
              <w:t>物料运输产生的粉尘</w:t>
            </w:r>
            <w:r>
              <w:rPr>
                <w:rFonts w:hint="eastAsia"/>
                <w:color w:val="auto"/>
                <w:lang w:val="en-US" w:eastAsia="zh-CN"/>
              </w:rPr>
              <w:t>和食堂油烟。</w:t>
            </w:r>
          </w:p>
          <w:p w14:paraId="5585BC50">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ascii="Times New Roman" w:hAnsi="Times New Roman" w:cs="Times New Roman"/>
                <w:color w:val="auto"/>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kern w:val="0"/>
                <w:lang w:val="en-US" w:eastAsia="zh-CN"/>
              </w:rPr>
              <w:t>燃油废气</w:t>
            </w:r>
          </w:p>
          <w:p w14:paraId="428632E7">
            <w:pPr>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本项目运营期车辆运输途中和设备运行产生的少量废气，</w:t>
            </w:r>
            <w:r>
              <w:rPr>
                <w:rFonts w:hint="default" w:ascii="Times New Roman" w:hAnsi="Times New Roman" w:cs="Times New Roman"/>
                <w:color w:val="auto"/>
              </w:rPr>
              <w:t>其主要污染物为CO、NOx等</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属于无织排放，项目所在地环境空气质量良好，产生的废气对周围的环境空气质量影响不大。</w:t>
            </w:r>
          </w:p>
          <w:p w14:paraId="195C4E32">
            <w:pPr>
              <w:pStyle w:val="15"/>
              <w:keepNext w:val="0"/>
              <w:keepLines w:val="0"/>
              <w:suppressLineNumbers w:val="0"/>
              <w:spacing w:before="0" w:beforeAutospacing="0" w:after="0" w:afterAutospacing="0" w:line="360" w:lineRule="auto"/>
              <w:ind w:left="0" w:leftChars="0" w:right="0" w:firstLine="482"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生产废气（</w:t>
            </w:r>
            <w:r>
              <w:rPr>
                <w:rFonts w:hint="default" w:ascii="Times New Roman" w:hAnsi="Times New Roman" w:eastAsia="宋体" w:cs="Times New Roman"/>
                <w:b/>
                <w:bCs/>
                <w:color w:val="auto"/>
                <w:sz w:val="24"/>
                <w:szCs w:val="24"/>
                <w:lang w:val="en-US" w:eastAsia="zh-CN"/>
              </w:rPr>
              <w:t>原料</w:t>
            </w:r>
            <w:r>
              <w:rPr>
                <w:rFonts w:hint="eastAsia" w:ascii="Times New Roman" w:hAnsi="Times New Roman" w:eastAsia="宋体" w:cs="Times New Roman"/>
                <w:b/>
                <w:bCs/>
                <w:color w:val="auto"/>
                <w:sz w:val="24"/>
                <w:szCs w:val="24"/>
                <w:lang w:val="en-US" w:eastAsia="zh-CN"/>
              </w:rPr>
              <w:t>及成品</w:t>
            </w:r>
            <w:r>
              <w:rPr>
                <w:rFonts w:hint="default" w:ascii="Times New Roman" w:hAnsi="Times New Roman" w:eastAsia="宋体" w:cs="Times New Roman"/>
                <w:b/>
                <w:bCs/>
                <w:color w:val="auto"/>
                <w:sz w:val="24"/>
                <w:szCs w:val="24"/>
                <w:lang w:val="en-US" w:eastAsia="zh-CN"/>
              </w:rPr>
              <w:t>装卸、堆存产生的粉尘</w:t>
            </w:r>
            <w:r>
              <w:rPr>
                <w:rFonts w:hint="eastAsia" w:ascii="Times New Roman" w:hAnsi="Times New Roman" w:eastAsia="宋体" w:cs="Times New Roman"/>
                <w:b/>
                <w:bCs/>
                <w:color w:val="auto"/>
                <w:sz w:val="24"/>
                <w:szCs w:val="24"/>
                <w:lang w:val="en-US" w:eastAsia="zh-CN"/>
              </w:rPr>
              <w:t>）</w:t>
            </w:r>
          </w:p>
          <w:p w14:paraId="3E9D2BF6">
            <w:pPr>
              <w:pStyle w:val="6"/>
              <w:rPr>
                <w:rFonts w:hint="default" w:eastAsia="宋体"/>
                <w:color w:val="auto"/>
                <w:lang w:val="en-US" w:eastAsia="zh-CN"/>
              </w:rPr>
            </w:pPr>
            <w:r>
              <w:rPr>
                <w:rFonts w:hint="eastAsia"/>
                <w:color w:val="auto"/>
              </w:rPr>
              <w:t>项目未设置雷蒙磨，仅对原料进行水洗、筛分，工艺全程涉水，生产废气主要</w:t>
            </w:r>
            <w:r>
              <w:rPr>
                <w:rFonts w:hint="eastAsia"/>
                <w:color w:val="auto"/>
                <w:lang w:val="en-US" w:eastAsia="zh-CN"/>
              </w:rPr>
              <w:t>是</w:t>
            </w:r>
            <w:r>
              <w:rPr>
                <w:rFonts w:hint="eastAsia"/>
                <w:color w:val="auto"/>
              </w:rPr>
              <w:t>原料装卸堆存、成品装卸堆存粉尘</w:t>
            </w:r>
            <w:r>
              <w:rPr>
                <w:rFonts w:hint="eastAsia"/>
                <w:color w:val="auto"/>
                <w:lang w:eastAsia="zh-CN"/>
              </w:rPr>
              <w:t>。</w:t>
            </w:r>
          </w:p>
          <w:p w14:paraId="7A6FD788">
            <w:pPr>
              <w:pStyle w:val="6"/>
              <w:rPr>
                <w:color w:val="auto"/>
              </w:rPr>
            </w:pPr>
            <w:r>
              <w:rPr>
                <w:rFonts w:hint="eastAsia"/>
                <w:color w:val="auto"/>
              </w:rPr>
              <w:t>根据《工业源固体物料堆场颗粒物核算系数手册》工业企业固体物料堆存颗粒物包括装卸场尘和风蚀扬尘，颗粒物产生量核算公式如下：</w:t>
            </w:r>
          </w:p>
          <w:p w14:paraId="207DA040">
            <w:pPr>
              <w:pStyle w:val="47"/>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030" o:spt="75" type="#_x0000_t75" style="height:20.25pt;width:244.55pt;" o:ole="t" filled="f" stroked="f" coordsize="21600,21600">
                  <v:path/>
                  <v:fill on="f" focussize="0,0"/>
                  <v:stroke on="f"/>
                  <v:imagedata r:id="rId24" o:title=""/>
                  <o:lock v:ext="edit" aspectratio="t"/>
                  <w10:wrap type="none"/>
                  <w10:anchorlock/>
                </v:shape>
                <o:OLEObject Type="Embed" ProgID="Equation.KSEE3" ShapeID="_x0000_i1030" DrawAspect="Content" ObjectID="_1468075730" r:id="rId23">
                  <o:LockedField>false</o:LockedField>
                </o:OLEObject>
              </w:object>
            </w:r>
          </w:p>
          <w:p w14:paraId="11AF1F71">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式中：P—指颗粒物产生量（单位：吨）；</w:t>
            </w:r>
          </w:p>
          <w:p w14:paraId="0D065BF1">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ZC</w:t>
            </w:r>
            <w:r>
              <w:rPr>
                <w:rFonts w:hint="default" w:ascii="Times New Roman" w:hAnsi="Times New Roman" w:eastAsia="宋体" w:cs="Times New Roman"/>
                <w:color w:val="auto"/>
                <w:sz w:val="24"/>
                <w:szCs w:val="24"/>
                <w:vertAlign w:val="subscript"/>
              </w:rPr>
              <w:t>y</w:t>
            </w:r>
            <w:r>
              <w:rPr>
                <w:rFonts w:hint="default" w:ascii="Times New Roman" w:hAnsi="Times New Roman" w:eastAsia="宋体" w:cs="Times New Roman"/>
                <w:color w:val="auto"/>
                <w:sz w:val="24"/>
                <w:szCs w:val="24"/>
              </w:rPr>
              <w:t>—指装卸扬尘产生量（单位：吨）；</w:t>
            </w:r>
          </w:p>
          <w:p w14:paraId="5537003B">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FC</w:t>
            </w:r>
            <w:r>
              <w:rPr>
                <w:rFonts w:hint="default" w:ascii="Times New Roman" w:hAnsi="Times New Roman" w:eastAsia="宋体" w:cs="Times New Roman"/>
                <w:color w:val="auto"/>
                <w:sz w:val="24"/>
                <w:szCs w:val="24"/>
                <w:vertAlign w:val="subscript"/>
              </w:rPr>
              <w:t>y</w:t>
            </w:r>
            <w:r>
              <w:rPr>
                <w:rFonts w:hint="default" w:ascii="Times New Roman" w:hAnsi="Times New Roman" w:eastAsia="宋体" w:cs="Times New Roman"/>
                <w:color w:val="auto"/>
                <w:sz w:val="24"/>
                <w:szCs w:val="24"/>
              </w:rPr>
              <w:t>—指风蚀扬尘产生量（单位：吨）；</w:t>
            </w:r>
          </w:p>
          <w:p w14:paraId="57AF1C93">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vertAlign w:val="subscript"/>
              </w:rPr>
              <w:t>c</w:t>
            </w:r>
            <w:r>
              <w:rPr>
                <w:rFonts w:hint="default" w:ascii="Times New Roman" w:hAnsi="Times New Roman" w:eastAsia="宋体" w:cs="Times New Roman"/>
                <w:color w:val="auto"/>
                <w:sz w:val="24"/>
                <w:szCs w:val="24"/>
              </w:rPr>
              <w:t>—指年物料运载车次（单位：车），原料及成品运载车次分别取</w:t>
            </w:r>
            <w:r>
              <w:rPr>
                <w:rFonts w:hint="eastAsia" w:eastAsia="宋体" w:cs="Times New Roman"/>
                <w:color w:val="auto"/>
                <w:sz w:val="24"/>
                <w:szCs w:val="24"/>
                <w:lang w:val="en-US" w:eastAsia="zh-CN"/>
              </w:rPr>
              <w:t>10000</w:t>
            </w:r>
            <w:r>
              <w:rPr>
                <w:rFonts w:hint="default" w:ascii="Times New Roman" w:hAnsi="Times New Roman" w:eastAsia="宋体" w:cs="Times New Roman"/>
                <w:color w:val="auto"/>
                <w:sz w:val="24"/>
                <w:szCs w:val="24"/>
              </w:rPr>
              <w:t>车、</w:t>
            </w:r>
            <w:r>
              <w:rPr>
                <w:rFonts w:hint="eastAsia" w:eastAsia="宋体" w:cs="Times New Roman"/>
                <w:color w:val="auto"/>
                <w:sz w:val="24"/>
                <w:szCs w:val="24"/>
                <w:lang w:val="en-US" w:eastAsia="zh-CN"/>
              </w:rPr>
              <w:t>9000</w:t>
            </w:r>
            <w:r>
              <w:rPr>
                <w:rFonts w:hint="default" w:ascii="Times New Roman" w:hAnsi="Times New Roman" w:eastAsia="宋体" w:cs="Times New Roman"/>
                <w:color w:val="auto"/>
                <w:sz w:val="24"/>
                <w:szCs w:val="24"/>
              </w:rPr>
              <w:t>车；</w:t>
            </w:r>
          </w:p>
          <w:p w14:paraId="36BB339F">
            <w:pPr>
              <w:pStyle w:val="47"/>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D—指单车平均运载量（单位：吨/车），</w:t>
            </w:r>
            <w:r>
              <w:rPr>
                <w:rFonts w:hint="default" w:ascii="Times New Roman" w:hAnsi="Times New Roman" w:eastAsia="宋体" w:cs="Times New Roman"/>
                <w:color w:val="auto"/>
                <w:sz w:val="24"/>
                <w:szCs w:val="24"/>
                <w:highlight w:val="none"/>
              </w:rPr>
              <w:t>取</w:t>
            </w:r>
            <w:r>
              <w:rPr>
                <w:rFonts w:hint="eastAsia"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t/车；</w:t>
            </w:r>
          </w:p>
          <w:p w14:paraId="6772D9A6">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（a/b）—指装卸扬尘概化系数（单位：千克/吨），ɑ指各省风速概化系数，取0.00</w:t>
            </w:r>
            <w:r>
              <w:rPr>
                <w:rFonts w:hint="eastAsia" w:eastAsia="宋体" w:cs="Times New Roman"/>
                <w:color w:val="auto"/>
                <w:sz w:val="24"/>
                <w:szCs w:val="24"/>
                <w:lang w:val="en-US" w:eastAsia="zh-CN"/>
              </w:rPr>
              <w:t>09</w:t>
            </w:r>
            <w:r>
              <w:rPr>
                <w:rFonts w:hint="default" w:ascii="Times New Roman" w:hAnsi="Times New Roman" w:eastAsia="宋体" w:cs="Times New Roman"/>
                <w:color w:val="auto"/>
                <w:sz w:val="24"/>
                <w:szCs w:val="24"/>
              </w:rPr>
              <w:t>，b指物料含水率概化系数，</w:t>
            </w:r>
            <w:r>
              <w:rPr>
                <w:rFonts w:hint="eastAsia" w:eastAsia="宋体" w:cs="Times New Roman"/>
                <w:color w:val="auto"/>
                <w:sz w:val="24"/>
                <w:szCs w:val="24"/>
                <w:lang w:val="en-US" w:eastAsia="zh-CN"/>
              </w:rPr>
              <w:t>原料</w:t>
            </w:r>
            <w:r>
              <w:rPr>
                <w:rFonts w:hint="default" w:ascii="Times New Roman" w:hAnsi="Times New Roman" w:eastAsia="宋体" w:cs="Times New Roman"/>
                <w:color w:val="auto"/>
                <w:sz w:val="24"/>
                <w:szCs w:val="24"/>
              </w:rPr>
              <w:t>取0.00</w:t>
            </w:r>
            <w:r>
              <w:rPr>
                <w:rFonts w:hint="eastAsia" w:eastAsia="宋体" w:cs="Times New Roman"/>
                <w:color w:val="auto"/>
                <w:sz w:val="24"/>
                <w:szCs w:val="24"/>
                <w:lang w:val="en-US" w:eastAsia="zh-CN"/>
              </w:rPr>
              <w:t>29，成品取0.1086</w:t>
            </w:r>
            <w:r>
              <w:rPr>
                <w:rFonts w:hint="default" w:ascii="Times New Roman" w:hAnsi="Times New Roman" w:eastAsia="宋体" w:cs="Times New Roman"/>
                <w:color w:val="auto"/>
                <w:sz w:val="24"/>
                <w:szCs w:val="24"/>
              </w:rPr>
              <w:t>；</w:t>
            </w:r>
          </w:p>
          <w:p w14:paraId="01901591">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vertAlign w:val="subscript"/>
              </w:rPr>
              <w:t>f</w:t>
            </w:r>
            <w:r>
              <w:rPr>
                <w:rFonts w:hint="default" w:ascii="Times New Roman" w:hAnsi="Times New Roman" w:eastAsia="宋体" w:cs="Times New Roman"/>
                <w:color w:val="auto"/>
                <w:sz w:val="24"/>
                <w:szCs w:val="24"/>
              </w:rPr>
              <w:t>—指堆场风蚀扬尘概化系数，取</w:t>
            </w:r>
            <w:r>
              <w:rPr>
                <w:rFonts w:hint="eastAsia" w:eastAsia="宋体" w:cs="Times New Roman"/>
                <w:color w:val="auto"/>
                <w:sz w:val="24"/>
                <w:szCs w:val="24"/>
                <w:lang w:val="en-US" w:eastAsia="zh-CN"/>
              </w:rPr>
              <w:t>8.5848</w:t>
            </w:r>
            <w:r>
              <w:rPr>
                <w:rFonts w:hint="default" w:ascii="Times New Roman" w:hAnsi="Times New Roman" w:eastAsia="宋体" w:cs="Times New Roman"/>
                <w:color w:val="auto"/>
                <w:sz w:val="24"/>
                <w:szCs w:val="24"/>
              </w:rPr>
              <w:t>（单位：千克/平方米）；</w:t>
            </w:r>
          </w:p>
          <w:p w14:paraId="44C1090B">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S—指堆场占地面积（单位：平方米），原料堆放区域占地面积为</w:t>
            </w:r>
            <w:r>
              <w:rPr>
                <w:rFonts w:hint="eastAsia"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，成品堆放区域占地面积为</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5DFD2270">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计算得：原料</w:t>
            </w:r>
            <w:r>
              <w:rPr>
                <w:rFonts w:hint="default" w:ascii="Times New Roman" w:hAnsi="Times New Roman" w:eastAsia="宋体" w:cs="Times New Roman"/>
                <w:color w:val="auto"/>
                <w:sz w:val="24"/>
                <w:szCs w:val="24"/>
                <w:lang w:val="en-US" w:eastAsia="zh-CN"/>
              </w:rPr>
              <w:t>堆场和成品堆场</w:t>
            </w:r>
            <w:r>
              <w:rPr>
                <w:rFonts w:hint="default" w:ascii="Times New Roman" w:hAnsi="Times New Roman" w:eastAsia="宋体" w:cs="Times New Roman"/>
                <w:color w:val="auto"/>
                <w:sz w:val="24"/>
                <w:szCs w:val="24"/>
              </w:rPr>
              <w:t>装卸、堆存粉尘产生量</w:t>
            </w:r>
            <w:r>
              <w:rPr>
                <w:rFonts w:hint="default"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rPr>
              <w:t>为</w:t>
            </w:r>
            <w:r>
              <w:rPr>
                <w:rFonts w:hint="eastAsia" w:eastAsia="宋体" w:cs="Times New Roman"/>
                <w:color w:val="auto"/>
                <w:sz w:val="24"/>
                <w:szCs w:val="24"/>
                <w:lang w:val="en-US" w:eastAsia="zh-CN"/>
              </w:rPr>
              <w:t>37.90</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eastAsia" w:eastAsia="宋体" w:cs="Times New Roman"/>
                <w:color w:val="auto"/>
                <w:sz w:val="24"/>
                <w:szCs w:val="24"/>
                <w:lang w:val="en-US" w:eastAsia="zh-CN"/>
              </w:rPr>
              <w:t>9.33</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合计</w:t>
            </w:r>
            <w:r>
              <w:rPr>
                <w:rFonts w:hint="eastAsia" w:eastAsia="宋体" w:cs="Times New Roman"/>
                <w:color w:val="auto"/>
                <w:sz w:val="24"/>
                <w:szCs w:val="24"/>
                <w:lang w:val="en-US" w:eastAsia="zh-CN"/>
              </w:rPr>
              <w:t>47.23</w:t>
            </w:r>
            <w:r>
              <w:rPr>
                <w:rFonts w:hint="default" w:ascii="Times New Roman" w:hAnsi="Times New Roman" w:eastAsia="宋体" w:cs="Times New Roman"/>
                <w:color w:val="auto"/>
                <w:sz w:val="24"/>
                <w:szCs w:val="24"/>
              </w:rPr>
              <w:t>t/a。</w:t>
            </w:r>
          </w:p>
          <w:p w14:paraId="6FE10BBB">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颗粒物排放量具体核算方法及计算结果如下：</w:t>
            </w:r>
          </w:p>
          <w:p w14:paraId="5FF2811C">
            <w:pPr>
              <w:pStyle w:val="47"/>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031" o:spt="75" type="#_x0000_t75" style="height:17.25pt;width:125.2pt;" o:ole="t" filled="f" stroked="f" coordsize="21600,21600">
                  <v:path/>
                  <v:fill on="f" focussize="0,0"/>
                  <v:stroke on="f"/>
                  <v:imagedata r:id="rId26" o:title=""/>
                  <o:lock v:ext="edit" aspectratio="t"/>
                  <w10:wrap type="none"/>
                  <w10:anchorlock/>
                </v:shape>
                <o:OLEObject Type="Embed" ProgID="Equation.KSEE3" ShapeID="_x0000_i1031" DrawAspect="Content" ObjectID="_1468075731" r:id="rId25">
                  <o:LockedField>false</o:LockedField>
                </o:OLEObject>
              </w:object>
            </w:r>
          </w:p>
          <w:p w14:paraId="5157196B">
            <w:pPr>
              <w:pStyle w:val="47"/>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式中：P—颗粒物产生量（单位：吨）；</w:t>
            </w:r>
          </w:p>
          <w:p w14:paraId="5D778D1D">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U</w:t>
            </w:r>
            <w:r>
              <w:rPr>
                <w:rFonts w:hint="default" w:ascii="Times New Roman" w:hAnsi="Times New Roman" w:eastAsia="宋体" w:cs="Times New Roman"/>
                <w:color w:val="auto"/>
                <w:sz w:val="24"/>
                <w:szCs w:val="24"/>
                <w:vertAlign w:val="subscript"/>
              </w:rPr>
              <w:t>c</w:t>
            </w:r>
            <w:r>
              <w:rPr>
                <w:rFonts w:hint="default" w:ascii="Times New Roman" w:hAnsi="Times New Roman" w:eastAsia="宋体" w:cs="Times New Roman"/>
                <w:color w:val="auto"/>
                <w:sz w:val="24"/>
                <w:szCs w:val="24"/>
              </w:rPr>
              <w:t>—颗粒物排放量（单位：吨）；</w:t>
            </w:r>
          </w:p>
          <w:p w14:paraId="7AD7A044">
            <w:pPr>
              <w:pStyle w:val="47"/>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—颗粒物控制措施控制效率（单位：%），原料堆场设置洒水和</w:t>
            </w:r>
            <w:r>
              <w:rPr>
                <w:rFonts w:hint="eastAsia" w:eastAsia="宋体" w:cs="Times New Roman"/>
                <w:color w:val="auto"/>
                <w:sz w:val="24"/>
                <w:szCs w:val="24"/>
                <w:lang w:val="en-US" w:eastAsia="zh-CN"/>
              </w:rPr>
              <w:t>大棚</w:t>
            </w:r>
            <w:r>
              <w:rPr>
                <w:rFonts w:hint="default" w:ascii="Times New Roman" w:hAnsi="Times New Roman" w:eastAsia="宋体" w:cs="Times New Roman"/>
                <w:color w:val="auto"/>
                <w:sz w:val="24"/>
                <w:szCs w:val="24"/>
              </w:rPr>
              <w:t>，成品堆场设置</w:t>
            </w:r>
            <w:r>
              <w:rPr>
                <w:rFonts w:hint="eastAsia" w:eastAsia="宋体" w:cs="Times New Roman"/>
                <w:color w:val="auto"/>
                <w:sz w:val="24"/>
                <w:szCs w:val="24"/>
                <w:lang w:val="en-US" w:eastAsia="zh-CN"/>
              </w:rPr>
              <w:t>大棚，</w:t>
            </w:r>
            <w:r>
              <w:rPr>
                <w:rFonts w:hint="default" w:ascii="Times New Roman" w:hAnsi="Times New Roman" w:eastAsia="宋体" w:cs="Times New Roman"/>
                <w:color w:val="auto"/>
                <w:sz w:val="24"/>
                <w:szCs w:val="24"/>
              </w:rPr>
              <w:t>根据《工业源固体物料堆存颗粒物产排污核算系数手册》附录4，</w:t>
            </w:r>
            <w:r>
              <w:rPr>
                <w:rFonts w:hint="eastAsia" w:eastAsia="宋体" w:cs="Times New Roman"/>
                <w:color w:val="auto"/>
                <w:sz w:val="24"/>
                <w:szCs w:val="24"/>
                <w:lang w:val="en-US" w:eastAsia="zh-CN"/>
              </w:rPr>
              <w:t>原料</w:t>
            </w:r>
            <w:r>
              <w:rPr>
                <w:rFonts w:hint="default" w:ascii="Times New Roman" w:hAnsi="Times New Roman" w:eastAsia="宋体" w:cs="Times New Roman"/>
                <w:color w:val="auto"/>
                <w:sz w:val="24"/>
                <w:szCs w:val="24"/>
              </w:rPr>
              <w:t>效率取</w:t>
            </w:r>
            <w:r>
              <w:rPr>
                <w:rFonts w:hint="eastAsia" w:eastAsia="宋体" w:cs="Times New Roman"/>
                <w:color w:val="auto"/>
                <w:sz w:val="24"/>
                <w:szCs w:val="24"/>
                <w:lang w:val="en-US" w:eastAsia="zh-CN"/>
              </w:rPr>
              <w:t>74%</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成品取0</w:t>
            </w:r>
            <w:r>
              <w:rPr>
                <w:rFonts w:hint="default" w:ascii="Times New Roman" w:hAnsi="Times New Roman" w:eastAsia="宋体" w:cs="Times New Roman"/>
                <w:color w:val="auto"/>
                <w:sz w:val="24"/>
                <w:szCs w:val="24"/>
              </w:rPr>
              <w:t>；</w:t>
            </w:r>
          </w:p>
          <w:p w14:paraId="0E22B349">
            <w:pPr>
              <w:pStyle w:val="47"/>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—堆场类型控制效率（单位：%），原料及成品堆场均设置围挡，效率取60%。</w:t>
            </w:r>
          </w:p>
          <w:p w14:paraId="017E0A4B">
            <w:pPr>
              <w:pStyle w:val="15"/>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计算得：</w:t>
            </w:r>
            <w:r>
              <w:rPr>
                <w:rFonts w:hint="default" w:ascii="Times New Roman" w:hAnsi="Times New Roman" w:eastAsia="宋体" w:cs="Times New Roman"/>
                <w:color w:val="auto"/>
                <w:sz w:val="24"/>
                <w:szCs w:val="24"/>
              </w:rPr>
              <w:t>原料</w:t>
            </w:r>
            <w:r>
              <w:rPr>
                <w:rFonts w:hint="default" w:ascii="Times New Roman" w:hAnsi="Times New Roman" w:eastAsia="宋体" w:cs="Times New Roman"/>
                <w:color w:val="auto"/>
                <w:sz w:val="24"/>
                <w:szCs w:val="24"/>
                <w:lang w:val="en-US" w:eastAsia="zh-CN"/>
              </w:rPr>
              <w:t>堆场和成品堆场</w:t>
            </w:r>
            <w:r>
              <w:rPr>
                <w:rFonts w:hint="default" w:ascii="Times New Roman" w:hAnsi="Times New Roman" w:eastAsia="宋体" w:cs="Times New Roman"/>
                <w:color w:val="auto"/>
                <w:sz w:val="24"/>
                <w:szCs w:val="24"/>
              </w:rPr>
              <w:t>装卸、堆存粉尘</w:t>
            </w:r>
            <w:r>
              <w:rPr>
                <w:rFonts w:hint="default" w:ascii="Times New Roman" w:hAnsi="Times New Roman" w:eastAsia="宋体" w:cs="Times New Roman"/>
                <w:color w:val="auto"/>
                <w:sz w:val="24"/>
                <w:szCs w:val="24"/>
                <w:lang w:val="en-US" w:eastAsia="zh-CN"/>
              </w:rPr>
              <w:t>排放量分别为：</w:t>
            </w:r>
            <w:r>
              <w:rPr>
                <w:rFonts w:hint="eastAsia" w:ascii="Times New Roman" w:hAnsi="Times New Roman" w:eastAsia="宋体" w:cs="Times New Roman"/>
                <w:color w:val="auto"/>
                <w:sz w:val="24"/>
                <w:szCs w:val="24"/>
                <w:lang w:val="en-US" w:eastAsia="zh-CN"/>
              </w:rPr>
              <w:t>3.942</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3.732</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合计</w:t>
            </w:r>
            <w:r>
              <w:rPr>
                <w:rFonts w:hint="eastAsia" w:ascii="Times New Roman" w:hAnsi="Times New Roman" w:eastAsia="宋体" w:cs="Times New Roman"/>
                <w:color w:val="auto"/>
                <w:sz w:val="24"/>
                <w:szCs w:val="24"/>
                <w:lang w:val="en-US" w:eastAsia="zh-CN"/>
              </w:rPr>
              <w:t>7.674</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p>
          <w:p w14:paraId="7EC3C33A">
            <w:pPr>
              <w:pStyle w:val="15"/>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sz w:val="24"/>
                <w:szCs w:val="24"/>
                <w:lang w:val="en-US" w:eastAsia="zh-CN"/>
              </w:rPr>
              <w:t>物料运输粉尘</w:t>
            </w:r>
          </w:p>
          <w:p w14:paraId="4FAA59DE">
            <w:pPr>
              <w:pStyle w:val="47"/>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本项目原料拉运进厂、成品碎石拉运出厂过程中汽车道路行驶引起扬尘，根据《扬尘源颗粒物排放清单编制技术指南》（试行）中对于已铺装道路，扬尘排放系数计算公式如下：</w:t>
            </w:r>
          </w:p>
          <w:p w14:paraId="169F13EB">
            <w:pPr>
              <w:pStyle w:val="47"/>
              <w:spacing w:line="240" w:lineRule="auto"/>
              <w:ind w:firstLine="0" w:firstLineChars="0"/>
              <w:jc w:val="center"/>
              <w:rPr>
                <w:rFonts w:hint="default" w:ascii="Times New Roman" w:hAnsi="Times New Roman" w:eastAsia="宋体" w:cs="Times New Roman"/>
                <w:color w:val="auto"/>
                <w:sz w:val="24"/>
                <w:szCs w:val="24"/>
              </w:rPr>
            </w:pPr>
            <w:r>
              <w:rPr>
                <w:color w:val="auto"/>
              </w:rPr>
              <w:drawing>
                <wp:inline distT="0" distB="0" distL="114300" distR="114300">
                  <wp:extent cx="3943350" cy="409575"/>
                  <wp:effectExtent l="0" t="0" r="0" b="952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27"/>
                          <a:stretch>
                            <a:fillRect/>
                          </a:stretch>
                        </pic:blipFill>
                        <pic:spPr>
                          <a:xfrm>
                            <a:off x="0" y="0"/>
                            <a:ext cx="3943350" cy="409575"/>
                          </a:xfrm>
                          <a:prstGeom prst="rect">
                            <a:avLst/>
                          </a:prstGeom>
                          <a:noFill/>
                          <a:ln>
                            <a:noFill/>
                          </a:ln>
                        </pic:spPr>
                      </pic:pic>
                    </a:graphicData>
                  </a:graphic>
                </wp:inline>
              </w:drawing>
            </w:r>
          </w:p>
          <w:p w14:paraId="183B663D">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式中：E</w:t>
            </w:r>
            <w:r>
              <w:rPr>
                <w:rFonts w:hint="default" w:ascii="Times New Roman" w:hAnsi="Times New Roman" w:eastAsia="宋体" w:cs="Times New Roman"/>
                <w:color w:val="auto"/>
                <w:sz w:val="24"/>
                <w:szCs w:val="24"/>
                <w:vertAlign w:val="subscript"/>
              </w:rPr>
              <w:t>Pi</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已</w:t>
            </w:r>
            <w:r>
              <w:rPr>
                <w:rFonts w:hint="default" w:ascii="Times New Roman" w:hAnsi="Times New Roman" w:eastAsia="宋体" w:cs="Times New Roman"/>
                <w:color w:val="auto"/>
                <w:sz w:val="24"/>
                <w:szCs w:val="24"/>
              </w:rPr>
              <w:t>铺装道路扬尘中PMi排放系数，g/km</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机动车行驶1千米产生的道路扬尘质量</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w:t>
            </w:r>
          </w:p>
          <w:p w14:paraId="7574ECA1">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k</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—产生的扬尘中PMi的粒度乘数，TSP取</w:t>
            </w:r>
            <w:r>
              <w:rPr>
                <w:rFonts w:hint="eastAsia" w:eastAsia="宋体" w:cs="Times New Roman"/>
                <w:color w:val="auto"/>
                <w:sz w:val="24"/>
                <w:szCs w:val="24"/>
                <w:lang w:val="en-US" w:eastAsia="zh-CN"/>
              </w:rPr>
              <w:t>3.23</w:t>
            </w:r>
            <w:r>
              <w:rPr>
                <w:rFonts w:hint="default" w:ascii="Times New Roman" w:hAnsi="Times New Roman" w:eastAsia="宋体" w:cs="Times New Roman"/>
                <w:color w:val="auto"/>
                <w:sz w:val="24"/>
                <w:szCs w:val="24"/>
              </w:rPr>
              <w:t>g/km；</w:t>
            </w:r>
          </w:p>
          <w:p w14:paraId="1C9FCC23">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w:t>
            </w:r>
            <w:r>
              <w:rPr>
                <w:rFonts w:hint="eastAsia" w:eastAsia="宋体" w:cs="Times New Roman"/>
                <w:color w:val="auto"/>
                <w:sz w:val="24"/>
                <w:szCs w:val="24"/>
                <w:lang w:val="en-US" w:eastAsia="zh-CN"/>
              </w:rPr>
              <w:t>L</w:t>
            </w:r>
            <w:r>
              <w:rPr>
                <w:rFonts w:hint="default" w:ascii="Times New Roman" w:hAnsi="Times New Roman" w:eastAsia="宋体" w:cs="Times New Roman"/>
                <w:color w:val="auto"/>
                <w:sz w:val="24"/>
                <w:szCs w:val="24"/>
              </w:rPr>
              <w:t>—道路表面积尘</w:t>
            </w:r>
            <w:r>
              <w:rPr>
                <w:rFonts w:hint="eastAsia" w:eastAsia="宋体" w:cs="Times New Roman"/>
                <w:color w:val="auto"/>
                <w:sz w:val="24"/>
                <w:szCs w:val="24"/>
                <w:lang w:val="en-US" w:eastAsia="zh-CN"/>
              </w:rPr>
              <w:t>负荷，g/m</w:t>
            </w:r>
            <w:r>
              <w:rPr>
                <w:rFonts w:hint="eastAsia"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，取</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14:paraId="785DB1C3">
            <w:pPr>
              <w:pStyle w:val="47"/>
              <w:ind w:firstLine="48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W</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平均车重，t，平均车重表示通过某等级道路所有车辆的平均重量</w:t>
            </w:r>
            <w:r>
              <w:rPr>
                <w:rFonts w:hint="default" w:ascii="Times New Roman" w:hAnsi="Times New Roman" w:eastAsia="宋体" w:cs="Times New Roman"/>
                <w:color w:val="auto"/>
                <w:sz w:val="24"/>
                <w:szCs w:val="24"/>
              </w:rPr>
              <w:t>；</w:t>
            </w:r>
          </w:p>
          <w:p w14:paraId="6C3B4A80">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η—污染控制技术对扬尘的去除效率，本项目采取洒水2次/天，根据《扬尘源颗粒物排放清单编制技术指南》（试行），去除效率取66%。</w:t>
            </w:r>
          </w:p>
          <w:p w14:paraId="65A7CD45">
            <w:pPr>
              <w:pStyle w:val="47"/>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通过计算，E</w:t>
            </w:r>
            <w:r>
              <w:rPr>
                <w:rFonts w:hint="default" w:ascii="Times New Roman" w:hAnsi="Times New Roman" w:eastAsia="宋体" w:cs="Times New Roman"/>
                <w:color w:val="auto"/>
                <w:sz w:val="24"/>
                <w:szCs w:val="24"/>
                <w:vertAlign w:val="subscript"/>
              </w:rPr>
              <w:t>Pi</w:t>
            </w:r>
            <w:r>
              <w:rPr>
                <w:rFonts w:hint="default" w:ascii="Times New Roman" w:hAnsi="Times New Roman" w:eastAsia="宋体" w:cs="Times New Roman"/>
                <w:color w:val="auto"/>
                <w:sz w:val="24"/>
                <w:szCs w:val="24"/>
              </w:rPr>
              <w:t>为</w:t>
            </w:r>
            <w:r>
              <w:rPr>
                <w:rFonts w:hint="eastAsia" w:eastAsia="宋体" w:cs="Times New Roman"/>
                <w:color w:val="auto"/>
                <w:sz w:val="24"/>
                <w:szCs w:val="24"/>
                <w:lang w:val="en-US" w:eastAsia="zh-CN"/>
              </w:rPr>
              <w:t>32.69</w:t>
            </w:r>
            <w:r>
              <w:rPr>
                <w:rFonts w:hint="default" w:ascii="Times New Roman" w:hAnsi="Times New Roman" w:eastAsia="宋体" w:cs="Times New Roman"/>
                <w:color w:val="auto"/>
                <w:sz w:val="24"/>
                <w:szCs w:val="24"/>
              </w:rPr>
              <w:t>g/km</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运输</w:t>
            </w:r>
            <w:r>
              <w:rPr>
                <w:rFonts w:hint="default" w:ascii="Times New Roman" w:hAnsi="Times New Roman" w:eastAsia="宋体" w:cs="Times New Roman"/>
                <w:color w:val="auto"/>
                <w:sz w:val="24"/>
                <w:szCs w:val="24"/>
              </w:rPr>
              <w:t>道路长度为</w:t>
            </w:r>
            <w:r>
              <w:rPr>
                <w:rFonts w:hint="eastAsia" w:eastAsia="宋体" w:cs="Times New Roman"/>
                <w:color w:val="auto"/>
                <w:sz w:val="24"/>
                <w:szCs w:val="24"/>
                <w:lang w:val="en-US" w:eastAsia="zh-CN"/>
              </w:rPr>
              <w:t>0.32k</w:t>
            </w:r>
            <w:r>
              <w:rPr>
                <w:rFonts w:hint="default" w:ascii="Times New Roman" w:hAnsi="Times New Roman" w:eastAsia="宋体" w:cs="Times New Roman"/>
                <w:color w:val="auto"/>
                <w:sz w:val="24"/>
                <w:szCs w:val="24"/>
              </w:rPr>
              <w:t>m，运输次数为</w:t>
            </w:r>
            <w:r>
              <w:rPr>
                <w:rFonts w:hint="eastAsia" w:eastAsia="宋体" w:cs="Times New Roman"/>
                <w:color w:val="auto"/>
                <w:sz w:val="24"/>
                <w:szCs w:val="24"/>
                <w:lang w:val="en-US" w:eastAsia="zh-CN"/>
              </w:rPr>
              <w:t>22736</w:t>
            </w:r>
            <w:r>
              <w:rPr>
                <w:rFonts w:hint="default" w:ascii="Times New Roman" w:hAnsi="Times New Roman" w:eastAsia="宋体" w:cs="Times New Roman"/>
                <w:color w:val="auto"/>
                <w:sz w:val="24"/>
                <w:szCs w:val="24"/>
              </w:rPr>
              <w:t>次/a</w:t>
            </w:r>
            <w:r>
              <w:rPr>
                <w:rFonts w:hint="eastAsia" w:eastAsia="宋体" w:cs="Times New Roman"/>
                <w:color w:val="auto"/>
                <w:sz w:val="24"/>
                <w:szCs w:val="24"/>
                <w:lang w:val="en-US" w:eastAsia="zh-CN"/>
              </w:rPr>
              <w:t>计</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本项目物料运输颗粒物产生量为</w:t>
            </w:r>
            <w:r>
              <w:rPr>
                <w:rFonts w:hint="eastAsia" w:eastAsia="宋体" w:cs="Times New Roman"/>
                <w:color w:val="auto"/>
                <w:sz w:val="24"/>
                <w:szCs w:val="24"/>
                <w:lang w:val="en-US" w:eastAsia="zh-CN"/>
              </w:rPr>
              <w:t>0.24</w:t>
            </w:r>
            <w:r>
              <w:rPr>
                <w:rFonts w:hint="default" w:ascii="Times New Roman" w:hAnsi="Times New Roman" w:eastAsia="宋体" w:cs="Times New Roman"/>
                <w:color w:val="auto"/>
                <w:sz w:val="24"/>
                <w:szCs w:val="24"/>
              </w:rPr>
              <w:t>t/a。</w:t>
            </w:r>
          </w:p>
          <w:p w14:paraId="6E3972A8">
            <w:pPr>
              <w:numPr>
                <w:ilvl w:val="0"/>
                <w:numId w:val="0"/>
              </w:numPr>
              <w:ind w:left="0" w:leftChars="0" w:firstLine="482" w:firstLineChars="200"/>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lang w:val="en-US" w:eastAsia="zh-CN"/>
              </w:rPr>
              <w:t>食堂油烟</w:t>
            </w:r>
          </w:p>
          <w:p w14:paraId="6447F811">
            <w:p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lang w:val="en-US" w:eastAsia="zh-CN"/>
              </w:rPr>
              <w:t>食堂油烟</w:t>
            </w:r>
            <w:r>
              <w:rPr>
                <w:rFonts w:hint="eastAsia" w:cs="Times New Roman"/>
                <w:color w:val="auto"/>
                <w:sz w:val="24"/>
                <w:szCs w:val="24"/>
                <w:lang w:val="en-US" w:eastAsia="zh-CN"/>
              </w:rPr>
              <w:t>直接</w:t>
            </w:r>
            <w:r>
              <w:rPr>
                <w:rFonts w:hint="default" w:ascii="Times New Roman" w:hAnsi="Times New Roman" w:eastAsia="宋体" w:cs="Times New Roman"/>
                <w:color w:val="auto"/>
                <w:sz w:val="24"/>
                <w:szCs w:val="24"/>
                <w:lang w:val="en-US" w:eastAsia="zh-CN"/>
              </w:rPr>
              <w:t>排入空气中会形成气溶胶，使周围空气变浑浊，降低大气能见度，影响周边空气质量，还会产生异味，影响周围居民的生活环境。</w:t>
            </w:r>
            <w:r>
              <w:rPr>
                <w:rFonts w:hint="default" w:ascii="Times New Roman" w:hAnsi="Times New Roman" w:cs="Times New Roman"/>
                <w:color w:val="auto"/>
              </w:rPr>
              <w:t>食堂主要使用电和液化石油气等清洁能源，废气主要是食堂烹饪油烟。就餐人员</w:t>
            </w:r>
            <w:r>
              <w:rPr>
                <w:rFonts w:hint="eastAsia" w:cs="Times New Roman"/>
                <w:color w:val="auto"/>
                <w:lang w:val="en-US" w:eastAsia="zh-CN"/>
              </w:rPr>
              <w:t>2</w:t>
            </w:r>
            <w:r>
              <w:rPr>
                <w:rFonts w:hint="default" w:ascii="Times New Roman" w:hAnsi="Times New Roman" w:cs="Times New Roman"/>
                <w:color w:val="auto"/>
              </w:rPr>
              <w:t>人/d，</w:t>
            </w:r>
            <w:r>
              <w:rPr>
                <w:rFonts w:hint="default" w:ascii="Times New Roman" w:hAnsi="Times New Roman" w:cs="Times New Roman"/>
                <w:color w:val="auto"/>
                <w:highlight w:val="none"/>
              </w:rPr>
              <w:t>食堂人均食用油用量30g/人.d，烹饪时油烟逸散系数为2.83%，烹饪时数2.5h/d，油烟产生量</w:t>
            </w:r>
            <w:r>
              <w:rPr>
                <w:rFonts w:hint="eastAsia" w:cs="Times New Roman"/>
                <w:color w:val="auto"/>
                <w:highlight w:val="none"/>
                <w:lang w:val="en-US" w:eastAsia="zh-CN"/>
              </w:rPr>
              <w:t>0.509</w:t>
            </w:r>
            <w:r>
              <w:rPr>
                <w:rFonts w:hint="default" w:ascii="Times New Roman" w:hAnsi="Times New Roman" w:cs="Times New Roman"/>
                <w:color w:val="auto"/>
                <w:highlight w:val="none"/>
              </w:rPr>
              <w:t>kg/a；净化处理后的油烟排放量为</w:t>
            </w:r>
            <w:r>
              <w:rPr>
                <w:rFonts w:hint="eastAsia" w:cs="Times New Roman"/>
                <w:color w:val="auto"/>
                <w:highlight w:val="none"/>
                <w:lang w:val="en-US" w:eastAsia="zh-CN"/>
              </w:rPr>
              <w:t>679.2</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g/h，每个灶头拟采用排风量为</w:t>
            </w:r>
            <w:r>
              <w:rPr>
                <w:rFonts w:hint="eastAsia" w:cs="Times New Roman"/>
                <w:color w:val="auto"/>
                <w:highlight w:val="none"/>
                <w:lang w:val="en-US" w:eastAsia="zh-CN"/>
              </w:rPr>
              <w:t>1</w:t>
            </w:r>
            <w:r>
              <w:rPr>
                <w:rFonts w:hint="default" w:ascii="Times New Roman" w:hAnsi="Times New Roman" w:cs="Times New Roman"/>
                <w:color w:val="auto"/>
                <w:highlight w:val="none"/>
              </w:rPr>
              <w:t>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/h，净化效率大于</w:t>
            </w:r>
            <w:r>
              <w:rPr>
                <w:rFonts w:hint="eastAsia" w:cs="Times New Roman"/>
                <w:color w:val="auto"/>
                <w:highlight w:val="none"/>
                <w:lang w:val="en-US" w:eastAsia="zh-CN"/>
              </w:rPr>
              <w:t>7</w:t>
            </w:r>
            <w:r>
              <w:rPr>
                <w:rFonts w:hint="default" w:ascii="Times New Roman" w:hAnsi="Times New Roman" w:cs="Times New Roman"/>
                <w:color w:val="auto"/>
                <w:highlight w:val="none"/>
              </w:rPr>
              <w:t>5%的油烟净化器进行处理，</w:t>
            </w:r>
            <w:r>
              <w:rPr>
                <w:rFonts w:hint="default" w:ascii="Times New Roman" w:hAnsi="Times New Roman" w:cs="Times New Roman"/>
                <w:color w:val="auto"/>
                <w:highlight w:val="none"/>
                <w:lang w:val="en-US" w:eastAsia="zh-CN"/>
              </w:rPr>
              <w:t>排放浓度为</w:t>
            </w:r>
            <w:r>
              <w:rPr>
                <w:rFonts w:hint="eastAsia" w:cs="Times New Roman"/>
                <w:color w:val="auto"/>
                <w:highlight w:val="none"/>
                <w:lang w:val="en-US" w:eastAsia="zh-CN"/>
              </w:rPr>
              <w:t>0.170mg</w:t>
            </w:r>
            <w:r>
              <w:rPr>
                <w:rFonts w:hint="default" w:ascii="Times New Roman" w:hAnsi="Times New Roman" w:cs="Times New Roman"/>
                <w:color w:val="auto"/>
                <w:highlight w:val="none"/>
              </w:rPr>
              <w:t>/m³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排放浓度小于2.0mg/m³，满足</w:t>
            </w:r>
            <w:r>
              <w:rPr>
                <w:rFonts w:hint="default" w:ascii="Times New Roman" w:hAnsi="Times New Roman" w:cs="Times New Roman"/>
                <w:color w:val="auto"/>
                <w:szCs w:val="20"/>
                <w:highlight w:val="none"/>
              </w:rPr>
              <w:t>《饮食业油烟排放标准》（GB18483-2001）中最高允许排放浓度限值要求</w:t>
            </w:r>
            <w:r>
              <w:rPr>
                <w:rFonts w:hint="default" w:ascii="Times New Roman" w:hAnsi="Times New Roman" w:cs="Times New Roman"/>
                <w:color w:val="auto"/>
                <w:highlight w:val="none"/>
              </w:rPr>
              <w:t>，油烟稀释扩散后对周边环境影响较小。</w:t>
            </w:r>
          </w:p>
          <w:p w14:paraId="711AC353">
            <w:pPr>
              <w:pStyle w:val="27"/>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本项目运营期废气污染物排放量核算见下表：</w:t>
            </w:r>
          </w:p>
          <w:p w14:paraId="5020EE95">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本项目无组织污染排放量核算</w:t>
            </w:r>
          </w:p>
          <w:tbl>
            <w:tblPr>
              <w:tblStyle w:val="17"/>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5445"/>
              <w:gridCol w:w="1200"/>
              <w:gridCol w:w="1817"/>
            </w:tblGrid>
            <w:tr w14:paraId="4D07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80691D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445" w:type="dxa"/>
                  <w:vAlign w:val="center"/>
                </w:tcPr>
                <w:p w14:paraId="0D24F77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排放口</w:t>
                  </w:r>
                </w:p>
              </w:tc>
              <w:tc>
                <w:tcPr>
                  <w:tcW w:w="1200" w:type="dxa"/>
                  <w:vAlign w:val="center"/>
                </w:tcPr>
                <w:p w14:paraId="5858D4D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1817" w:type="dxa"/>
                  <w:vAlign w:val="center"/>
                </w:tcPr>
                <w:p w14:paraId="3FE5B46A">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核算年排放量</w:t>
                  </w:r>
                </w:p>
              </w:tc>
            </w:tr>
            <w:tr w14:paraId="4365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DBA271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5445" w:type="dxa"/>
                  <w:vAlign w:val="center"/>
                </w:tcPr>
                <w:p w14:paraId="5A71B4DE">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原料</w:t>
                  </w:r>
                  <w:r>
                    <w:rPr>
                      <w:rFonts w:hint="eastAsia" w:ascii="Times New Roman" w:hAnsi="Times New Roman" w:eastAsia="宋体" w:cs="Times New Roman"/>
                      <w:b w:val="0"/>
                      <w:bCs w:val="0"/>
                      <w:color w:val="auto"/>
                      <w:sz w:val="21"/>
                      <w:szCs w:val="21"/>
                      <w:lang w:val="en-US" w:eastAsia="zh-CN"/>
                    </w:rPr>
                    <w:t>及产品</w:t>
                  </w:r>
                  <w:r>
                    <w:rPr>
                      <w:rFonts w:hint="default" w:ascii="Times New Roman" w:hAnsi="Times New Roman" w:eastAsia="宋体" w:cs="Times New Roman"/>
                      <w:b w:val="0"/>
                      <w:bCs w:val="0"/>
                      <w:color w:val="auto"/>
                      <w:sz w:val="21"/>
                      <w:szCs w:val="21"/>
                      <w:lang w:val="en-US" w:eastAsia="zh-CN"/>
                    </w:rPr>
                    <w:t>装卸、堆存产生的（包括卸料扬尘和风蚀扬尘）</w:t>
                  </w:r>
                </w:p>
              </w:tc>
              <w:tc>
                <w:tcPr>
                  <w:tcW w:w="1200" w:type="dxa"/>
                  <w:vAlign w:val="center"/>
                </w:tcPr>
                <w:p w14:paraId="3D357C19">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817" w:type="dxa"/>
                  <w:vAlign w:val="center"/>
                </w:tcPr>
                <w:p w14:paraId="39D52AC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cs="Times New Roman"/>
                      <w:color w:val="auto"/>
                      <w:sz w:val="21"/>
                      <w:szCs w:val="21"/>
                      <w:lang w:val="en-US" w:eastAsia="zh-CN"/>
                    </w:rPr>
                    <w:t>7.674t/a</w:t>
                  </w:r>
                </w:p>
              </w:tc>
            </w:tr>
            <w:tr w14:paraId="1598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9B30EDB">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5445" w:type="dxa"/>
                  <w:vAlign w:val="center"/>
                </w:tcPr>
                <w:p w14:paraId="74F22545">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物料运输</w:t>
                  </w:r>
                </w:p>
              </w:tc>
              <w:tc>
                <w:tcPr>
                  <w:tcW w:w="1200" w:type="dxa"/>
                  <w:vAlign w:val="center"/>
                </w:tcPr>
                <w:p w14:paraId="0B1A717E">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817" w:type="dxa"/>
                  <w:vAlign w:val="center"/>
                </w:tcPr>
                <w:p w14:paraId="67F2EFCA">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0.24</w:t>
                  </w:r>
                  <w:r>
                    <w:rPr>
                      <w:rFonts w:hint="eastAsia" w:ascii="Times New Roman" w:cs="Times New Roman"/>
                      <w:color w:val="auto"/>
                      <w:sz w:val="21"/>
                      <w:szCs w:val="21"/>
                      <w:lang w:val="en-US" w:eastAsia="zh-CN"/>
                    </w:rPr>
                    <w:t>t/a</w:t>
                  </w:r>
                </w:p>
              </w:tc>
            </w:tr>
            <w:tr w14:paraId="0E6B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1" w:type="dxa"/>
                  <w:gridSpan w:val="2"/>
                  <w:vAlign w:val="center"/>
                </w:tcPr>
                <w:p w14:paraId="430292E1">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1200" w:type="dxa"/>
                  <w:vAlign w:val="center"/>
                </w:tcPr>
                <w:p w14:paraId="2E9BB218">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817" w:type="dxa"/>
                  <w:vAlign w:val="center"/>
                </w:tcPr>
                <w:p w14:paraId="79AF42ED">
                  <w:pPr>
                    <w:pStyle w:val="27"/>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7.914</w:t>
                  </w:r>
                  <w:r>
                    <w:rPr>
                      <w:rFonts w:hint="eastAsia" w:ascii="Times New Roman" w:cs="Times New Roman"/>
                      <w:color w:val="auto"/>
                      <w:sz w:val="21"/>
                      <w:szCs w:val="21"/>
                      <w:lang w:val="en-US" w:eastAsia="zh-CN"/>
                    </w:rPr>
                    <w:t>t/a</w:t>
                  </w:r>
                </w:p>
              </w:tc>
            </w:tr>
            <w:tr w14:paraId="2419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4C65971">
                  <w:pPr>
                    <w:pStyle w:val="27"/>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5445" w:type="dxa"/>
                  <w:vAlign w:val="center"/>
                </w:tcPr>
                <w:p w14:paraId="18CB938D">
                  <w:pPr>
                    <w:pStyle w:val="27"/>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食堂烟气</w:t>
                  </w:r>
                </w:p>
              </w:tc>
              <w:tc>
                <w:tcPr>
                  <w:tcW w:w="1200" w:type="dxa"/>
                  <w:vAlign w:val="center"/>
                </w:tcPr>
                <w:p w14:paraId="67F6B170">
                  <w:pPr>
                    <w:pStyle w:val="27"/>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油烟</w:t>
                  </w:r>
                </w:p>
              </w:tc>
              <w:tc>
                <w:tcPr>
                  <w:tcW w:w="1817" w:type="dxa"/>
                  <w:vAlign w:val="center"/>
                </w:tcPr>
                <w:p w14:paraId="3BD6C7ED">
                  <w:pPr>
                    <w:pStyle w:val="27"/>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cs="Times New Roman"/>
                      <w:color w:val="auto"/>
                      <w:sz w:val="21"/>
                      <w:szCs w:val="21"/>
                      <w:highlight w:val="none"/>
                      <w:lang w:val="en-US" w:eastAsia="zh-CN"/>
                    </w:rPr>
                    <w:t>0.127kg/a</w:t>
                  </w:r>
                </w:p>
              </w:tc>
            </w:tr>
          </w:tbl>
          <w:p w14:paraId="0D10C814">
            <w:pPr>
              <w:pStyle w:val="37"/>
              <w:keepNext w:val="0"/>
              <w:keepLines w:val="0"/>
              <w:widowControl/>
              <w:suppressLineNumbers w:val="0"/>
              <w:bidi w:val="0"/>
              <w:spacing w:before="0" w:beforeAutospacing="0" w:after="0" w:afterAutospacing="0"/>
              <w:ind w:left="0" w:right="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1.2</w:t>
            </w:r>
            <w:r>
              <w:rPr>
                <w:rFonts w:hint="default" w:ascii="Times New Roman" w:hAnsi="Times New Roman" w:cs="Times New Roman"/>
                <w:b/>
                <w:bCs/>
                <w:color w:val="auto"/>
                <w:sz w:val="24"/>
                <w:szCs w:val="24"/>
                <w:lang w:val="en-US" w:eastAsia="zh-CN"/>
              </w:rPr>
              <w:t>运营期大气环境保护措施</w:t>
            </w:r>
          </w:p>
          <w:p w14:paraId="66A64479">
            <w:pPr>
              <w:pStyle w:val="37"/>
              <w:keepNext w:val="0"/>
              <w:keepLines w:val="0"/>
              <w:widowControl/>
              <w:numPr>
                <w:ilvl w:val="0"/>
                <w:numId w:val="0"/>
              </w:numPr>
              <w:suppressLineNumbers w:val="0"/>
              <w:bidi w:val="0"/>
              <w:spacing w:before="0" w:beforeAutospacing="0" w:after="0" w:afterAutospacing="0"/>
              <w:ind w:leftChars="200" w:right="0" w:rightChars="0"/>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4"/>
                <w:szCs w:val="24"/>
                <w:lang w:val="en-US" w:eastAsia="zh-CN"/>
              </w:rPr>
              <w:t>本项目大气环境保护措施见下表。</w:t>
            </w:r>
          </w:p>
          <w:p w14:paraId="08E594DD">
            <w:pPr>
              <w:pStyle w:val="37"/>
              <w:keepNext w:val="0"/>
              <w:keepLines w:val="0"/>
              <w:widowControl/>
              <w:numPr>
                <w:ilvl w:val="0"/>
                <w:numId w:val="0"/>
              </w:numPr>
              <w:suppressLineNumbers w:val="0"/>
              <w:bidi w:val="0"/>
              <w:spacing w:before="0" w:beforeAutospacing="0" w:after="0" w:afterAutospacing="0"/>
              <w:ind w:leftChars="200" w:right="0" w:right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本项目大气环境保护措施</w:t>
            </w:r>
          </w:p>
          <w:tbl>
            <w:tblPr>
              <w:tblStyle w:val="17"/>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705"/>
              <w:gridCol w:w="830"/>
              <w:gridCol w:w="1107"/>
              <w:gridCol w:w="2010"/>
              <w:gridCol w:w="1048"/>
              <w:gridCol w:w="1141"/>
              <w:gridCol w:w="1141"/>
            </w:tblGrid>
            <w:tr w14:paraId="7503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37513EC2">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工序</w:t>
                  </w:r>
                </w:p>
              </w:tc>
              <w:tc>
                <w:tcPr>
                  <w:tcW w:w="705" w:type="dxa"/>
                  <w:vAlign w:val="center"/>
                </w:tcPr>
                <w:p w14:paraId="4619B1E9">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排放方式</w:t>
                  </w:r>
                </w:p>
              </w:tc>
              <w:tc>
                <w:tcPr>
                  <w:tcW w:w="830" w:type="dxa"/>
                  <w:vAlign w:val="center"/>
                </w:tcPr>
                <w:p w14:paraId="0815E057">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污染源</w:t>
                  </w:r>
                </w:p>
              </w:tc>
              <w:tc>
                <w:tcPr>
                  <w:tcW w:w="1107" w:type="dxa"/>
                  <w:vAlign w:val="center"/>
                </w:tcPr>
                <w:p w14:paraId="5E9B2136">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产生量</w:t>
                  </w:r>
                </w:p>
              </w:tc>
              <w:tc>
                <w:tcPr>
                  <w:tcW w:w="2010" w:type="dxa"/>
                  <w:vAlign w:val="center"/>
                </w:tcPr>
                <w:p w14:paraId="0655A519">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保护措施</w:t>
                  </w:r>
                </w:p>
              </w:tc>
              <w:tc>
                <w:tcPr>
                  <w:tcW w:w="1048" w:type="dxa"/>
                  <w:vAlign w:val="center"/>
                </w:tcPr>
                <w:p w14:paraId="402A828B">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效率（%）</w:t>
                  </w:r>
                </w:p>
              </w:tc>
              <w:tc>
                <w:tcPr>
                  <w:tcW w:w="1141" w:type="dxa"/>
                  <w:vAlign w:val="center"/>
                </w:tcPr>
                <w:p w14:paraId="5635AC35">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排放量</w:t>
                  </w:r>
                </w:p>
              </w:tc>
              <w:tc>
                <w:tcPr>
                  <w:tcW w:w="1141" w:type="dxa"/>
                  <w:vAlign w:val="center"/>
                </w:tcPr>
                <w:p w14:paraId="66CC42AE">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是否可行</w:t>
                  </w:r>
                </w:p>
              </w:tc>
            </w:tr>
            <w:tr w14:paraId="46B3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vAlign w:val="center"/>
                </w:tcPr>
                <w:p w14:paraId="35E5C4C3">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尾料处理加工</w:t>
                  </w:r>
                </w:p>
              </w:tc>
              <w:tc>
                <w:tcPr>
                  <w:tcW w:w="705" w:type="dxa"/>
                  <w:vMerge w:val="restart"/>
                  <w:vAlign w:val="center"/>
                </w:tcPr>
                <w:p w14:paraId="35BDB9CC">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无组织</w:t>
                  </w:r>
                </w:p>
              </w:tc>
              <w:tc>
                <w:tcPr>
                  <w:tcW w:w="830" w:type="dxa"/>
                  <w:vAlign w:val="center"/>
                </w:tcPr>
                <w:p w14:paraId="562AE6F7">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原</w:t>
                  </w:r>
                  <w:r>
                    <w:rPr>
                      <w:rFonts w:hint="default" w:ascii="Times New Roman" w:hAnsi="Times New Roman" w:cs="Times New Roman"/>
                      <w:b w:val="0"/>
                      <w:bCs w:val="0"/>
                      <w:color w:val="auto"/>
                      <w:sz w:val="21"/>
                      <w:szCs w:val="21"/>
                      <w:vertAlign w:val="baseline"/>
                      <w:lang w:val="en-US" w:eastAsia="zh-CN"/>
                    </w:rPr>
                    <w:t>料装卸、堆存</w:t>
                  </w:r>
                </w:p>
              </w:tc>
              <w:tc>
                <w:tcPr>
                  <w:tcW w:w="1107" w:type="dxa"/>
                  <w:vAlign w:val="center"/>
                </w:tcPr>
                <w:p w14:paraId="22CB847F">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37.90</w:t>
                  </w:r>
                  <w:r>
                    <w:rPr>
                      <w:rFonts w:hint="default" w:ascii="Times New Roman" w:hAnsi="Times New Roman" w:eastAsia="宋体" w:cs="Times New Roman"/>
                      <w:b w:val="0"/>
                      <w:bCs w:val="0"/>
                      <w:color w:val="auto"/>
                      <w:sz w:val="21"/>
                      <w:szCs w:val="21"/>
                    </w:rPr>
                    <w:t>t/a</w:t>
                  </w:r>
                </w:p>
              </w:tc>
              <w:tc>
                <w:tcPr>
                  <w:tcW w:w="2010" w:type="dxa"/>
                  <w:vAlign w:val="center"/>
                </w:tcPr>
                <w:p w14:paraId="4BBF9FDA">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搭建彩钢瓦大棚、三面围挡和洒水降尘</w:t>
                  </w:r>
                </w:p>
              </w:tc>
              <w:tc>
                <w:tcPr>
                  <w:tcW w:w="1048" w:type="dxa"/>
                  <w:vAlign w:val="center"/>
                </w:tcPr>
                <w:p w14:paraId="0A1D17E1">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89.6</w:t>
                  </w:r>
                </w:p>
              </w:tc>
              <w:tc>
                <w:tcPr>
                  <w:tcW w:w="1141" w:type="dxa"/>
                  <w:vAlign w:val="center"/>
                </w:tcPr>
                <w:p w14:paraId="0A4D04A4">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3.942</w:t>
                  </w:r>
                  <w:r>
                    <w:rPr>
                      <w:rFonts w:hint="default" w:ascii="Times New Roman" w:hAnsi="Times New Roman" w:eastAsia="宋体" w:cs="Times New Roman"/>
                      <w:b w:val="0"/>
                      <w:bCs w:val="0"/>
                      <w:color w:val="auto"/>
                      <w:sz w:val="21"/>
                      <w:szCs w:val="21"/>
                    </w:rPr>
                    <w:t>t/a</w:t>
                  </w:r>
                </w:p>
              </w:tc>
              <w:tc>
                <w:tcPr>
                  <w:tcW w:w="1141" w:type="dxa"/>
                  <w:vAlign w:val="center"/>
                </w:tcPr>
                <w:p w14:paraId="4C2FBC6C">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是</w:t>
                  </w:r>
                </w:p>
              </w:tc>
            </w:tr>
            <w:tr w14:paraId="572D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vAlign w:val="center"/>
                </w:tcPr>
                <w:p w14:paraId="6B6B86E7">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p>
              </w:tc>
              <w:tc>
                <w:tcPr>
                  <w:tcW w:w="705" w:type="dxa"/>
                  <w:vMerge w:val="continue"/>
                  <w:vAlign w:val="center"/>
                </w:tcPr>
                <w:p w14:paraId="1AB5190A">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p>
              </w:tc>
              <w:tc>
                <w:tcPr>
                  <w:tcW w:w="830" w:type="dxa"/>
                  <w:vAlign w:val="center"/>
                </w:tcPr>
                <w:p w14:paraId="3F71FEBB">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成品</w:t>
                  </w:r>
                  <w:r>
                    <w:rPr>
                      <w:rFonts w:hint="default" w:ascii="Times New Roman" w:hAnsi="Times New Roman" w:cs="Times New Roman"/>
                      <w:b w:val="0"/>
                      <w:bCs w:val="0"/>
                      <w:color w:val="auto"/>
                      <w:sz w:val="21"/>
                      <w:szCs w:val="21"/>
                      <w:vertAlign w:val="baseline"/>
                      <w:lang w:val="en-US" w:eastAsia="zh-CN"/>
                    </w:rPr>
                    <w:t>装卸、堆存</w:t>
                  </w:r>
                </w:p>
              </w:tc>
              <w:tc>
                <w:tcPr>
                  <w:tcW w:w="1107" w:type="dxa"/>
                  <w:vAlign w:val="center"/>
                </w:tcPr>
                <w:p w14:paraId="0A9BECE9">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9.33</w:t>
                  </w:r>
                  <w:r>
                    <w:rPr>
                      <w:rFonts w:hint="default" w:ascii="Times New Roman" w:hAnsi="Times New Roman" w:eastAsia="宋体" w:cs="Times New Roman"/>
                      <w:b w:val="0"/>
                      <w:bCs w:val="0"/>
                      <w:color w:val="auto"/>
                      <w:sz w:val="21"/>
                      <w:szCs w:val="21"/>
                    </w:rPr>
                    <w:t>t/a</w:t>
                  </w:r>
                </w:p>
              </w:tc>
              <w:tc>
                <w:tcPr>
                  <w:tcW w:w="2010" w:type="dxa"/>
                  <w:vAlign w:val="center"/>
                </w:tcPr>
                <w:p w14:paraId="1D7954A1">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搭建彩钢瓦大棚、三面围挡</w:t>
                  </w:r>
                </w:p>
              </w:tc>
              <w:tc>
                <w:tcPr>
                  <w:tcW w:w="1048" w:type="dxa"/>
                  <w:vAlign w:val="center"/>
                </w:tcPr>
                <w:p w14:paraId="27D176D2">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1141" w:type="dxa"/>
                  <w:vAlign w:val="center"/>
                </w:tcPr>
                <w:p w14:paraId="1DD2735E">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3.732</w:t>
                  </w:r>
                  <w:r>
                    <w:rPr>
                      <w:rFonts w:hint="default" w:ascii="Times New Roman" w:hAnsi="Times New Roman" w:eastAsia="宋体" w:cs="Times New Roman"/>
                      <w:b w:val="0"/>
                      <w:bCs w:val="0"/>
                      <w:color w:val="auto"/>
                      <w:sz w:val="21"/>
                      <w:szCs w:val="21"/>
                    </w:rPr>
                    <w:t>t/a</w:t>
                  </w:r>
                </w:p>
              </w:tc>
              <w:tc>
                <w:tcPr>
                  <w:tcW w:w="1141" w:type="dxa"/>
                  <w:vAlign w:val="center"/>
                </w:tcPr>
                <w:p w14:paraId="0F02649C">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是</w:t>
                  </w:r>
                </w:p>
              </w:tc>
            </w:tr>
            <w:tr w14:paraId="79AF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vAlign w:val="center"/>
                </w:tcPr>
                <w:p w14:paraId="599908B8">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p>
              </w:tc>
              <w:tc>
                <w:tcPr>
                  <w:tcW w:w="705" w:type="dxa"/>
                  <w:vMerge w:val="continue"/>
                  <w:vAlign w:val="center"/>
                </w:tcPr>
                <w:p w14:paraId="45E49612">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p>
              </w:tc>
              <w:tc>
                <w:tcPr>
                  <w:tcW w:w="830" w:type="dxa"/>
                  <w:vAlign w:val="center"/>
                </w:tcPr>
                <w:p w14:paraId="66B054CD">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物料运输</w:t>
                  </w:r>
                </w:p>
              </w:tc>
              <w:tc>
                <w:tcPr>
                  <w:tcW w:w="1107" w:type="dxa"/>
                  <w:vAlign w:val="center"/>
                </w:tcPr>
                <w:p w14:paraId="7130AD0B">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71</w:t>
                  </w:r>
                  <w:r>
                    <w:rPr>
                      <w:rFonts w:hint="default" w:ascii="Times New Roman" w:hAnsi="Times New Roman" w:eastAsia="宋体" w:cs="Times New Roman"/>
                      <w:b w:val="0"/>
                      <w:bCs w:val="0"/>
                      <w:color w:val="auto"/>
                      <w:sz w:val="21"/>
                      <w:szCs w:val="21"/>
                    </w:rPr>
                    <w:t>t/a</w:t>
                  </w:r>
                </w:p>
              </w:tc>
              <w:tc>
                <w:tcPr>
                  <w:tcW w:w="2010" w:type="dxa"/>
                  <w:vAlign w:val="center"/>
                </w:tcPr>
                <w:p w14:paraId="2CA06D7C">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rPr>
                    <w:t>运输车辆加盖苫布、控制车速、道路洒水抑尘</w:t>
                  </w:r>
                </w:p>
              </w:tc>
              <w:tc>
                <w:tcPr>
                  <w:tcW w:w="1048" w:type="dxa"/>
                  <w:vAlign w:val="center"/>
                </w:tcPr>
                <w:p w14:paraId="204F8FCE">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66</w:t>
                  </w:r>
                </w:p>
              </w:tc>
              <w:tc>
                <w:tcPr>
                  <w:tcW w:w="1141" w:type="dxa"/>
                  <w:vAlign w:val="center"/>
                </w:tcPr>
                <w:p w14:paraId="5E8DFF04">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24</w:t>
                  </w:r>
                  <w:r>
                    <w:rPr>
                      <w:rFonts w:hint="default" w:ascii="Times New Roman" w:hAnsi="Times New Roman" w:eastAsia="宋体" w:cs="Times New Roman"/>
                      <w:b w:val="0"/>
                      <w:bCs w:val="0"/>
                      <w:color w:val="auto"/>
                      <w:sz w:val="21"/>
                      <w:szCs w:val="21"/>
                    </w:rPr>
                    <w:t>t/a</w:t>
                  </w:r>
                </w:p>
              </w:tc>
              <w:tc>
                <w:tcPr>
                  <w:tcW w:w="1141" w:type="dxa"/>
                  <w:vAlign w:val="center"/>
                </w:tcPr>
                <w:p w14:paraId="523C35A4">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是</w:t>
                  </w:r>
                </w:p>
              </w:tc>
            </w:tr>
            <w:tr w14:paraId="7F37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2056AC24">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食堂</w:t>
                  </w:r>
                </w:p>
              </w:tc>
              <w:tc>
                <w:tcPr>
                  <w:tcW w:w="705" w:type="dxa"/>
                  <w:vAlign w:val="center"/>
                </w:tcPr>
                <w:p w14:paraId="05A312D0">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无组织</w:t>
                  </w:r>
                </w:p>
              </w:tc>
              <w:tc>
                <w:tcPr>
                  <w:tcW w:w="830" w:type="dxa"/>
                  <w:vAlign w:val="center"/>
                </w:tcPr>
                <w:p w14:paraId="47607F60">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食堂烟气</w:t>
                  </w:r>
                </w:p>
              </w:tc>
              <w:tc>
                <w:tcPr>
                  <w:tcW w:w="1107" w:type="dxa"/>
                  <w:vAlign w:val="center"/>
                </w:tcPr>
                <w:p w14:paraId="67F5CAB6">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0.509</w:t>
                  </w:r>
                  <w:r>
                    <w:rPr>
                      <w:rFonts w:hint="default" w:ascii="Times New Roman" w:hAnsi="Times New Roman" w:cs="Times New Roman"/>
                      <w:b w:val="0"/>
                      <w:bCs w:val="0"/>
                      <w:color w:val="auto"/>
                      <w:sz w:val="21"/>
                      <w:szCs w:val="21"/>
                    </w:rPr>
                    <w:t>kg/a</w:t>
                  </w:r>
                </w:p>
              </w:tc>
              <w:tc>
                <w:tcPr>
                  <w:tcW w:w="2010" w:type="dxa"/>
                  <w:vAlign w:val="center"/>
                </w:tcPr>
                <w:p w14:paraId="6A0B82F9">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油烟净化装置处理后排放</w:t>
                  </w:r>
                </w:p>
              </w:tc>
              <w:tc>
                <w:tcPr>
                  <w:tcW w:w="1048" w:type="dxa"/>
                  <w:vAlign w:val="center"/>
                </w:tcPr>
                <w:p w14:paraId="310E4D8A">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75</w:t>
                  </w:r>
                </w:p>
              </w:tc>
              <w:tc>
                <w:tcPr>
                  <w:tcW w:w="1141" w:type="dxa"/>
                  <w:vAlign w:val="center"/>
                </w:tcPr>
                <w:p w14:paraId="3247AD47">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0.127kg/a</w:t>
                  </w:r>
                </w:p>
              </w:tc>
              <w:tc>
                <w:tcPr>
                  <w:tcW w:w="1141" w:type="dxa"/>
                  <w:vAlign w:val="center"/>
                </w:tcPr>
                <w:p w14:paraId="6E879AED">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是</w:t>
                  </w:r>
                </w:p>
              </w:tc>
            </w:tr>
            <w:tr w14:paraId="57C3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14:paraId="048A21BC">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车辆运输</w:t>
                  </w:r>
                </w:p>
              </w:tc>
              <w:tc>
                <w:tcPr>
                  <w:tcW w:w="705" w:type="dxa"/>
                  <w:vAlign w:val="center"/>
                </w:tcPr>
                <w:p w14:paraId="5E7B026E">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无组织</w:t>
                  </w:r>
                </w:p>
              </w:tc>
              <w:tc>
                <w:tcPr>
                  <w:tcW w:w="830" w:type="dxa"/>
                  <w:vAlign w:val="center"/>
                </w:tcPr>
                <w:p w14:paraId="49C8B1AF">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燃油尾气</w:t>
                  </w:r>
                </w:p>
              </w:tc>
              <w:tc>
                <w:tcPr>
                  <w:tcW w:w="1107" w:type="dxa"/>
                  <w:vAlign w:val="center"/>
                </w:tcPr>
                <w:p w14:paraId="45AE7F6C">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2010" w:type="dxa"/>
                  <w:vAlign w:val="center"/>
                </w:tcPr>
                <w:p w14:paraId="3285F3FF">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车辆、设备定期维护，使用高质量燃油</w:t>
                  </w:r>
                </w:p>
              </w:tc>
              <w:tc>
                <w:tcPr>
                  <w:tcW w:w="1048" w:type="dxa"/>
                  <w:vAlign w:val="center"/>
                </w:tcPr>
                <w:p w14:paraId="42920B26">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c>
                <w:tcPr>
                  <w:tcW w:w="1141" w:type="dxa"/>
                  <w:vAlign w:val="center"/>
                </w:tcPr>
                <w:p w14:paraId="23C443C4">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1141" w:type="dxa"/>
                  <w:vAlign w:val="center"/>
                </w:tcPr>
                <w:p w14:paraId="0D10E157">
                  <w:pPr>
                    <w:pStyle w:val="37"/>
                    <w:keepNext w:val="0"/>
                    <w:keepLines w:val="0"/>
                    <w:widowControl/>
                    <w:numPr>
                      <w:ilvl w:val="0"/>
                      <w:numId w:val="0"/>
                    </w:numPr>
                    <w:suppressLineNumbers w:val="0"/>
                    <w:bidi w:val="0"/>
                    <w:spacing w:before="0" w:beforeAutospacing="0" w:after="0" w:afterAutospacing="0" w:line="240" w:lineRule="auto"/>
                    <w:ind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是</w:t>
                  </w:r>
                </w:p>
              </w:tc>
            </w:tr>
          </w:tbl>
          <w:p w14:paraId="01910186">
            <w:pPr>
              <w:bidi w:val="0"/>
              <w:rPr>
                <w:rFonts w:hint="default" w:ascii="Times New Roman" w:hAnsi="Times New Roman" w:cs="Times New Roman"/>
                <w:b/>
                <w:bCs/>
                <w:color w:val="auto"/>
                <w:sz w:val="24"/>
                <w:szCs w:val="24"/>
                <w:highlight w:val="yellow"/>
                <w:lang w:val="en-US" w:eastAsia="zh-CN"/>
              </w:rPr>
            </w:pPr>
            <w:r>
              <w:rPr>
                <w:rFonts w:hint="default" w:ascii="Times New Roman" w:hAnsi="Times New Roman" w:cs="Times New Roman"/>
                <w:color w:val="auto"/>
                <w:sz w:val="24"/>
                <w:szCs w:val="24"/>
                <w:highlight w:val="none"/>
              </w:rPr>
              <w:t>项目位于云南省玉溪市</w:t>
            </w:r>
            <w:r>
              <w:rPr>
                <w:rFonts w:hint="default" w:ascii="Times New Roman" w:hAnsi="Times New Roman" w:cs="Times New Roman"/>
                <w:color w:val="auto"/>
                <w:sz w:val="24"/>
                <w:szCs w:val="24"/>
                <w:highlight w:val="none"/>
                <w:lang w:val="en-US" w:eastAsia="zh-CN"/>
              </w:rPr>
              <w:t>华宁</w:t>
            </w:r>
            <w:r>
              <w:rPr>
                <w:rFonts w:hint="default" w:ascii="Times New Roman" w:hAnsi="Times New Roman" w:cs="Times New Roman"/>
                <w:color w:val="auto"/>
                <w:sz w:val="24"/>
                <w:szCs w:val="24"/>
                <w:highlight w:val="none"/>
              </w:rPr>
              <w:t>县</w:t>
            </w:r>
            <w:r>
              <w:rPr>
                <w:rFonts w:hint="default" w:ascii="Times New Roman" w:hAnsi="Times New Roman" w:cs="Times New Roman"/>
                <w:color w:val="auto"/>
                <w:sz w:val="24"/>
                <w:szCs w:val="24"/>
                <w:highlight w:val="none"/>
                <w:lang w:val="en-US" w:eastAsia="zh-CN"/>
              </w:rPr>
              <w:t>宁州街道法果村委会</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lang w:val="en-US" w:eastAsia="zh-CN" w:bidi="ar"/>
              </w:rPr>
              <w:t>环境空气质量满足</w:t>
            </w:r>
            <w:r>
              <w:rPr>
                <w:rFonts w:hint="default" w:ascii="Times New Roman" w:hAnsi="Times New Roman" w:cs="Times New Roman"/>
                <w:color w:val="auto"/>
                <w:highlight w:val="none"/>
              </w:rPr>
              <w:t>《环境空气质量标准》（GB3095-20</w:t>
            </w:r>
            <w:r>
              <w:rPr>
                <w:rFonts w:hint="eastAsia" w:cs="Times New Roman"/>
                <w:color w:val="auto"/>
                <w:highlight w:val="none"/>
                <w:lang w:val="en-US" w:eastAsia="zh-CN"/>
              </w:rPr>
              <w:t>26</w:t>
            </w:r>
            <w:r>
              <w:rPr>
                <w:rFonts w:hint="default" w:ascii="Times New Roman" w:hAnsi="Times New Roman" w:cs="Times New Roman"/>
                <w:color w:val="auto"/>
                <w:highlight w:val="none"/>
              </w:rPr>
              <w:t>）过渡阶段浓度限制中的二级</w:t>
            </w:r>
            <w:r>
              <w:rPr>
                <w:rFonts w:hint="eastAsia" w:cs="Times New Roman"/>
                <w:color w:val="auto"/>
                <w:highlight w:val="none"/>
                <w:lang w:val="en-US" w:eastAsia="zh-CN"/>
              </w:rPr>
              <w:t>浓度</w:t>
            </w:r>
            <w:r>
              <w:rPr>
                <w:rFonts w:hint="default" w:ascii="Times New Roman" w:hAnsi="Times New Roman" w:cs="Times New Roman"/>
                <w:color w:val="auto"/>
                <w:highlight w:val="none"/>
              </w:rPr>
              <w:t>限值</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项目所在区域属于达标区域</w:t>
            </w:r>
            <w:r>
              <w:rPr>
                <w:rFonts w:hint="default" w:ascii="Times New Roman" w:hAnsi="Times New Roman" w:cs="Times New Roman"/>
                <w:color w:val="auto"/>
                <w:sz w:val="24"/>
                <w:szCs w:val="24"/>
                <w:highlight w:val="none"/>
                <w:lang w:eastAsia="zh-CN"/>
              </w:rPr>
              <w:t>。项目未设置雷蒙磨，仅对原料进行水洗、筛分，工艺全程涉水，生产废气主要为原料装卸堆存、成品装卸堆存及物料运输产生的粉尘。原料</w:t>
            </w:r>
            <w:r>
              <w:rPr>
                <w:rFonts w:hint="eastAsia" w:cs="Times New Roman"/>
                <w:color w:val="auto"/>
                <w:sz w:val="24"/>
                <w:szCs w:val="24"/>
                <w:highlight w:val="none"/>
                <w:lang w:val="en-US" w:eastAsia="zh-CN"/>
              </w:rPr>
              <w:t>堆场采取搭建彩钢瓦大棚、三面围挡和洒水降尘；成品堆场搭建彩钢瓦大棚、三面围挡，运输车辆加盖苫布、控制车速、道路洒水抑尘；设置设置人工车辆冲洗装置，对出厂车辆进行清洗。</w:t>
            </w:r>
            <w:r>
              <w:rPr>
                <w:rFonts w:hint="eastAsia" w:cs="Times New Roman"/>
                <w:color w:val="auto"/>
                <w:highlight w:val="none"/>
                <w:lang w:eastAsia="zh-CN"/>
              </w:rPr>
              <w:t>项目拟在食堂安装1台油烟净化器，食堂油烟经过油烟机净化处理后排放浓度满足《饮食业油烟排放标准（试行）》（GB18483-2001）小型规模最高允许排放浓度限值要求。</w:t>
            </w:r>
            <w:r>
              <w:rPr>
                <w:rFonts w:ascii="宋体" w:hAnsi="宋体" w:eastAsia="宋体" w:cs="宋体"/>
                <w:b w:val="0"/>
                <w:bCs w:val="0"/>
                <w:color w:val="auto"/>
                <w:sz w:val="24"/>
                <w:szCs w:val="24"/>
                <w:highlight w:val="none"/>
              </w:rPr>
              <w:t>根据现场调查，项目周边</w:t>
            </w:r>
            <w:r>
              <w:rPr>
                <w:rFonts w:ascii="TimesNewRomanPSMT" w:hAnsi="TimesNewRomanPSMT" w:eastAsia="TimesNewRomanPSMT" w:cs="TimesNewRomanPSMT"/>
                <w:b w:val="0"/>
                <w:bCs w:val="0"/>
                <w:color w:val="auto"/>
                <w:sz w:val="24"/>
                <w:szCs w:val="24"/>
                <w:highlight w:val="none"/>
              </w:rPr>
              <w:t>500m</w:t>
            </w:r>
            <w:r>
              <w:rPr>
                <w:rFonts w:ascii="宋体" w:hAnsi="宋体" w:eastAsia="宋体" w:cs="宋体"/>
                <w:b w:val="0"/>
                <w:bCs w:val="0"/>
                <w:color w:val="auto"/>
                <w:sz w:val="24"/>
                <w:szCs w:val="24"/>
                <w:highlight w:val="none"/>
              </w:rPr>
              <w:t>范围内不存在自然保护区、风景名胜区、文化区</w:t>
            </w:r>
            <w:r>
              <w:rPr>
                <w:rFonts w:hint="eastAsia" w:ascii="宋体" w:hAnsi="宋体" w:eastAsia="宋体" w:cs="宋体"/>
                <w:b w:val="0"/>
                <w:bCs w:val="0"/>
                <w:color w:val="auto"/>
                <w:sz w:val="24"/>
                <w:szCs w:val="24"/>
                <w:highlight w:val="none"/>
                <w:lang w:val="en-US" w:eastAsia="zh-CN"/>
              </w:rPr>
              <w:t>和保护目标，</w:t>
            </w:r>
            <w:r>
              <w:rPr>
                <w:rFonts w:hint="default" w:ascii="Times New Roman" w:hAnsi="Times New Roman" w:cs="Times New Roman"/>
                <w:color w:val="auto"/>
                <w:sz w:val="24"/>
                <w:szCs w:val="24"/>
                <w:highlight w:val="none"/>
                <w:lang w:val="en-US" w:eastAsia="zh-CN"/>
              </w:rPr>
              <w:t>在采取以上提出的措施</w:t>
            </w:r>
            <w:r>
              <w:rPr>
                <w:rFonts w:hint="default" w:ascii="Times New Roman" w:hAnsi="Times New Roman" w:eastAsia="宋体" w:cs="Times New Roman"/>
                <w:color w:val="auto"/>
                <w:sz w:val="24"/>
                <w:szCs w:val="24"/>
                <w:highlight w:val="none"/>
              </w:rPr>
              <w:t>能够保证污染物排放指标满足排放标准的要求。项目所在区域气象扩散条件较好，因此废气经大气扩散后对环境</w:t>
            </w:r>
            <w:r>
              <w:rPr>
                <w:rFonts w:hint="default" w:ascii="Times New Roman" w:hAnsi="Times New Roman" w:cs="Times New Roman"/>
                <w:color w:val="auto"/>
                <w:sz w:val="24"/>
                <w:szCs w:val="24"/>
                <w:highlight w:val="none"/>
                <w:lang w:val="en-US" w:eastAsia="zh-CN"/>
              </w:rPr>
              <w:t>影</w:t>
            </w:r>
            <w:r>
              <w:rPr>
                <w:rFonts w:hint="default" w:ascii="Times New Roman" w:hAnsi="Times New Roman" w:eastAsia="宋体" w:cs="Times New Roman"/>
                <w:color w:val="auto"/>
                <w:sz w:val="24"/>
                <w:szCs w:val="24"/>
                <w:highlight w:val="none"/>
              </w:rPr>
              <w:t>响较小。</w:t>
            </w:r>
          </w:p>
          <w:p w14:paraId="056F4C67">
            <w:pPr>
              <w:pStyle w:val="37"/>
              <w:keepNext w:val="0"/>
              <w:keepLines w:val="0"/>
              <w:widowControl/>
              <w:suppressLineNumbers w:val="0"/>
              <w:bidi w:val="0"/>
              <w:spacing w:before="0" w:beforeAutospacing="0" w:after="0" w:afterAutospacing="0"/>
              <w:ind w:left="0" w:right="0"/>
              <w:rPr>
                <w:rFonts w:hint="eastAsia"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2运营期</w:t>
            </w:r>
            <w:r>
              <w:rPr>
                <w:rFonts w:hint="default" w:ascii="Times New Roman" w:hAnsi="Times New Roman" w:cs="Times New Roman"/>
                <w:b/>
                <w:bCs/>
                <w:color w:val="auto"/>
                <w:sz w:val="24"/>
                <w:szCs w:val="24"/>
                <w:lang w:val="en-US" w:eastAsia="zh-CN"/>
              </w:rPr>
              <w:t>水环境影响分析</w:t>
            </w:r>
            <w:r>
              <w:rPr>
                <w:rFonts w:hint="eastAsia" w:cs="Times New Roman"/>
                <w:b/>
                <w:bCs/>
                <w:color w:val="auto"/>
                <w:sz w:val="24"/>
                <w:szCs w:val="24"/>
                <w:lang w:val="en-US" w:eastAsia="zh-CN"/>
              </w:rPr>
              <w:t>和保护措施</w:t>
            </w:r>
          </w:p>
          <w:p w14:paraId="61FE82D9">
            <w:pPr>
              <w:pStyle w:val="37"/>
              <w:keepNext w:val="0"/>
              <w:keepLines w:val="0"/>
              <w:widowControl/>
              <w:suppressLineNumbers w:val="0"/>
              <w:bidi w:val="0"/>
              <w:spacing w:before="0" w:beforeAutospacing="0" w:after="0" w:afterAutospacing="0"/>
              <w:ind w:left="0" w:right="0"/>
              <w:rPr>
                <w:rFonts w:hint="default" w:cs="Times New Roman"/>
                <w:b/>
                <w:bCs/>
                <w:color w:val="auto"/>
                <w:sz w:val="24"/>
                <w:szCs w:val="24"/>
                <w:lang w:val="en-US" w:eastAsia="zh-CN"/>
              </w:rPr>
            </w:pPr>
            <w:r>
              <w:rPr>
                <w:rFonts w:hint="eastAsia" w:cs="Times New Roman"/>
                <w:b/>
                <w:bCs/>
                <w:color w:val="auto"/>
                <w:sz w:val="24"/>
                <w:szCs w:val="24"/>
                <w:lang w:val="en-US" w:eastAsia="zh-CN"/>
              </w:rPr>
              <w:t>2.2.1地表水环境影响分析和保护措施</w:t>
            </w:r>
          </w:p>
          <w:p w14:paraId="687FE917">
            <w:pPr>
              <w:pStyle w:val="7"/>
              <w:numPr>
                <w:ilvl w:val="0"/>
                <w:numId w:val="0"/>
              </w:num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sz w:val="24"/>
                <w:szCs w:val="24"/>
                <w:lang w:val="en-US" w:eastAsia="zh-CN"/>
              </w:rPr>
              <w:t>源强分析</w:t>
            </w:r>
          </w:p>
          <w:p w14:paraId="3B6FA989">
            <w:pPr>
              <w:pStyle w:val="7"/>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生活污水</w:t>
            </w:r>
          </w:p>
          <w:p w14:paraId="35CBDDC1">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本项目建设完成后工作人员为</w:t>
            </w:r>
            <w:r>
              <w:rPr>
                <w:rFonts w:hint="default" w:ascii="Times New Roman" w:hAnsi="Times New Roman" w:eastAsia="宋体" w:cs="Times New Roman"/>
                <w:b w:val="0"/>
                <w:bCs w:val="0"/>
                <w:color w:val="auto"/>
                <w:sz w:val="24"/>
                <w:szCs w:val="24"/>
                <w:lang w:val="en-US" w:eastAsia="zh-CN"/>
              </w:rPr>
              <w:t>2人食宿，</w:t>
            </w:r>
            <w:r>
              <w:rPr>
                <w:rFonts w:hint="default" w:ascii="Times New Roman" w:hAnsi="Times New Roman"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人不在厂区</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4"/>
                <w:szCs w:val="24"/>
                <w:lang w:val="en-US" w:eastAsia="zh-CN"/>
              </w:rPr>
              <w:t>年运行300天，根据《云南省地方标准用水定额》（DB53/T168-2019）标准，综合生活用水定额采用在厂区食宿120L/（人·d）和不在厂区食宿60L/（人·d），则生活用水量为0.72m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/d，216m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/a，产污系数按0.8来算，则生活污水产生量为0.576m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/d，172.8m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，生活污水经化粪池和隔油池处理后，定期使用吸粪车清运至华宁县污水处理厂处理。</w:t>
            </w:r>
          </w:p>
          <w:p w14:paraId="6FC93439">
            <w:pPr>
              <w:pStyle w:val="2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②车辆冲洗用水</w:t>
            </w:r>
          </w:p>
          <w:p w14:paraId="0B4E706E">
            <w:pPr>
              <w:pStyle w:val="2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根据《云南省地方标准用水定额》</w:t>
            </w:r>
            <w:r>
              <w:rPr>
                <w:rFonts w:hint="default" w:ascii="Times New Roman" w:hAnsi="Times New Roman" w:eastAsia="宋体" w:cs="Times New Roman"/>
                <w:color w:val="auto"/>
                <w:sz w:val="24"/>
                <w:szCs w:val="24"/>
                <w:lang w:val="en-US" w:eastAsia="zh-CN"/>
              </w:rPr>
              <w:t>（DB53/T168-2019）</w:t>
            </w:r>
            <w:r>
              <w:rPr>
                <w:rFonts w:hint="default" w:ascii="Times New Roman" w:hAnsi="Times New Roman" w:cs="Times New Roman"/>
                <w:color w:val="auto"/>
                <w:sz w:val="24"/>
                <w:szCs w:val="24"/>
                <w:lang w:val="en-US" w:eastAsia="zh-CN"/>
              </w:rPr>
              <w:t>“清洁服务（洗车）”用水定额为0.06m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/（车·次），预计本项目</w:t>
            </w:r>
            <w:r>
              <w:rPr>
                <w:rFonts w:hint="eastAsia" w:ascii="Times New Roman" w:cs="Times New Roman"/>
                <w:color w:val="auto"/>
                <w:sz w:val="24"/>
                <w:szCs w:val="24"/>
                <w:vertAlign w:val="baseline"/>
                <w:lang w:val="en-US" w:eastAsia="zh-CN"/>
              </w:rPr>
              <w:t>每天出</w:t>
            </w:r>
            <w:r>
              <w:rPr>
                <w:rFonts w:hint="default" w:ascii="Times New Roman" w:hAnsi="Times New Roman" w:cs="Times New Roman"/>
                <w:color w:val="auto"/>
                <w:sz w:val="24"/>
                <w:szCs w:val="24"/>
                <w:vertAlign w:val="baseline"/>
                <w:lang w:val="en-US" w:eastAsia="zh-CN"/>
              </w:rPr>
              <w:t>场车辆为</w:t>
            </w:r>
            <w:r>
              <w:rPr>
                <w:rFonts w:hint="eastAsia" w:ascii="Times New Roman" w:cs="Times New Roman"/>
                <w:color w:val="auto"/>
                <w:sz w:val="24"/>
                <w:szCs w:val="24"/>
                <w:vertAlign w:val="baseline"/>
                <w:lang w:val="en-US" w:eastAsia="zh-CN"/>
              </w:rPr>
              <w:t>61</w:t>
            </w:r>
            <w:r>
              <w:rPr>
                <w:rFonts w:hint="default" w:ascii="Times New Roman" w:hAnsi="Times New Roman" w:cs="Times New Roman"/>
                <w:color w:val="auto"/>
                <w:sz w:val="24"/>
                <w:szCs w:val="24"/>
                <w:vertAlign w:val="baseline"/>
                <w:lang w:val="en-US" w:eastAsia="zh-CN"/>
              </w:rPr>
              <w:t>辆，每辆车每天清洗1次，则车辆冲洗用水量为</w:t>
            </w:r>
            <w:r>
              <w:rPr>
                <w:rFonts w:hint="eastAsia" w:ascii="Times New Roman" w:cs="Times New Roman"/>
                <w:color w:val="auto"/>
                <w:sz w:val="24"/>
                <w:szCs w:val="24"/>
                <w:vertAlign w:val="baseline"/>
                <w:lang w:val="en-US" w:eastAsia="zh-CN"/>
              </w:rPr>
              <w:t>3.66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/d，</w:t>
            </w:r>
            <w:r>
              <w:rPr>
                <w:rFonts w:hint="eastAsia" w:ascii="Times New Roman" w:cs="Times New Roman"/>
                <w:color w:val="auto"/>
                <w:sz w:val="24"/>
                <w:szCs w:val="24"/>
                <w:vertAlign w:val="baseline"/>
                <w:lang w:val="en-US" w:eastAsia="zh-CN"/>
              </w:rPr>
              <w:t>1098</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/a。按冲洗用水的90%计算，则</w:t>
            </w:r>
            <w:r>
              <w:rPr>
                <w:rFonts w:hint="eastAsia" w:ascii="Times New Roman" w:cs="Times New Roman"/>
                <w:color w:val="auto"/>
                <w:sz w:val="24"/>
                <w:szCs w:val="24"/>
                <w:vertAlign w:val="baseline"/>
                <w:lang w:val="en-US" w:eastAsia="zh-CN"/>
              </w:rPr>
              <w:t>3.294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/d，</w:t>
            </w:r>
            <w:r>
              <w:rPr>
                <w:rFonts w:hint="eastAsia" w:ascii="Times New Roman" w:cs="Times New Roman"/>
                <w:color w:val="auto"/>
                <w:sz w:val="24"/>
                <w:szCs w:val="24"/>
                <w:vertAlign w:val="baseline"/>
                <w:lang w:val="en-US" w:eastAsia="zh-CN"/>
              </w:rPr>
              <w:t>988.2</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/a，</w:t>
            </w:r>
            <w:r>
              <w:rPr>
                <w:rFonts w:hint="eastAsia" w:ascii="Times New Roman" w:cs="Times New Roman"/>
                <w:color w:val="auto"/>
                <w:sz w:val="24"/>
                <w:szCs w:val="24"/>
                <w:vertAlign w:val="baseline"/>
                <w:lang w:val="en-US" w:eastAsia="zh-CN"/>
              </w:rPr>
              <w:t>洗车废水SS浓度值为3000mg/L，废水</w:t>
            </w:r>
            <w:r>
              <w:rPr>
                <w:rFonts w:hint="default" w:ascii="Times New Roman" w:hAnsi="Times New Roman" w:cs="Times New Roman"/>
                <w:color w:val="auto"/>
                <w:sz w:val="24"/>
                <w:szCs w:val="24"/>
                <w:vertAlign w:val="baseline"/>
                <w:lang w:val="en-US" w:eastAsia="zh-CN"/>
              </w:rPr>
              <w:t>经沉淀池（</w:t>
            </w:r>
            <w:r>
              <w:rPr>
                <w:rFonts w:hint="eastAsia" w:ascii="Times New Roman" w:cs="Times New Roman"/>
                <w:color w:val="auto"/>
                <w:sz w:val="24"/>
                <w:szCs w:val="24"/>
                <w:vertAlign w:val="baseline"/>
                <w:lang w:val="en-US" w:eastAsia="zh-CN"/>
              </w:rPr>
              <w:t>5</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）沉淀后回用于冲洗车辆，</w:t>
            </w:r>
            <w:r>
              <w:rPr>
                <w:rFonts w:hint="eastAsia" w:ascii="Times New Roman" w:cs="Times New Roman"/>
                <w:color w:val="auto"/>
                <w:sz w:val="24"/>
                <w:szCs w:val="24"/>
                <w:vertAlign w:val="baseline"/>
                <w:lang w:val="en-US" w:eastAsia="zh-CN"/>
              </w:rPr>
              <w:t>污泥产生量为8.40kg/h，2.52t/a，定期清掏，经压滤机压滤后，泥饼产生量为4.2t/a（含水率40%），泥饼运至珠峰采石场用于露天采空区土地复垦。</w:t>
            </w:r>
          </w:p>
          <w:p w14:paraId="07F5556F">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③洗砂废水</w:t>
            </w:r>
          </w:p>
          <w:p w14:paraId="02BA9368">
            <w:pPr>
              <w:pStyle w:val="14"/>
              <w:spacing w:line="360" w:lineRule="auto"/>
              <w:ind w:firstLine="480" w:firstLineChars="200"/>
              <w:rPr>
                <w:rFonts w:hint="default" w:ascii="Times New Roman" w:hAnsi="Times New Roman" w:cs="Times New Roman"/>
                <w:color w:val="auto"/>
                <w:lang w:val="en-US" w:eastAsia="zh-CN"/>
              </w:rPr>
            </w:pPr>
            <w:bookmarkStart w:id="27" w:name="_Toc9637"/>
            <w:r>
              <w:rPr>
                <w:rFonts w:hint="default" w:ascii="Times New Roman" w:hAnsi="Times New Roman" w:cs="Times New Roman"/>
                <w:b w:val="0"/>
                <w:bCs w:val="0"/>
                <w:color w:val="auto"/>
                <w:sz w:val="24"/>
                <w:szCs w:val="24"/>
                <w:lang w:val="en-US" w:eastAsia="zh-CN"/>
              </w:rPr>
              <w:t>本项目生产废水主要是洗砂废水，</w:t>
            </w:r>
            <w:r>
              <w:rPr>
                <w:rFonts w:hint="default" w:ascii="Times New Roman" w:hAnsi="Times New Roman" w:cs="Times New Roman"/>
                <w:b w:val="0"/>
                <w:bCs w:val="0"/>
                <w:color w:val="auto"/>
                <w:sz w:val="24"/>
                <w:szCs w:val="24"/>
                <w:vertAlign w:val="baseline"/>
                <w:lang w:val="en-US" w:eastAsia="zh-CN"/>
              </w:rPr>
              <w:t>清洗废水进入沉淀系统处理后进入清水池回用于项目生产，清洗过程中自然损耗约占用水量的2%，则损耗水量为3</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default" w:ascii="Times New Roman" w:hAnsi="Times New Roman" w:cs="Times New Roman"/>
                <w:b w:val="0"/>
                <w:bCs w:val="0"/>
                <w:color w:val="auto"/>
                <w:sz w:val="24"/>
                <w:szCs w:val="24"/>
                <w:lang w:val="en-US" w:eastAsia="zh-CN"/>
              </w:rPr>
              <w:t>清洗后物料带走水量为</w:t>
            </w:r>
            <w:r>
              <w:rPr>
                <w:rFonts w:hint="eastAsia" w:cs="Times New Roman"/>
                <w:b w:val="0"/>
                <w:bCs w:val="0"/>
                <w:color w:val="auto"/>
                <w:sz w:val="24"/>
                <w:szCs w:val="24"/>
                <w:lang w:val="en-US" w:eastAsia="zh-CN"/>
              </w:rPr>
              <w:t>14</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eastAsia" w:cs="Times New Roman"/>
                <w:b w:val="0"/>
                <w:bCs w:val="0"/>
                <w:color w:val="auto"/>
                <w:sz w:val="24"/>
                <w:szCs w:val="24"/>
                <w:vertAlign w:val="baseline"/>
                <w:lang w:val="en-US" w:eastAsia="zh-CN"/>
              </w:rPr>
              <w:t>其余水</w:t>
            </w:r>
            <w:r>
              <w:rPr>
                <w:rFonts w:hint="default" w:ascii="Times New Roman" w:hAnsi="Times New Roman" w:cs="Times New Roman"/>
                <w:b w:val="0"/>
                <w:bCs w:val="0"/>
                <w:color w:val="auto"/>
                <w:sz w:val="24"/>
                <w:szCs w:val="24"/>
                <w:vertAlign w:val="baseline"/>
                <w:lang w:val="en-US" w:eastAsia="zh-CN"/>
              </w:rPr>
              <w:t>即</w:t>
            </w:r>
            <w:r>
              <w:rPr>
                <w:rFonts w:hint="eastAsia" w:cs="Times New Roman"/>
                <w:b w:val="0"/>
                <w:bCs w:val="0"/>
                <w:color w:val="auto"/>
                <w:sz w:val="24"/>
                <w:szCs w:val="24"/>
                <w:vertAlign w:val="baseline"/>
                <w:lang w:val="en-US" w:eastAsia="zh-CN"/>
              </w:rPr>
              <w:t>133</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eastAsia"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vertAlign w:val="baseline"/>
                <w:lang w:val="en-US" w:eastAsia="zh-CN"/>
              </w:rPr>
              <w:t>汇入沉淀系统，经沉淀</w:t>
            </w:r>
            <w:r>
              <w:rPr>
                <w:rFonts w:hint="eastAsia" w:cs="Times New Roman"/>
                <w:b w:val="0"/>
                <w:bCs w:val="0"/>
                <w:color w:val="auto"/>
                <w:sz w:val="24"/>
                <w:szCs w:val="24"/>
                <w:vertAlign w:val="baseline"/>
                <w:lang w:val="en-US" w:eastAsia="zh-CN"/>
              </w:rPr>
              <w:t>系统</w:t>
            </w:r>
            <w:r>
              <w:rPr>
                <w:rFonts w:hint="default" w:ascii="Times New Roman" w:hAnsi="Times New Roman" w:cs="Times New Roman"/>
                <w:b w:val="0"/>
                <w:bCs w:val="0"/>
                <w:color w:val="auto"/>
                <w:sz w:val="24"/>
                <w:szCs w:val="24"/>
                <w:vertAlign w:val="baseline"/>
                <w:lang w:val="en-US" w:eastAsia="zh-CN"/>
              </w:rPr>
              <w:t>处理后进入清水池回用于生产过程不外排，压滤机</w:t>
            </w:r>
            <w:r>
              <w:rPr>
                <w:rFonts w:hint="eastAsia" w:cs="Times New Roman"/>
                <w:b w:val="0"/>
                <w:bCs w:val="0"/>
                <w:color w:val="auto"/>
                <w:sz w:val="24"/>
                <w:szCs w:val="24"/>
                <w:vertAlign w:val="baseline"/>
                <w:lang w:val="en-US" w:eastAsia="zh-CN"/>
              </w:rPr>
              <w:t>压滤过</w:t>
            </w:r>
            <w:r>
              <w:rPr>
                <w:rFonts w:hint="default" w:ascii="Times New Roman" w:hAnsi="Times New Roman" w:cs="Times New Roman"/>
                <w:b w:val="0"/>
                <w:bCs w:val="0"/>
                <w:color w:val="auto"/>
                <w:sz w:val="24"/>
                <w:szCs w:val="24"/>
                <w:vertAlign w:val="baseline"/>
                <w:lang w:val="en-US" w:eastAsia="zh-CN"/>
              </w:rPr>
              <w:t>泥饼</w:t>
            </w:r>
            <w:r>
              <w:rPr>
                <w:rFonts w:hint="eastAsia" w:cs="Times New Roman"/>
                <w:b w:val="0"/>
                <w:bCs w:val="0"/>
                <w:color w:val="auto"/>
                <w:sz w:val="24"/>
                <w:szCs w:val="24"/>
                <w:vertAlign w:val="baseline"/>
                <w:lang w:val="en-US" w:eastAsia="zh-CN"/>
              </w:rPr>
              <w:t>含水率为40%，泥饼带走水量为31.6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r>
              <w:rPr>
                <w:rFonts w:hint="eastAsia"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vertAlign w:val="baseline"/>
                <w:lang w:val="en-US" w:eastAsia="zh-CN"/>
              </w:rPr>
              <w:t>循环水量为</w:t>
            </w:r>
            <w:r>
              <w:rPr>
                <w:rFonts w:hint="eastAsia" w:cs="Times New Roman"/>
                <w:b w:val="0"/>
                <w:bCs w:val="0"/>
                <w:color w:val="auto"/>
                <w:sz w:val="24"/>
                <w:szCs w:val="24"/>
                <w:vertAlign w:val="baseline"/>
                <w:lang w:val="en-US" w:eastAsia="zh-CN"/>
              </w:rPr>
              <w:t>101.4</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/d，补充新鲜水量为</w:t>
            </w:r>
            <w:r>
              <w:rPr>
                <w:rFonts w:hint="eastAsia" w:cs="Times New Roman"/>
                <w:b w:val="0"/>
                <w:bCs w:val="0"/>
                <w:color w:val="auto"/>
                <w:sz w:val="24"/>
                <w:szCs w:val="24"/>
                <w:vertAlign w:val="baseline"/>
                <w:lang w:val="en-US" w:eastAsia="zh-CN"/>
              </w:rPr>
              <w:t>48.6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w:t>
            </w:r>
            <w:bookmarkEnd w:id="27"/>
          </w:p>
          <w:p w14:paraId="081D817C">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④</w:t>
            </w:r>
            <w:r>
              <w:rPr>
                <w:rFonts w:hint="default" w:ascii="Times New Roman" w:hAnsi="Times New Roman" w:cs="Times New Roman"/>
                <w:color w:val="auto"/>
              </w:rPr>
              <w:t>初期雨水</w:t>
            </w:r>
          </w:p>
          <w:p w14:paraId="7EB54919">
            <w:pPr>
              <w:keepNext w:val="0"/>
              <w:keepLines w:val="0"/>
              <w:numPr>
                <w:ilvl w:val="0"/>
                <w:numId w:val="0"/>
              </w:numPr>
              <w:suppressLineNumbers w:val="0"/>
              <w:spacing w:before="0" w:beforeAutospacing="0" w:after="0" w:afterAutospacing="0"/>
              <w:ind w:left="0" w:leftChars="0" w:right="0" w:righ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根据《给水排水设计手册》，初期雨水径流采用如下公式：</w:t>
            </w:r>
          </w:p>
          <w:p w14:paraId="1C60EF44">
            <w:pPr>
              <w:keepNext w:val="0"/>
              <w:keepLines w:val="0"/>
              <w:widowControl/>
              <w:suppressLineNumbers w:val="0"/>
              <w:spacing w:before="0" w:beforeAutospacing="0" w:after="0" w:afterAutospacing="0"/>
              <w:ind w:left="0" w:right="0" w:firstLine="480"/>
              <w:jc w:val="center"/>
              <w:rPr>
                <w:rFonts w:hint="default" w:ascii="Times New Roman" w:hAnsi="Times New Roman" w:cs="Times New Roman"/>
                <w:color w:val="auto"/>
                <w:highlight w:val="none"/>
              </w:rPr>
            </w:pPr>
            <w:r>
              <w:rPr>
                <w:rFonts w:hint="default" w:ascii="Times New Roman" w:hAnsi="Times New Roman" w:cs="Times New Roman"/>
                <w:i/>
                <w:color w:val="auto"/>
                <w:kern w:val="0"/>
                <w:szCs w:val="24"/>
                <w:highlight w:val="none"/>
                <w:lang w:bidi="ar"/>
              </w:rPr>
              <w:t>Q=</w:t>
            </w:r>
            <w:r>
              <w:rPr>
                <w:rFonts w:hint="default" w:ascii="Times New Roman" w:hAnsi="Times New Roman" w:cs="Times New Roman"/>
                <w:color w:val="auto"/>
                <w:highlight w:val="none"/>
              </w:rPr>
              <w:t>ψ*q*F</w:t>
            </w:r>
          </w:p>
          <w:p w14:paraId="6D5DA638">
            <w:pPr>
              <w:keepNext w:val="0"/>
              <w:keepLines w:val="0"/>
              <w:suppressLineNumbers w:val="0"/>
              <w:spacing w:before="0" w:beforeAutospacing="0" w:after="0" w:afterAutospacing="0"/>
              <w:ind w:left="0" w:right="0"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式中：Q—雨水流量，L/s；</w:t>
            </w:r>
          </w:p>
          <w:p w14:paraId="57F92E15">
            <w:pPr>
              <w:keepNext w:val="0"/>
              <w:keepLines w:val="0"/>
              <w:suppressLineNumbers w:val="0"/>
              <w:spacing w:before="0" w:beforeAutospacing="0" w:after="0" w:afterAutospacing="0"/>
              <w:ind w:left="0" w:right="0" w:firstLine="480"/>
              <w:rPr>
                <w:rFonts w:hint="default" w:ascii="Times New Roman" w:hAnsi="Times New Roman" w:cs="Times New Roman"/>
                <w:color w:val="auto"/>
                <w:szCs w:val="24"/>
                <w:highlight w:val="none"/>
              </w:rPr>
            </w:pPr>
            <w:r>
              <w:rPr>
                <w:rFonts w:hint="default" w:ascii="Times New Roman" w:hAnsi="Times New Roman" w:cs="Times New Roman"/>
                <w:color w:val="auto"/>
                <w:kern w:val="0"/>
                <w:szCs w:val="24"/>
                <w:highlight w:val="none"/>
                <w:lang w:bidi="ar"/>
              </w:rPr>
              <w:t></w:t>
            </w:r>
            <w:r>
              <w:rPr>
                <w:rFonts w:hint="default" w:ascii="Times New Roman" w:hAnsi="Times New Roman" w:cs="Times New Roman"/>
                <w:color w:val="auto"/>
                <w:highlight w:val="none"/>
              </w:rPr>
              <w:t>ψ</w:t>
            </w:r>
            <w:r>
              <w:rPr>
                <w:rFonts w:hint="default" w:ascii="Times New Roman" w:hAnsi="Times New Roman" w:cs="Times New Roman"/>
                <w:color w:val="auto"/>
                <w:szCs w:val="24"/>
                <w:highlight w:val="none"/>
              </w:rPr>
              <w:t>—径流系数</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径流系数0.15</w:t>
            </w:r>
            <w:r>
              <w:rPr>
                <w:rFonts w:hint="default" w:ascii="Times New Roman" w:hAnsi="Times New Roman" w:cs="Times New Roman"/>
                <w:color w:val="auto"/>
              </w:rPr>
              <w:t>～</w:t>
            </w:r>
            <w:r>
              <w:rPr>
                <w:rFonts w:hint="default" w:ascii="Times New Roman" w:hAnsi="Times New Roman" w:cs="Times New Roman"/>
                <w:color w:val="auto"/>
                <w:lang w:val="en-US" w:eastAsia="zh-CN"/>
              </w:rPr>
              <w:t>0.9，项目裸露场地未硬化，径流系数取0.3</w:t>
            </w:r>
            <w:r>
              <w:rPr>
                <w:rFonts w:hint="default" w:ascii="Times New Roman" w:hAnsi="Times New Roman" w:cs="Times New Roman"/>
                <w:color w:val="auto"/>
                <w:szCs w:val="24"/>
                <w:highlight w:val="none"/>
                <w:lang w:eastAsia="zh-CN"/>
              </w:rPr>
              <w:t>）</w:t>
            </w:r>
          </w:p>
          <w:p w14:paraId="6C0CA047">
            <w:pPr>
              <w:keepNext w:val="0"/>
              <w:keepLines w:val="0"/>
              <w:suppressLineNumbers w:val="0"/>
              <w:spacing w:before="0" w:beforeAutospacing="0" w:after="0" w:afterAutospacing="0"/>
              <w:ind w:left="0" w:right="0"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q—设计暴雨强度，L/s·hm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w:t>
            </w:r>
          </w:p>
          <w:p w14:paraId="31CCE93F">
            <w:pPr>
              <w:keepNext w:val="0"/>
              <w:keepLines w:val="0"/>
              <w:suppressLineNumbers w:val="0"/>
              <w:spacing w:before="0" w:beforeAutospacing="0" w:after="0" w:afterAutospacing="0"/>
              <w:ind w:left="0" w:right="0"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Cs w:val="24"/>
                <w:highlight w:val="none"/>
              </w:rPr>
              <w:t>F—汇水面积，</w:t>
            </w:r>
            <w:r>
              <w:rPr>
                <w:rFonts w:hint="eastAsia" w:cs="Times New Roman"/>
                <w:color w:val="auto"/>
                <w:szCs w:val="24"/>
                <w:highlight w:val="none"/>
                <w:lang w:val="en-US" w:eastAsia="zh-CN"/>
              </w:rPr>
              <w:t>h</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，本项目</w:t>
            </w:r>
            <w:r>
              <w:rPr>
                <w:rFonts w:hint="default" w:ascii="Times New Roman" w:hAnsi="Times New Roman" w:cs="Times New Roman"/>
                <w:color w:val="auto"/>
                <w:szCs w:val="24"/>
                <w:highlight w:val="none"/>
                <w:lang w:val="en-US" w:eastAsia="zh-CN"/>
              </w:rPr>
              <w:t>汇水</w:t>
            </w:r>
            <w:r>
              <w:rPr>
                <w:rFonts w:hint="default" w:ascii="Times New Roman" w:hAnsi="Times New Roman" w:cs="Times New Roman"/>
                <w:color w:val="auto"/>
                <w:szCs w:val="24"/>
                <w:highlight w:val="none"/>
              </w:rPr>
              <w:t>面积共</w:t>
            </w:r>
            <w:r>
              <w:rPr>
                <w:rFonts w:hint="eastAsia" w:cs="Times New Roman"/>
                <w:color w:val="auto"/>
                <w:szCs w:val="24"/>
                <w:highlight w:val="none"/>
                <w:lang w:val="en-US" w:eastAsia="zh-CN"/>
              </w:rPr>
              <w:t>3.33335h</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w:t>
            </w:r>
          </w:p>
          <w:p w14:paraId="2E1762FD">
            <w:pPr>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降雨强度按照</w:t>
            </w:r>
            <w:r>
              <w:rPr>
                <w:rFonts w:hint="default" w:ascii="Times New Roman" w:hAnsi="Times New Roman" w:cs="Times New Roman"/>
                <w:color w:val="auto"/>
                <w:sz w:val="24"/>
                <w:szCs w:val="24"/>
                <w:highlight w:val="none"/>
                <w:lang w:val="en-US" w:eastAsia="zh-CN"/>
              </w:rPr>
              <w:t>玉溪市市</w:t>
            </w:r>
            <w:r>
              <w:rPr>
                <w:rFonts w:hint="default" w:ascii="Times New Roman" w:hAnsi="Times New Roman" w:cs="Times New Roman"/>
                <w:color w:val="auto"/>
                <w:sz w:val="24"/>
                <w:szCs w:val="24"/>
                <w:highlight w:val="none"/>
              </w:rPr>
              <w:t>中心城区暴雨强度公式（修订）计算：</w:t>
            </w:r>
          </w:p>
          <w:p w14:paraId="6165CFD9">
            <w:pPr>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q=2870.528（1+0.633lgP）/（t+14.742）</w:t>
            </w:r>
            <w:r>
              <w:rPr>
                <w:rFonts w:hint="default" w:ascii="Times New Roman" w:hAnsi="Times New Roman" w:cs="Times New Roman"/>
                <w:color w:val="auto"/>
                <w:sz w:val="24"/>
                <w:szCs w:val="24"/>
                <w:highlight w:val="none"/>
                <w:vertAlign w:val="superscript"/>
              </w:rPr>
              <w:t>0.818</w:t>
            </w:r>
          </w:p>
          <w:p w14:paraId="056FC999">
            <w:pPr>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式中：P—设计降雨重现期</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a，t—降雨历时，（取</w:t>
            </w:r>
            <w:r>
              <w:rPr>
                <w:rFonts w:hint="default" w:ascii="Times New Roman" w:hAnsi="Times New Roman" w:cs="Times New Roman"/>
                <w:color w:val="auto"/>
                <w:sz w:val="24"/>
                <w:szCs w:val="24"/>
                <w:highlight w:val="none"/>
                <w:lang w:val="en-US" w:eastAsia="zh-CN"/>
              </w:rPr>
              <w:t>15min</w:t>
            </w:r>
            <w:r>
              <w:rPr>
                <w:rFonts w:hint="default" w:ascii="Times New Roman" w:hAnsi="Times New Roman" w:cs="Times New Roman"/>
                <w:color w:val="auto"/>
                <w:sz w:val="24"/>
                <w:szCs w:val="24"/>
                <w:highlight w:val="none"/>
              </w:rPr>
              <w:t>）。</w:t>
            </w:r>
          </w:p>
          <w:p w14:paraId="127EB010">
            <w:pPr>
              <w:pStyle w:val="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降雨重现期</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a，暴雨强度为</w:t>
            </w:r>
            <w:r>
              <w:rPr>
                <w:rFonts w:hint="eastAsia"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lang w:val="en-US" w:eastAsia="zh-CN"/>
              </w:rPr>
              <w:t>178.96</w:t>
            </w:r>
            <w:r>
              <w:rPr>
                <w:rFonts w:hint="default" w:ascii="Times New Roman" w:hAnsi="Times New Roman" w:cs="Times New Roman"/>
                <w:color w:val="auto"/>
                <w:sz w:val="24"/>
                <w:szCs w:val="24"/>
                <w:highlight w:val="none"/>
              </w:rPr>
              <w:t>L/s·hm</w:t>
            </w:r>
            <w:r>
              <w:rPr>
                <w:rFonts w:hint="default"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vertAlign w:val="baseline"/>
                <w:lang w:eastAsia="zh-CN"/>
              </w:rPr>
              <w:t>，</w:t>
            </w:r>
            <w:r>
              <w:rPr>
                <w:rFonts w:hint="eastAsia" w:ascii="Times New Roman" w:hAnsi="Times New Roman" w:cs="Times New Roman"/>
                <w:color w:val="auto"/>
                <w:sz w:val="24"/>
                <w:szCs w:val="24"/>
                <w:highlight w:val="none"/>
                <w:vertAlign w:val="baseline"/>
                <w:lang w:val="en-US" w:eastAsia="zh-CN"/>
              </w:rPr>
              <w:t>则Q约为178.96L/s</w:t>
            </w:r>
            <w:r>
              <w:rPr>
                <w:rFonts w:hint="default" w:ascii="Times New Roman" w:hAnsi="Times New Roman" w:cs="Times New Roman"/>
                <w:color w:val="auto"/>
                <w:sz w:val="24"/>
                <w:szCs w:val="24"/>
                <w:highlight w:val="none"/>
              </w:rPr>
              <w:t>。初期雨水按降水前</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分钟计算，</w:t>
            </w:r>
            <w:r>
              <w:rPr>
                <w:rFonts w:hint="eastAsia" w:ascii="Times New Roman" w:hAnsi="Times New Roman" w:cs="Times New Roman"/>
                <w:color w:val="auto"/>
                <w:sz w:val="24"/>
                <w:szCs w:val="24"/>
                <w:highlight w:val="none"/>
                <w:lang w:val="en-US" w:eastAsia="zh-CN"/>
              </w:rPr>
              <w:t>则</w:t>
            </w:r>
            <w:r>
              <w:rPr>
                <w:rFonts w:hint="default" w:ascii="Times New Roman" w:hAnsi="Times New Roman" w:cs="Times New Roman"/>
                <w:color w:val="auto"/>
                <w:sz w:val="24"/>
                <w:szCs w:val="24"/>
                <w:highlight w:val="none"/>
              </w:rPr>
              <w:t>初期雨水量为</w:t>
            </w:r>
            <w:r>
              <w:rPr>
                <w:rFonts w:hint="eastAsia" w:ascii="Times New Roman" w:hAnsi="Times New Roman" w:cs="Times New Roman"/>
                <w:color w:val="auto"/>
                <w:sz w:val="24"/>
                <w:szCs w:val="24"/>
                <w:highlight w:val="none"/>
                <w:lang w:val="en-US" w:eastAsia="zh-CN"/>
              </w:rPr>
              <w:t>107.376</w:t>
            </w:r>
            <w:r>
              <w:rPr>
                <w:rFonts w:hint="default" w:ascii="Times New Roman" w:hAnsi="Times New Roman" w:cs="Times New Roman"/>
                <w:color w:val="auto"/>
                <w:sz w:val="24"/>
                <w:szCs w:val="24"/>
                <w:highlight w:val="none"/>
              </w:rPr>
              <w:t>m³/次，考虑1.2倍的安全系数，本环评建议</w:t>
            </w:r>
            <w:r>
              <w:rPr>
                <w:rFonts w:hint="default" w:ascii="Times New Roman" w:hAnsi="Times New Roman" w:cs="Times New Roman"/>
                <w:color w:val="auto"/>
                <w:sz w:val="24"/>
                <w:szCs w:val="24"/>
                <w:highlight w:val="none"/>
                <w:lang w:val="en-US" w:eastAsia="zh-CN"/>
              </w:rPr>
              <w:t>在厂区最低处设置一个</w:t>
            </w:r>
            <w:r>
              <w:rPr>
                <w:rFonts w:hint="default" w:ascii="Times New Roman" w:hAnsi="Times New Roman" w:cs="Times New Roman"/>
                <w:color w:val="auto"/>
                <w:sz w:val="24"/>
                <w:szCs w:val="24"/>
                <w:highlight w:val="none"/>
              </w:rPr>
              <w:t>容积</w:t>
            </w:r>
            <w:r>
              <w:rPr>
                <w:rFonts w:hint="default" w:ascii="Times New Roman" w:hAnsi="Times New Roman" w:cs="Times New Roman"/>
                <w:color w:val="auto"/>
                <w:sz w:val="24"/>
                <w:szCs w:val="24"/>
                <w:highlight w:val="none"/>
                <w:lang w:val="en-US" w:eastAsia="zh-CN"/>
              </w:rPr>
              <w:t>不小于</w:t>
            </w:r>
            <w:r>
              <w:rPr>
                <w:rFonts w:hint="eastAsia" w:ascii="Times New Roman" w:hAnsi="Times New Roman" w:cs="Times New Roman"/>
                <w:color w:val="auto"/>
                <w:sz w:val="24"/>
                <w:szCs w:val="24"/>
                <w:highlight w:val="none"/>
                <w:lang w:val="en-US" w:eastAsia="zh-CN"/>
              </w:rPr>
              <w:t>130</w:t>
            </w:r>
            <w:r>
              <w:rPr>
                <w:rFonts w:hint="default" w:ascii="Times New Roman" w:hAnsi="Times New Roman" w:cs="Times New Roman"/>
                <w:color w:val="auto"/>
                <w:sz w:val="24"/>
                <w:szCs w:val="24"/>
                <w:highlight w:val="none"/>
              </w:rPr>
              <w:t>m³</w:t>
            </w:r>
            <w:r>
              <w:rPr>
                <w:rFonts w:hint="default"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雨水收集池</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用来收集本项目初期雨水</w:t>
            </w:r>
            <w:r>
              <w:rPr>
                <w:rFonts w:hint="eastAsia" w:ascii="Times New Roman" w:hAnsi="Times New Roman" w:cs="Times New Roman"/>
                <w:color w:val="auto"/>
                <w:sz w:val="24"/>
                <w:szCs w:val="24"/>
                <w:highlight w:val="none"/>
                <w:lang w:val="en-US" w:eastAsia="zh-CN"/>
              </w:rPr>
              <w:t>，收集后的雨水回用于洗砂</w:t>
            </w:r>
            <w:r>
              <w:rPr>
                <w:rFonts w:hint="default" w:ascii="Times New Roman" w:hAnsi="Times New Roman" w:cs="Times New Roman"/>
                <w:color w:val="auto"/>
                <w:sz w:val="24"/>
                <w:szCs w:val="24"/>
                <w:highlight w:val="none"/>
              </w:rPr>
              <w:t>。</w:t>
            </w:r>
          </w:p>
          <w:p w14:paraId="03CE70F7">
            <w:pP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⑤降尘用水</w:t>
            </w:r>
          </w:p>
          <w:p w14:paraId="10037DD5">
            <w:pPr>
              <w:keepNext w:val="0"/>
              <w:keepLines w:val="0"/>
              <w:widowControl/>
              <w:suppressLineNumbers w:val="0"/>
              <w:jc w:val="left"/>
              <w:rPr>
                <w:rFonts w:hint="default" w:ascii="Times New Roman" w:hAnsi="Times New Roman" w:cs="Times New Roman"/>
                <w:color w:val="auto"/>
                <w:lang w:val="en-US" w:eastAsia="zh-CN"/>
              </w:rPr>
            </w:pPr>
            <w:r>
              <w:rPr>
                <w:rFonts w:hint="eastAsia" w:cs="Times New Roman"/>
                <w:color w:val="auto"/>
                <w:kern w:val="0"/>
                <w:sz w:val="24"/>
                <w:szCs w:val="24"/>
                <w:lang w:val="en-US" w:eastAsia="zh-CN" w:bidi="ar"/>
              </w:rPr>
              <w:t>使用</w:t>
            </w:r>
            <w:r>
              <w:rPr>
                <w:rFonts w:hint="default" w:ascii="Times New Roman" w:hAnsi="Times New Roman" w:cs="Times New Roman"/>
                <w:color w:val="auto"/>
                <w:kern w:val="0"/>
                <w:sz w:val="24"/>
                <w:szCs w:val="24"/>
                <w:lang w:val="en-US" w:eastAsia="zh-CN" w:bidi="ar"/>
              </w:rPr>
              <w:t>洒水车</w:t>
            </w:r>
            <w:r>
              <w:rPr>
                <w:rFonts w:hint="eastAsia" w:cs="Times New Roman"/>
                <w:color w:val="auto"/>
                <w:kern w:val="0"/>
                <w:sz w:val="24"/>
                <w:szCs w:val="24"/>
                <w:lang w:val="en-US" w:eastAsia="zh-CN" w:bidi="ar"/>
              </w:rPr>
              <w:t>对</w:t>
            </w:r>
            <w:r>
              <w:rPr>
                <w:rFonts w:hint="default" w:ascii="Times New Roman" w:hAnsi="Times New Roman" w:cs="Times New Roman"/>
                <w:color w:val="auto"/>
                <w:kern w:val="0"/>
                <w:sz w:val="24"/>
                <w:szCs w:val="24"/>
                <w:lang w:val="en-US" w:eastAsia="zh-CN" w:bidi="ar"/>
              </w:rPr>
              <w:t>整个场地</w:t>
            </w:r>
            <w:r>
              <w:rPr>
                <w:rFonts w:hint="eastAsia" w:cs="Times New Roman"/>
                <w:color w:val="auto"/>
                <w:kern w:val="0"/>
                <w:sz w:val="24"/>
                <w:szCs w:val="24"/>
                <w:lang w:val="en-US" w:eastAsia="zh-CN" w:bidi="ar"/>
              </w:rPr>
              <w:t>及厂区附近道路进行降尘</w:t>
            </w:r>
            <w:r>
              <w:rPr>
                <w:rFonts w:hint="default" w:ascii="Times New Roman" w:hAnsi="Times New Roman" w:cs="Times New Roman"/>
                <w:color w:val="auto"/>
                <w:kern w:val="0"/>
                <w:sz w:val="24"/>
                <w:szCs w:val="24"/>
                <w:lang w:val="en-US" w:eastAsia="zh-CN" w:bidi="ar"/>
              </w:rPr>
              <w:t>，根据业主提供资料</w:t>
            </w:r>
            <w:r>
              <w:rPr>
                <w:rFonts w:hint="default" w:ascii="Times New Roman" w:hAnsi="Times New Roman" w:eastAsia="宋体" w:cs="Times New Roman"/>
                <w:color w:val="auto"/>
                <w:kern w:val="0"/>
                <w:sz w:val="24"/>
                <w:szCs w:val="24"/>
                <w:lang w:val="en-US" w:eastAsia="zh-CN" w:bidi="ar"/>
              </w:rPr>
              <w:t>降尘</w:t>
            </w:r>
            <w:r>
              <w:rPr>
                <w:rFonts w:hint="default" w:ascii="Times New Roman" w:hAnsi="Times New Roman" w:cs="Times New Roman"/>
                <w:color w:val="auto"/>
                <w:kern w:val="0"/>
                <w:sz w:val="24"/>
                <w:szCs w:val="24"/>
                <w:lang w:val="en-US" w:eastAsia="zh-CN" w:bidi="ar"/>
              </w:rPr>
              <w:t>用水量为5.6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/d，1680</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/a，降尘</w:t>
            </w:r>
            <w:r>
              <w:rPr>
                <w:rFonts w:hint="default" w:ascii="Times New Roman" w:hAnsi="Times New Roman" w:eastAsia="宋体" w:cs="Times New Roman"/>
                <w:color w:val="auto"/>
                <w:kern w:val="0"/>
                <w:sz w:val="24"/>
                <w:szCs w:val="24"/>
                <w:lang w:val="en-US" w:eastAsia="zh-CN" w:bidi="ar"/>
              </w:rPr>
              <w:t>废水全部自然蒸发，无废水产生。</w:t>
            </w:r>
          </w:p>
          <w:p w14:paraId="73746AD1">
            <w:pPr>
              <w:pStyle w:val="47"/>
              <w:spacing w:line="360" w:lineRule="auto"/>
              <w:ind w:firstLine="48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本项目污水污染物产生及排放情况一览表</w:t>
            </w:r>
          </w:p>
          <w:tbl>
            <w:tblPr>
              <w:tblStyle w:val="17"/>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1266"/>
              <w:gridCol w:w="1521"/>
              <w:gridCol w:w="3408"/>
              <w:gridCol w:w="1157"/>
            </w:tblGrid>
            <w:tr w14:paraId="5ABC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7D86B9F2">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工序</w:t>
                  </w:r>
                </w:p>
              </w:tc>
              <w:tc>
                <w:tcPr>
                  <w:tcW w:w="1266" w:type="dxa"/>
                  <w:vAlign w:val="center"/>
                </w:tcPr>
                <w:p w14:paraId="1067A759">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w:t>
                  </w:r>
                </w:p>
              </w:tc>
              <w:tc>
                <w:tcPr>
                  <w:tcW w:w="1521" w:type="dxa"/>
                  <w:vAlign w:val="center"/>
                </w:tcPr>
                <w:p w14:paraId="7468CC26">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产生量</w:t>
                  </w:r>
                </w:p>
              </w:tc>
              <w:tc>
                <w:tcPr>
                  <w:tcW w:w="3408" w:type="dxa"/>
                  <w:vAlign w:val="center"/>
                </w:tcPr>
                <w:p w14:paraId="179A6408">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保护措施</w:t>
                  </w:r>
                </w:p>
              </w:tc>
              <w:tc>
                <w:tcPr>
                  <w:tcW w:w="1157" w:type="dxa"/>
                  <w:vAlign w:val="center"/>
                </w:tcPr>
                <w:p w14:paraId="375AB6D4">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是否可行</w:t>
                  </w:r>
                </w:p>
              </w:tc>
            </w:tr>
            <w:tr w14:paraId="56CB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53406990">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生活污水</w:t>
                  </w:r>
                </w:p>
              </w:tc>
              <w:tc>
                <w:tcPr>
                  <w:tcW w:w="1266" w:type="dxa"/>
                  <w:vAlign w:val="center"/>
                </w:tcPr>
                <w:p w14:paraId="78E40433">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主要污染物为COD、氨氮、BOD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及</w:t>
                  </w:r>
                  <w:r>
                    <w:rPr>
                      <w:rFonts w:hint="default" w:ascii="Times New Roman" w:hAnsi="Times New Roman" w:cs="Times New Roman"/>
                      <w:bCs/>
                      <w:color w:val="auto"/>
                      <w:sz w:val="21"/>
                      <w:szCs w:val="21"/>
                      <w:lang w:val="en-US" w:eastAsia="zh-CN"/>
                    </w:rPr>
                    <w:t>动植物油</w:t>
                  </w:r>
                </w:p>
              </w:tc>
              <w:tc>
                <w:tcPr>
                  <w:tcW w:w="1521" w:type="dxa"/>
                  <w:vAlign w:val="center"/>
                </w:tcPr>
                <w:p w14:paraId="32DD7A54">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172.8</w:t>
                  </w:r>
                  <w:r>
                    <w:rPr>
                      <w:rFonts w:hint="default" w:ascii="Times New Roman" w:hAnsi="Times New Roman" w:cs="Times New Roman"/>
                      <w:color w:val="auto"/>
                      <w:sz w:val="21"/>
                      <w:szCs w:val="21"/>
                      <w:vertAlign w:val="baseline"/>
                      <w:lang w:val="en-US" w:eastAsia="zh-CN"/>
                    </w:rPr>
                    <w:t>t/a</w:t>
                  </w:r>
                </w:p>
              </w:tc>
              <w:tc>
                <w:tcPr>
                  <w:tcW w:w="3408" w:type="dxa"/>
                  <w:vAlign w:val="center"/>
                </w:tcPr>
                <w:p w14:paraId="24B033D3">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生活污水进入隔油池、化粪池，定期使用吸粪车清</w:t>
                  </w:r>
                  <w:r>
                    <w:rPr>
                      <w:rFonts w:hint="eastAsia" w:ascii="Times New Roman" w:hAnsi="Times New Roman" w:cs="Times New Roman"/>
                      <w:color w:val="auto"/>
                      <w:sz w:val="21"/>
                      <w:szCs w:val="21"/>
                      <w:vertAlign w:val="baseline"/>
                      <w:lang w:val="en-US" w:eastAsia="zh-CN"/>
                    </w:rPr>
                    <w:t>运至华宁县污水处理厂处理</w:t>
                  </w:r>
                  <w:r>
                    <w:rPr>
                      <w:rFonts w:hint="default" w:ascii="Times New Roman" w:hAnsi="Times New Roman" w:cs="Times New Roman"/>
                      <w:color w:val="auto"/>
                      <w:sz w:val="21"/>
                      <w:szCs w:val="21"/>
                      <w:vertAlign w:val="baseline"/>
                      <w:lang w:val="en-US" w:eastAsia="zh-CN"/>
                    </w:rPr>
                    <w:t>。</w:t>
                  </w:r>
                </w:p>
              </w:tc>
              <w:tc>
                <w:tcPr>
                  <w:tcW w:w="1157" w:type="dxa"/>
                  <w:vAlign w:val="center"/>
                </w:tcPr>
                <w:p w14:paraId="1DDE69BD">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53DA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16E99D31">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初期雨水</w:t>
                  </w:r>
                </w:p>
              </w:tc>
              <w:tc>
                <w:tcPr>
                  <w:tcW w:w="1266" w:type="dxa"/>
                  <w:vAlign w:val="center"/>
                </w:tcPr>
                <w:p w14:paraId="27B6FCC1">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SS</w:t>
                  </w:r>
                </w:p>
              </w:tc>
              <w:tc>
                <w:tcPr>
                  <w:tcW w:w="1521" w:type="dxa"/>
                  <w:vAlign w:val="center"/>
                </w:tcPr>
                <w:p w14:paraId="6267F3C1">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107.376</w:t>
                  </w:r>
                  <w:r>
                    <w:rPr>
                      <w:rFonts w:hint="default" w:ascii="Times New Roman" w:hAnsi="Times New Roman" w:cs="Times New Roman"/>
                      <w:color w:val="auto"/>
                      <w:sz w:val="21"/>
                      <w:szCs w:val="21"/>
                      <w:vertAlign w:val="baseline"/>
                      <w:lang w:val="en-US" w:eastAsia="zh-CN"/>
                    </w:rPr>
                    <w:t>t/</w:t>
                  </w:r>
                  <w:r>
                    <w:rPr>
                      <w:rFonts w:hint="eastAsia" w:ascii="Times New Roman" w:hAnsi="Times New Roman" w:cs="Times New Roman"/>
                      <w:color w:val="auto"/>
                      <w:sz w:val="21"/>
                      <w:szCs w:val="21"/>
                      <w:vertAlign w:val="baseline"/>
                      <w:lang w:val="en-US" w:eastAsia="zh-CN"/>
                    </w:rPr>
                    <w:t>次</w:t>
                  </w:r>
                </w:p>
              </w:tc>
              <w:tc>
                <w:tcPr>
                  <w:tcW w:w="3408" w:type="dxa"/>
                  <w:vAlign w:val="center"/>
                </w:tcPr>
                <w:p w14:paraId="33C0DA88">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新建一个雨水收集池，收集后回用于</w:t>
                  </w:r>
                  <w:r>
                    <w:rPr>
                      <w:rFonts w:hint="eastAsia" w:ascii="Times New Roman" w:hAnsi="Times New Roman" w:cs="Times New Roman"/>
                      <w:color w:val="auto"/>
                      <w:sz w:val="21"/>
                      <w:szCs w:val="21"/>
                      <w:vertAlign w:val="baseline"/>
                      <w:lang w:val="en-US" w:eastAsia="zh-CN"/>
                    </w:rPr>
                    <w:t>生产以及晴天</w:t>
                  </w:r>
                  <w:r>
                    <w:rPr>
                      <w:rFonts w:hint="default" w:ascii="Times New Roman" w:hAnsi="Times New Roman" w:cs="Times New Roman"/>
                      <w:color w:val="auto"/>
                      <w:sz w:val="21"/>
                      <w:szCs w:val="21"/>
                      <w:vertAlign w:val="baseline"/>
                      <w:lang w:val="en-US" w:eastAsia="zh-CN"/>
                    </w:rPr>
                    <w:t>厂区</w:t>
                  </w:r>
                  <w:r>
                    <w:rPr>
                      <w:rFonts w:hint="eastAsia" w:ascii="Times New Roman" w:hAnsi="Times New Roman" w:cs="Times New Roman"/>
                      <w:color w:val="auto"/>
                      <w:sz w:val="21"/>
                      <w:szCs w:val="21"/>
                      <w:vertAlign w:val="baseline"/>
                      <w:lang w:val="en-US" w:eastAsia="zh-CN"/>
                    </w:rPr>
                    <w:t>的</w:t>
                  </w:r>
                  <w:r>
                    <w:rPr>
                      <w:rFonts w:hint="default" w:ascii="Times New Roman" w:hAnsi="Times New Roman" w:cs="Times New Roman"/>
                      <w:color w:val="auto"/>
                      <w:sz w:val="21"/>
                      <w:szCs w:val="21"/>
                      <w:vertAlign w:val="baseline"/>
                      <w:lang w:val="en-US" w:eastAsia="zh-CN"/>
                    </w:rPr>
                    <w:t>洒水降尘。</w:t>
                  </w:r>
                </w:p>
              </w:tc>
              <w:tc>
                <w:tcPr>
                  <w:tcW w:w="1157" w:type="dxa"/>
                  <w:vAlign w:val="center"/>
                </w:tcPr>
                <w:p w14:paraId="60F4E337">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68C7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79A9CF87">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洗砂</w:t>
                  </w:r>
                  <w:r>
                    <w:rPr>
                      <w:rFonts w:hint="eastAsia" w:ascii="Times New Roman" w:hAnsi="Times New Roman" w:cs="Times New Roman"/>
                      <w:color w:val="auto"/>
                      <w:sz w:val="21"/>
                      <w:szCs w:val="21"/>
                      <w:vertAlign w:val="baseline"/>
                      <w:lang w:val="en-US" w:eastAsia="zh-CN"/>
                    </w:rPr>
                    <w:t>过程损耗水</w:t>
                  </w:r>
                </w:p>
              </w:tc>
              <w:tc>
                <w:tcPr>
                  <w:tcW w:w="1266" w:type="dxa"/>
                  <w:vAlign w:val="center"/>
                </w:tcPr>
                <w:p w14:paraId="0694F48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SS</w:t>
                  </w:r>
                </w:p>
              </w:tc>
              <w:tc>
                <w:tcPr>
                  <w:tcW w:w="1521" w:type="dxa"/>
                  <w:vAlign w:val="center"/>
                </w:tcPr>
                <w:p w14:paraId="1460DCBB">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900</w:t>
                  </w:r>
                  <w:r>
                    <w:rPr>
                      <w:rFonts w:hint="default" w:ascii="Times New Roman" w:hAnsi="Times New Roman" w:cs="Times New Roman"/>
                      <w:color w:val="auto"/>
                      <w:sz w:val="21"/>
                      <w:szCs w:val="21"/>
                      <w:vertAlign w:val="baseline"/>
                      <w:lang w:val="en-US" w:eastAsia="zh-CN"/>
                    </w:rPr>
                    <w:t>t/a</w:t>
                  </w:r>
                </w:p>
              </w:tc>
              <w:tc>
                <w:tcPr>
                  <w:tcW w:w="3408" w:type="dxa"/>
                  <w:vAlign w:val="center"/>
                </w:tcPr>
                <w:p w14:paraId="08AE5C16">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自然蒸发，不外排</w:t>
                  </w:r>
                </w:p>
              </w:tc>
              <w:tc>
                <w:tcPr>
                  <w:tcW w:w="1157" w:type="dxa"/>
                  <w:vAlign w:val="center"/>
                </w:tcPr>
                <w:p w14:paraId="0F6F2607">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7CD0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6CD1D8CA">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产品带走水</w:t>
                  </w:r>
                </w:p>
              </w:tc>
              <w:tc>
                <w:tcPr>
                  <w:tcW w:w="1266" w:type="dxa"/>
                  <w:vAlign w:val="center"/>
                </w:tcPr>
                <w:p w14:paraId="25BEFA2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SS</w:t>
                  </w:r>
                </w:p>
              </w:tc>
              <w:tc>
                <w:tcPr>
                  <w:tcW w:w="1521" w:type="dxa"/>
                  <w:vAlign w:val="center"/>
                </w:tcPr>
                <w:p w14:paraId="6E3E7D14">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7200</w:t>
                  </w:r>
                  <w:r>
                    <w:rPr>
                      <w:rFonts w:hint="default" w:ascii="Times New Roman" w:hAnsi="Times New Roman" w:cs="Times New Roman"/>
                      <w:color w:val="auto"/>
                      <w:sz w:val="21"/>
                      <w:szCs w:val="21"/>
                      <w:vertAlign w:val="baseline"/>
                      <w:lang w:val="en-US" w:eastAsia="zh-CN"/>
                    </w:rPr>
                    <w:t>t/a</w:t>
                  </w:r>
                </w:p>
              </w:tc>
              <w:tc>
                <w:tcPr>
                  <w:tcW w:w="3408" w:type="dxa"/>
                  <w:vAlign w:val="center"/>
                </w:tcPr>
                <w:p w14:paraId="0828D1A0">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自然蒸发，不外排</w:t>
                  </w:r>
                </w:p>
              </w:tc>
              <w:tc>
                <w:tcPr>
                  <w:tcW w:w="1157" w:type="dxa"/>
                  <w:vAlign w:val="center"/>
                </w:tcPr>
                <w:p w14:paraId="088A8322">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是</w:t>
                  </w:r>
                </w:p>
              </w:tc>
            </w:tr>
            <w:tr w14:paraId="6E0C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0EFD4E76">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泥饼含水</w:t>
                  </w:r>
                </w:p>
              </w:tc>
              <w:tc>
                <w:tcPr>
                  <w:tcW w:w="1266" w:type="dxa"/>
                  <w:vAlign w:val="center"/>
                </w:tcPr>
                <w:p w14:paraId="6A112F3B">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SS</w:t>
                  </w:r>
                </w:p>
              </w:tc>
              <w:tc>
                <w:tcPr>
                  <w:tcW w:w="1521" w:type="dxa"/>
                  <w:vAlign w:val="center"/>
                </w:tcPr>
                <w:p w14:paraId="231A22E2">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9480</w:t>
                  </w:r>
                  <w:r>
                    <w:rPr>
                      <w:rFonts w:hint="default" w:ascii="Times New Roman" w:hAnsi="Times New Roman" w:cs="Times New Roman"/>
                      <w:color w:val="auto"/>
                      <w:sz w:val="21"/>
                      <w:szCs w:val="21"/>
                      <w:vertAlign w:val="baseline"/>
                      <w:lang w:val="en-US" w:eastAsia="zh-CN"/>
                    </w:rPr>
                    <w:t>t/a</w:t>
                  </w:r>
                  <w:r>
                    <w:rPr>
                      <w:rFonts w:hint="eastAsia" w:ascii="Times New Roman" w:hAnsi="Times New Roman" w:cs="Times New Roman"/>
                      <w:color w:val="auto"/>
                      <w:sz w:val="21"/>
                      <w:szCs w:val="21"/>
                      <w:vertAlign w:val="baseline"/>
                      <w:lang w:val="en-US" w:eastAsia="zh-CN"/>
                    </w:rPr>
                    <w:t>（洗砂）+1.68t/a（洗车））</w:t>
                  </w:r>
                </w:p>
              </w:tc>
              <w:tc>
                <w:tcPr>
                  <w:tcW w:w="3408" w:type="dxa"/>
                  <w:vAlign w:val="center"/>
                </w:tcPr>
                <w:p w14:paraId="0858AE4D">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自然蒸发，不外排</w:t>
                  </w:r>
                </w:p>
              </w:tc>
              <w:tc>
                <w:tcPr>
                  <w:tcW w:w="1157" w:type="dxa"/>
                  <w:vAlign w:val="center"/>
                </w:tcPr>
                <w:p w14:paraId="364BE4DE">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是</w:t>
                  </w:r>
                </w:p>
              </w:tc>
            </w:tr>
            <w:tr w14:paraId="6ADB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4E61DFDD">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车辆冲洗水</w:t>
                  </w:r>
                </w:p>
              </w:tc>
              <w:tc>
                <w:tcPr>
                  <w:tcW w:w="1266" w:type="dxa"/>
                  <w:vAlign w:val="center"/>
                </w:tcPr>
                <w:p w14:paraId="70AC6E9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SS</w:t>
                  </w:r>
                </w:p>
              </w:tc>
              <w:tc>
                <w:tcPr>
                  <w:tcW w:w="1521" w:type="dxa"/>
                  <w:vAlign w:val="center"/>
                </w:tcPr>
                <w:p w14:paraId="31B2F5EC">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988.2</w:t>
                  </w:r>
                  <w:r>
                    <w:rPr>
                      <w:rFonts w:hint="default" w:ascii="Times New Roman" w:hAnsi="Times New Roman" w:cs="Times New Roman"/>
                      <w:color w:val="auto"/>
                      <w:sz w:val="21"/>
                      <w:szCs w:val="21"/>
                      <w:vertAlign w:val="baseline"/>
                      <w:lang w:val="en-US" w:eastAsia="zh-CN"/>
                    </w:rPr>
                    <w:t>t/a</w:t>
                  </w:r>
                </w:p>
              </w:tc>
              <w:tc>
                <w:tcPr>
                  <w:tcW w:w="3408" w:type="dxa"/>
                  <w:vAlign w:val="center"/>
                </w:tcPr>
                <w:p w14:paraId="57349E32">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在车辆冲洗区域设置一个沉淀池（</w:t>
                  </w:r>
                  <w:r>
                    <w:rPr>
                      <w:rFonts w:hint="eastAsia" w:ascii="Times New Roman" w:hAnsi="Times New Roman" w:cs="Times New Roman"/>
                      <w:color w:val="auto"/>
                      <w:sz w:val="21"/>
                      <w:szCs w:val="21"/>
                      <w:vertAlign w:val="baseline"/>
                      <w:lang w:val="en-US" w:eastAsia="zh-CN"/>
                    </w:rPr>
                    <w:t>5</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），冲洗废水经沉淀后回用于车辆冲洗。</w:t>
                  </w:r>
                </w:p>
              </w:tc>
              <w:tc>
                <w:tcPr>
                  <w:tcW w:w="1157" w:type="dxa"/>
                  <w:vAlign w:val="center"/>
                </w:tcPr>
                <w:p w14:paraId="6852EDCE">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2F73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250C2620">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降尘用水</w:t>
                  </w:r>
                </w:p>
              </w:tc>
              <w:tc>
                <w:tcPr>
                  <w:tcW w:w="1266" w:type="dxa"/>
                  <w:vAlign w:val="center"/>
                </w:tcPr>
                <w:p w14:paraId="7B06A10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SS</w:t>
                  </w:r>
                </w:p>
              </w:tc>
              <w:tc>
                <w:tcPr>
                  <w:tcW w:w="1521" w:type="dxa"/>
                  <w:vAlign w:val="center"/>
                </w:tcPr>
                <w:p w14:paraId="5063F158">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408" w:type="dxa"/>
                  <w:vAlign w:val="center"/>
                </w:tcPr>
                <w:p w14:paraId="70D98351">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自然蒸发，不外排。</w:t>
                  </w:r>
                </w:p>
              </w:tc>
              <w:tc>
                <w:tcPr>
                  <w:tcW w:w="1157" w:type="dxa"/>
                  <w:vAlign w:val="center"/>
                </w:tcPr>
                <w:p w14:paraId="387AF35F">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bl>
          <w:p w14:paraId="3A3A6563">
            <w:pPr>
              <w:pStyle w:val="8"/>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综上所述，实施以上提出地表水环境保护措施，能够做到废水不外排，对周边环境没有影响。</w:t>
            </w:r>
          </w:p>
          <w:p w14:paraId="0853792C">
            <w:pPr>
              <w:ind w:left="0" w:leftChars="0" w:firstLine="0" w:firstLineChars="0"/>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2.2.2运营期</w:t>
            </w:r>
            <w:r>
              <w:rPr>
                <w:rFonts w:hint="default" w:ascii="Times New Roman" w:hAnsi="Times New Roman" w:cs="Times New Roman"/>
                <w:b/>
                <w:bCs/>
                <w:color w:val="auto"/>
                <w:kern w:val="0"/>
                <w:lang w:val="en-US" w:eastAsia="zh-CN"/>
              </w:rPr>
              <w:t>地下水影响分析</w:t>
            </w:r>
            <w:r>
              <w:rPr>
                <w:rFonts w:hint="eastAsia" w:cs="Times New Roman"/>
                <w:b/>
                <w:bCs/>
                <w:color w:val="auto"/>
                <w:kern w:val="0"/>
                <w:lang w:val="en-US" w:eastAsia="zh-CN"/>
              </w:rPr>
              <w:t>和保护措施</w:t>
            </w:r>
          </w:p>
          <w:p w14:paraId="46C64EC7">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（1）地下水污染源、污染类型和污染途径</w:t>
            </w:r>
          </w:p>
          <w:p w14:paraId="5892AD01">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根据《环境影响评价技术导则地下水环境》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HJ610-2016</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的相关要求，已依据</w:t>
            </w:r>
            <w:r>
              <w:rPr>
                <w:rFonts w:hint="eastAsia" w:ascii="宋体" w:hAnsi="宋体" w:eastAsia="宋体" w:cs="宋体"/>
                <w:color w:val="auto"/>
                <w:kern w:val="0"/>
                <w:sz w:val="24"/>
                <w:szCs w:val="24"/>
                <w:lang w:val="en-US" w:eastAsia="zh-CN" w:bidi="ar"/>
              </w:rPr>
              <w:t>《危险废物贮存污染控制标准</w:t>
            </w:r>
            <w:r>
              <w:rPr>
                <w:rFonts w:hint="default" w:ascii="Times New Roman" w:hAnsi="Times New Roman" w:eastAsia="宋体" w:cs="Times New Roman"/>
                <w:color w:val="auto"/>
                <w:kern w:val="0"/>
                <w:sz w:val="24"/>
                <w:szCs w:val="24"/>
                <w:lang w:val="en-US" w:eastAsia="zh-CN" w:bidi="ar"/>
              </w:rPr>
              <w:t>》（GB18597-2023）和《一般工业固体废物贮存和填埋污染控制标准》（GB18599-2020）等文件设计地下水污染防渗措施的建设项目，可不进行正常状况情景下的预测。因此，本评价仅选取非正常状况进行分析。</w:t>
            </w:r>
          </w:p>
          <w:p w14:paraId="0DAB051F">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废水沉淀池、化粪池破损或污水管沟破裂时发生的污水泄漏。如果处置不当，各污染物可能进入地下水层，造成地下水水质污染。</w:t>
            </w:r>
          </w:p>
          <w:p w14:paraId="58F3FFD2">
            <w:pPr>
              <w:keepNext w:val="0"/>
              <w:keepLines w:val="0"/>
              <w:numPr>
                <w:ilvl w:val="0"/>
                <w:numId w:val="0"/>
              </w:numPr>
              <w:suppressLineNumbers w:val="0"/>
              <w:spacing w:before="0" w:beforeAutospacing="0" w:after="0" w:afterAutospacing="0"/>
              <w:ind w:left="0" w:leftChars="0"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cs="Times New Roman"/>
                <w:color w:val="auto"/>
                <w:sz w:val="24"/>
                <w:szCs w:val="24"/>
                <w:lang w:val="en-US" w:eastAsia="zh-CN"/>
              </w:rPr>
              <w:t>分区防渗</w:t>
            </w:r>
          </w:p>
          <w:p w14:paraId="1FF5756C">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根据本项目各功能单元是否可能对地下水造成污染及其风险程度，将项目区划分为重点污染防治区、一般污染防治区</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简单污染防治区。重点污染防治区是可能会对地下水造成污染，风险程度较高，需要重点防治的区域，一般污染防治区是可能会对地下水造成污染，但危害性或风险程度相对较低的区域，</w:t>
            </w:r>
            <w:r>
              <w:rPr>
                <w:rFonts w:hint="default" w:ascii="Times New Roman" w:hAnsi="Times New Roman" w:cs="Times New Roman"/>
                <w:b w:val="0"/>
                <w:bCs w:val="0"/>
                <w:color w:val="auto"/>
                <w:sz w:val="24"/>
                <w:szCs w:val="24"/>
                <w:highlight w:val="none"/>
                <w:lang w:val="en-US" w:eastAsia="zh-CN"/>
              </w:rPr>
              <w:t>沉淀</w:t>
            </w:r>
            <w:r>
              <w:rPr>
                <w:rFonts w:hint="default" w:ascii="Times New Roman" w:hAnsi="Times New Roman" w:eastAsia="宋体" w:cs="Times New Roman"/>
                <w:b w:val="0"/>
                <w:bCs w:val="0"/>
                <w:color w:val="auto"/>
                <w:sz w:val="24"/>
                <w:szCs w:val="24"/>
                <w:highlight w:val="none"/>
                <w:lang w:val="en-US" w:eastAsia="zh-CN"/>
              </w:rPr>
              <w:t>池</w:t>
            </w:r>
            <w:r>
              <w:rPr>
                <w:rFonts w:hint="default" w:ascii="Times New Roman" w:hAnsi="Times New Roman" w:cs="Times New Roman"/>
                <w:b w:val="0"/>
                <w:bCs w:val="0"/>
                <w:color w:val="auto"/>
                <w:sz w:val="24"/>
                <w:szCs w:val="24"/>
                <w:highlight w:val="none"/>
                <w:lang w:val="en-US" w:eastAsia="zh-CN"/>
              </w:rPr>
              <w:t>、清水循环池</w:t>
            </w:r>
            <w:r>
              <w:rPr>
                <w:rFonts w:hint="default" w:ascii="Times New Roman" w:hAnsi="Times New Roman" w:eastAsia="宋体" w:cs="Times New Roman"/>
                <w:b w:val="0"/>
                <w:bCs w:val="0"/>
                <w:color w:val="auto"/>
                <w:sz w:val="24"/>
                <w:szCs w:val="24"/>
                <w:highlight w:val="none"/>
                <w:lang w:val="en-US" w:eastAsia="zh-CN"/>
              </w:rPr>
              <w:t>等；简单污染防治区是基本无污染物或污染风险极低的区域，主要是生活办公区</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vertAlign w:val="baseline"/>
                <w:lang w:val="en-US" w:eastAsia="zh-CN"/>
              </w:rPr>
              <w:t>原料堆场、成品堆场、生产线</w:t>
            </w:r>
            <w:r>
              <w:rPr>
                <w:rFonts w:hint="default" w:ascii="Times New Roman" w:hAnsi="Times New Roman" w:eastAsia="宋体" w:cs="Times New Roman"/>
                <w:b w:val="0"/>
                <w:bCs w:val="0"/>
                <w:color w:val="auto"/>
                <w:sz w:val="24"/>
                <w:szCs w:val="24"/>
                <w:highlight w:val="none"/>
                <w:lang w:val="en-US" w:eastAsia="zh-CN"/>
              </w:rPr>
              <w:t>。</w:t>
            </w:r>
          </w:p>
          <w:p w14:paraId="4AD1A906">
            <w:pPr>
              <w:numPr>
                <w:ilvl w:val="0"/>
                <w:numId w:val="0"/>
              </w:numPr>
              <w:adjustRightInd w:val="0"/>
              <w:snapToGrid w:val="0"/>
              <w:spacing w:line="360" w:lineRule="auto"/>
              <w:ind w:firstLine="480" w:firstLineChars="20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项目污染防治分区、防渗标准要求见下表：</w:t>
            </w:r>
          </w:p>
          <w:p w14:paraId="0A486B73">
            <w:pPr>
              <w:numPr>
                <w:ilvl w:val="0"/>
                <w:numId w:val="0"/>
              </w:numPr>
              <w:adjustRightInd w:val="0"/>
              <w:snapToGrid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项目污染防治分区、防渗标准及要求一览表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3850"/>
              <w:gridCol w:w="3545"/>
            </w:tblGrid>
            <w:tr w14:paraId="6971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noWrap w:val="0"/>
                  <w:vAlign w:val="center"/>
                </w:tcPr>
                <w:p w14:paraId="1DE84AE5">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污染防治区类别</w:t>
                  </w:r>
                </w:p>
              </w:tc>
              <w:tc>
                <w:tcPr>
                  <w:tcW w:w="2108" w:type="pct"/>
                  <w:noWrap w:val="0"/>
                  <w:vAlign w:val="center"/>
                </w:tcPr>
                <w:p w14:paraId="22078FC8">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防渗区名称</w:t>
                  </w:r>
                </w:p>
              </w:tc>
              <w:tc>
                <w:tcPr>
                  <w:tcW w:w="1941" w:type="pct"/>
                  <w:noWrap w:val="0"/>
                  <w:vAlign w:val="center"/>
                </w:tcPr>
                <w:p w14:paraId="73408329">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防渗要求</w:t>
                  </w:r>
                </w:p>
              </w:tc>
            </w:tr>
            <w:tr w14:paraId="5BF1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noWrap w:val="0"/>
                  <w:vAlign w:val="center"/>
                </w:tcPr>
                <w:p w14:paraId="3038D2B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w:t>
                  </w:r>
                  <w:r>
                    <w:rPr>
                      <w:rFonts w:hint="default" w:ascii="Times New Roman" w:hAnsi="Times New Roman" w:cs="Times New Roman"/>
                      <w:b w:val="0"/>
                      <w:bCs w:val="0"/>
                      <w:color w:val="auto"/>
                      <w:sz w:val="21"/>
                      <w:szCs w:val="21"/>
                      <w:highlight w:val="none"/>
                      <w:vertAlign w:val="baseline"/>
                      <w:lang w:val="en-US" w:eastAsia="zh-CN"/>
                    </w:rPr>
                    <w:t>防渗</w:t>
                  </w:r>
                  <w:r>
                    <w:rPr>
                      <w:rFonts w:hint="default" w:ascii="Times New Roman" w:hAnsi="Times New Roman" w:eastAsia="宋体" w:cs="Times New Roman"/>
                      <w:b w:val="0"/>
                      <w:bCs w:val="0"/>
                      <w:color w:val="auto"/>
                      <w:sz w:val="21"/>
                      <w:szCs w:val="21"/>
                      <w:highlight w:val="none"/>
                      <w:vertAlign w:val="baseline"/>
                      <w:lang w:val="en-US" w:eastAsia="zh-CN"/>
                    </w:rPr>
                    <w:t>区</w:t>
                  </w:r>
                </w:p>
              </w:tc>
              <w:tc>
                <w:tcPr>
                  <w:tcW w:w="2108" w:type="pct"/>
                  <w:noWrap w:val="0"/>
                  <w:vAlign w:val="center"/>
                </w:tcPr>
                <w:p w14:paraId="3A0B77B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沉淀池、清水循环池</w:t>
                  </w:r>
                </w:p>
              </w:tc>
              <w:tc>
                <w:tcPr>
                  <w:tcW w:w="1941" w:type="pct"/>
                  <w:noWrap w:val="0"/>
                  <w:vAlign w:val="center"/>
                </w:tcPr>
                <w:p w14:paraId="698B505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rPr>
                    <w:t>等效黏土防渗层厚度Mb≥1.5m，渗透系数K≤1.0×10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w:t>
                  </w:r>
                </w:p>
              </w:tc>
            </w:tr>
            <w:tr w14:paraId="55EF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noWrap w:val="0"/>
                  <w:vAlign w:val="center"/>
                </w:tcPr>
                <w:p w14:paraId="0B6F582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简单</w:t>
                  </w:r>
                  <w:r>
                    <w:rPr>
                      <w:rFonts w:hint="default" w:ascii="Times New Roman" w:hAnsi="Times New Roman" w:cs="Times New Roman"/>
                      <w:b w:val="0"/>
                      <w:bCs w:val="0"/>
                      <w:color w:val="auto"/>
                      <w:sz w:val="21"/>
                      <w:szCs w:val="21"/>
                      <w:highlight w:val="none"/>
                      <w:vertAlign w:val="baseline"/>
                      <w:lang w:val="en-US" w:eastAsia="zh-CN"/>
                    </w:rPr>
                    <w:t>防渗</w:t>
                  </w:r>
                  <w:r>
                    <w:rPr>
                      <w:rFonts w:hint="default" w:ascii="Times New Roman" w:hAnsi="Times New Roman" w:eastAsia="宋体" w:cs="Times New Roman"/>
                      <w:b w:val="0"/>
                      <w:bCs w:val="0"/>
                      <w:color w:val="auto"/>
                      <w:sz w:val="21"/>
                      <w:szCs w:val="21"/>
                      <w:highlight w:val="none"/>
                      <w:vertAlign w:val="baseline"/>
                      <w:lang w:val="en-US" w:eastAsia="zh-CN"/>
                    </w:rPr>
                    <w:t>区</w:t>
                  </w:r>
                </w:p>
              </w:tc>
              <w:tc>
                <w:tcPr>
                  <w:tcW w:w="2108" w:type="pct"/>
                  <w:noWrap w:val="0"/>
                  <w:vAlign w:val="center"/>
                </w:tcPr>
                <w:p w14:paraId="570C6D2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生活办公区</w:t>
                  </w:r>
                  <w:r>
                    <w:rPr>
                      <w:rFonts w:hint="default" w:ascii="Times New Roman" w:hAnsi="Times New Roman" w:cs="Times New Roman"/>
                      <w:b w:val="0"/>
                      <w:bCs w:val="0"/>
                      <w:color w:val="auto"/>
                      <w:sz w:val="21"/>
                      <w:szCs w:val="21"/>
                      <w:highlight w:val="none"/>
                      <w:vertAlign w:val="baseline"/>
                      <w:lang w:val="en-US" w:eastAsia="zh-CN"/>
                    </w:rPr>
                    <w:t>、原料堆场、成品堆场、生产线</w:t>
                  </w:r>
                </w:p>
              </w:tc>
              <w:tc>
                <w:tcPr>
                  <w:tcW w:w="1941" w:type="pct"/>
                  <w:noWrap w:val="0"/>
                  <w:vAlign w:val="center"/>
                </w:tcPr>
                <w:p w14:paraId="7907D7B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一般地面硬化</w:t>
                  </w:r>
                </w:p>
              </w:tc>
            </w:tr>
            <w:tr w14:paraId="694F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noWrap w:val="0"/>
                  <w:vAlign w:val="center"/>
                </w:tcPr>
                <w:p w14:paraId="650657A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重点防渗区</w:t>
                  </w:r>
                </w:p>
              </w:tc>
              <w:tc>
                <w:tcPr>
                  <w:tcW w:w="2108" w:type="pct"/>
                  <w:noWrap w:val="0"/>
                  <w:vAlign w:val="center"/>
                </w:tcPr>
                <w:p w14:paraId="667294C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危废暂存间</w:t>
                  </w:r>
                </w:p>
              </w:tc>
              <w:tc>
                <w:tcPr>
                  <w:tcW w:w="1941" w:type="pct"/>
                  <w:noWrap w:val="0"/>
                  <w:vAlign w:val="center"/>
                </w:tcPr>
                <w:p w14:paraId="0FB72D5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rPr>
                    <w:t>等效黏土防渗层厚度 Mb≥6m，渗透系数 K≤1.0×10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cm/s或防渗层性能应满足渗透系数 K≤1.0×10⁻¹⁰ cm/s 的要求。</w:t>
                  </w:r>
                </w:p>
              </w:tc>
            </w:tr>
          </w:tbl>
          <w:p w14:paraId="66DFE779">
            <w:pPr>
              <w:ind w:left="0" w:leftChars="0" w:firstLine="0" w:firstLineChars="0"/>
              <w:rPr>
                <w:rFonts w:hint="eastAsia" w:cs="Times New Roman"/>
                <w:b/>
                <w:bCs/>
                <w:color w:val="auto"/>
                <w:kern w:val="0"/>
                <w:lang w:val="en-US" w:eastAsia="zh-CN"/>
              </w:rPr>
            </w:pPr>
            <w:r>
              <w:rPr>
                <w:rFonts w:hint="default" w:ascii="Times New Roman" w:hAnsi="Times New Roman" w:cs="Times New Roman"/>
                <w:b/>
                <w:bCs/>
                <w:color w:val="auto"/>
                <w:kern w:val="0"/>
                <w:lang w:val="en-US" w:eastAsia="zh-CN"/>
              </w:rPr>
              <w:t>2.</w:t>
            </w:r>
            <w:r>
              <w:rPr>
                <w:rFonts w:hint="eastAsia" w:cs="Times New Roman"/>
                <w:b/>
                <w:bCs/>
                <w:color w:val="auto"/>
                <w:kern w:val="0"/>
                <w:lang w:val="en-US" w:eastAsia="zh-CN"/>
              </w:rPr>
              <w:t>3</w:t>
            </w:r>
            <w:r>
              <w:rPr>
                <w:rFonts w:hint="default" w:ascii="Times New Roman" w:hAnsi="Times New Roman" w:cs="Times New Roman"/>
                <w:b/>
                <w:bCs/>
                <w:color w:val="auto"/>
                <w:kern w:val="0"/>
                <w:lang w:val="en-US" w:eastAsia="zh-CN"/>
              </w:rPr>
              <w:t>运营期固体废物影响分析</w:t>
            </w:r>
            <w:r>
              <w:rPr>
                <w:rFonts w:hint="eastAsia" w:cs="Times New Roman"/>
                <w:b/>
                <w:bCs/>
                <w:color w:val="auto"/>
                <w:kern w:val="0"/>
                <w:lang w:val="en-US" w:eastAsia="zh-CN"/>
              </w:rPr>
              <w:t>和保护措施</w:t>
            </w:r>
          </w:p>
          <w:p w14:paraId="3C1BCEC3">
            <w:pPr>
              <w:ind w:left="0" w:leftChars="0" w:firstLine="0" w:firstLineChars="0"/>
              <w:rPr>
                <w:rFonts w:hint="default" w:cs="Times New Roman"/>
                <w:b/>
                <w:bCs/>
                <w:color w:val="auto"/>
                <w:kern w:val="0"/>
                <w:lang w:val="en-US" w:eastAsia="zh-CN"/>
              </w:rPr>
            </w:pPr>
            <w:r>
              <w:rPr>
                <w:rFonts w:hint="eastAsia" w:cs="Times New Roman"/>
                <w:b/>
                <w:bCs/>
                <w:color w:val="auto"/>
                <w:kern w:val="0"/>
                <w:lang w:val="en-US" w:eastAsia="zh-CN"/>
              </w:rPr>
              <w:t>2.3.1运营期固体废物影响分析</w:t>
            </w:r>
          </w:p>
          <w:p w14:paraId="1ABA6A6C">
            <w:pPr>
              <w:ind w:firstLine="482"/>
              <w:rPr>
                <w:rFonts w:hint="default" w:ascii="Times New Roman" w:hAnsi="Times New Roman" w:cs="Times New Roman"/>
                <w:b w:val="0"/>
                <w:bCs/>
                <w:color w:val="auto"/>
              </w:rPr>
            </w:pPr>
            <w:r>
              <w:rPr>
                <w:rFonts w:hint="default" w:ascii="Times New Roman" w:hAnsi="Times New Roman" w:cs="Times New Roman"/>
                <w:b w:val="0"/>
                <w:bCs/>
                <w:color w:val="auto"/>
              </w:rPr>
              <w:t>本项目生产过程中的固体废物主要包括生活垃圾、一般工业固体废物和危险固废。</w:t>
            </w:r>
          </w:p>
          <w:p w14:paraId="26C9D1EA">
            <w:pPr>
              <w:ind w:firstLine="482"/>
              <w:rPr>
                <w:rFonts w:hint="default" w:ascii="Times New Roman" w:hAnsi="Times New Roman" w:cs="Times New Roman"/>
                <w:color w:val="auto"/>
              </w:rPr>
            </w:pPr>
            <w:r>
              <w:rPr>
                <w:rFonts w:hint="default" w:ascii="Times New Roman" w:hAnsi="Times New Roman" w:cs="Times New Roman"/>
                <w:b/>
                <w:color w:val="auto"/>
              </w:rPr>
              <w:t>（</w:t>
            </w:r>
            <w:r>
              <w:rPr>
                <w:rFonts w:hint="default" w:ascii="Times New Roman" w:hAnsi="Times New Roman" w:cs="Times New Roman"/>
                <w:b/>
                <w:color w:val="auto"/>
                <w:lang w:val="en-US" w:eastAsia="zh-CN"/>
              </w:rPr>
              <w:t>1</w:t>
            </w:r>
            <w:r>
              <w:rPr>
                <w:rFonts w:hint="default" w:ascii="Times New Roman" w:hAnsi="Times New Roman" w:cs="Times New Roman"/>
                <w:b/>
                <w:color w:val="auto"/>
              </w:rPr>
              <w:t>）生活垃圾</w:t>
            </w:r>
          </w:p>
          <w:p w14:paraId="65038E74">
            <w:pPr>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rPr>
              <w:t>厂区有职工人数</w:t>
            </w:r>
            <w:r>
              <w:rPr>
                <w:rFonts w:hint="default" w:ascii="Times New Roman" w:hAnsi="Times New Roman" w:cs="Times New Roman"/>
                <w:color w:val="auto"/>
                <w:lang w:val="en-US" w:eastAsia="zh-CN"/>
              </w:rPr>
              <w:t>10</w:t>
            </w:r>
            <w:r>
              <w:rPr>
                <w:rFonts w:hint="default" w:ascii="Times New Roman" w:hAnsi="Times New Roman" w:cs="Times New Roman"/>
                <w:color w:val="auto"/>
              </w:rPr>
              <w:t>人，生活垃圾产生量按1.0kg/人.d计，则</w:t>
            </w:r>
            <w:r>
              <w:rPr>
                <w:rFonts w:hint="default" w:ascii="Times New Roman" w:hAnsi="Times New Roman" w:cs="Times New Roman"/>
                <w:color w:val="auto"/>
                <w:lang w:eastAsia="zh-CN"/>
              </w:rPr>
              <w:t>生产过程中产生的</w:t>
            </w:r>
            <w:r>
              <w:rPr>
                <w:rFonts w:hint="default" w:ascii="Times New Roman" w:hAnsi="Times New Roman" w:cs="Times New Roman"/>
                <w:color w:val="auto"/>
              </w:rPr>
              <w:t>生活垃圾产生量1</w:t>
            </w:r>
            <w:r>
              <w:rPr>
                <w:rFonts w:hint="default" w:ascii="Times New Roman" w:hAnsi="Times New Roman" w:cs="Times New Roman"/>
                <w:color w:val="auto"/>
                <w:lang w:val="en-US" w:eastAsia="zh-CN"/>
              </w:rPr>
              <w:t>0</w:t>
            </w:r>
            <w:r>
              <w:rPr>
                <w:rFonts w:hint="default" w:ascii="Times New Roman" w:hAnsi="Times New Roman" w:cs="Times New Roman"/>
                <w:color w:val="auto"/>
              </w:rPr>
              <w:t>kg/d、</w:t>
            </w:r>
            <w:r>
              <w:rPr>
                <w:rFonts w:hint="eastAsia" w:cs="Times New Roman"/>
                <w:color w:val="auto"/>
                <w:lang w:val="en-US" w:eastAsia="zh-CN"/>
              </w:rPr>
              <w:t>3.0</w:t>
            </w:r>
            <w:r>
              <w:rPr>
                <w:rFonts w:hint="default" w:ascii="Times New Roman" w:hAnsi="Times New Roman" w:cs="Times New Roman"/>
                <w:color w:val="auto"/>
              </w:rPr>
              <w:t>t/a，生活垃圾用垃圾袋收集后，</w:t>
            </w:r>
            <w:r>
              <w:rPr>
                <w:rFonts w:hint="default" w:ascii="Times New Roman" w:hAnsi="Times New Roman" w:cs="Times New Roman"/>
                <w:color w:val="auto"/>
                <w:lang w:val="en-US" w:eastAsia="zh-CN"/>
              </w:rPr>
              <w:t>运送至</w:t>
            </w:r>
            <w:r>
              <w:rPr>
                <w:rFonts w:hint="eastAsia" w:cs="Times New Roman"/>
                <w:color w:val="auto"/>
                <w:lang w:val="en-US" w:eastAsia="zh-CN"/>
              </w:rPr>
              <w:t>法果村</w:t>
            </w:r>
            <w:r>
              <w:rPr>
                <w:rFonts w:hint="default" w:ascii="Times New Roman" w:hAnsi="Times New Roman" w:cs="Times New Roman"/>
                <w:color w:val="auto"/>
                <w:lang w:val="en-US" w:eastAsia="zh-CN"/>
              </w:rPr>
              <w:t>生活垃圾处置点处置</w:t>
            </w:r>
            <w:r>
              <w:rPr>
                <w:rFonts w:hint="eastAsia" w:cs="Times New Roman"/>
                <w:color w:val="auto"/>
                <w:lang w:val="en-US" w:eastAsia="zh-CN"/>
              </w:rPr>
              <w:t>，污水接纳证明见附件16</w:t>
            </w:r>
            <w:r>
              <w:rPr>
                <w:rFonts w:hint="default" w:ascii="Times New Roman" w:hAnsi="Times New Roman" w:cs="Times New Roman"/>
                <w:color w:val="auto"/>
                <w:lang w:val="en-US" w:eastAsia="zh-CN"/>
              </w:rPr>
              <w:t>。</w:t>
            </w:r>
          </w:p>
          <w:p w14:paraId="54DFA723">
            <w:pPr>
              <w:numPr>
                <w:ilvl w:val="0"/>
                <w:numId w:val="0"/>
              </w:numPr>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（2）洗砂底泥</w:t>
            </w:r>
            <w:r>
              <w:rPr>
                <w:rFonts w:hint="eastAsia" w:ascii="Times New Roman" w:hAnsi="Times New Roman" w:eastAsia="宋体" w:cs="Times New Roman"/>
                <w:b/>
                <w:bCs/>
                <w:color w:val="auto"/>
                <w:kern w:val="2"/>
                <w:sz w:val="24"/>
                <w:szCs w:val="24"/>
                <w:lang w:val="en-US" w:eastAsia="zh-CN" w:bidi="ar-SA"/>
              </w:rPr>
              <w:t>和</w:t>
            </w:r>
            <w:r>
              <w:rPr>
                <w:rFonts w:hint="default" w:ascii="Times New Roman" w:hAnsi="Times New Roman" w:cs="Times New Roman"/>
                <w:b/>
                <w:bCs/>
                <w:color w:val="auto"/>
                <w:kern w:val="2"/>
                <w:sz w:val="24"/>
                <w:szCs w:val="24"/>
                <w:lang w:val="en-US" w:eastAsia="zh-CN" w:bidi="ar-SA"/>
              </w:rPr>
              <w:t>沉淀池底泥</w:t>
            </w:r>
          </w:p>
          <w:p w14:paraId="5AC3D94E">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w:t>
            </w:r>
            <w:r>
              <w:rPr>
                <w:rFonts w:hint="eastAsia" w:cs="Times New Roman"/>
                <w:color w:val="auto"/>
                <w:sz w:val="24"/>
                <w:szCs w:val="24"/>
                <w:highlight w:val="none"/>
                <w:lang w:val="en-US" w:eastAsia="zh-CN"/>
              </w:rPr>
              <w:t>工程分析，</w:t>
            </w:r>
            <w:r>
              <w:rPr>
                <w:rFonts w:hint="eastAsia" w:ascii="Times New Roman" w:hAnsi="Times New Roman" w:eastAsia="宋体" w:cs="Times New Roman"/>
                <w:color w:val="auto"/>
                <w:sz w:val="24"/>
                <w:szCs w:val="24"/>
                <w:highlight w:val="none"/>
                <w:lang w:val="en-US" w:eastAsia="zh-CN"/>
              </w:rPr>
              <w:t>通过压滤机压滤后（含水率≤40%），</w:t>
            </w:r>
            <w:r>
              <w:rPr>
                <w:rFonts w:hint="eastAsia" w:cs="Times New Roman"/>
                <w:color w:val="auto"/>
                <w:sz w:val="24"/>
                <w:szCs w:val="24"/>
                <w:highlight w:val="none"/>
                <w:lang w:val="en-US" w:eastAsia="zh-CN"/>
              </w:rPr>
              <w:t>洗砂泥饼</w:t>
            </w:r>
            <w:r>
              <w:rPr>
                <w:rFonts w:hint="default" w:ascii="Times New Roman" w:hAnsi="Times New Roman" w:eastAsia="宋体" w:cs="Times New Roman"/>
                <w:color w:val="auto"/>
                <w:sz w:val="24"/>
                <w:szCs w:val="24"/>
                <w:highlight w:val="none"/>
              </w:rPr>
              <w:t>产生量约</w:t>
            </w:r>
            <w:r>
              <w:rPr>
                <w:rFonts w:hint="eastAsia" w:cs="Times New Roman"/>
                <w:color w:val="auto"/>
                <w:sz w:val="24"/>
                <w:szCs w:val="24"/>
                <w:highlight w:val="none"/>
                <w:lang w:val="en-US" w:eastAsia="zh-CN"/>
              </w:rPr>
              <w:t>23672.326</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，洗车泥饼为</w:t>
            </w:r>
            <w:r>
              <w:rPr>
                <w:rFonts w:hint="eastAsia" w:ascii="Times New Roman" w:cs="Times New Roman"/>
                <w:color w:val="auto"/>
                <w:sz w:val="24"/>
                <w:szCs w:val="24"/>
                <w:vertAlign w:val="baseline"/>
                <w:lang w:val="en-US" w:eastAsia="zh-CN"/>
              </w:rPr>
              <w:t>4.2t/a，合计23676.526t/a</w:t>
            </w:r>
            <w:r>
              <w:rPr>
                <w:rFonts w:hint="eastAsia" w:cs="Times New Roman"/>
                <w:color w:val="auto"/>
                <w:sz w:val="24"/>
                <w:szCs w:val="24"/>
                <w:highlight w:val="none"/>
                <w:lang w:val="en-US" w:eastAsia="zh-CN"/>
              </w:rPr>
              <w:t>（含水率40%）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外运至砖厂制砖</w:t>
            </w:r>
            <w:r>
              <w:rPr>
                <w:rFonts w:hint="eastAsia" w:cs="Times New Roman"/>
                <w:color w:val="auto"/>
                <w:sz w:val="24"/>
                <w:szCs w:val="24"/>
                <w:highlight w:val="none"/>
                <w:lang w:val="en-US" w:eastAsia="zh-CN"/>
              </w:rPr>
              <w:t>，已与华宁松树地发东建材有限公司签订协议，年接收量为1万吨，</w:t>
            </w:r>
            <w:r>
              <w:rPr>
                <w:rFonts w:hint="eastAsia" w:ascii="Times New Roman" w:hAnsi="Times New Roman" w:eastAsia="宋体" w:cs="Times New Roman"/>
                <w:color w:val="auto"/>
                <w:sz w:val="24"/>
                <w:szCs w:val="24"/>
                <w:highlight w:val="none"/>
                <w:lang w:val="en-US" w:eastAsia="zh-CN"/>
              </w:rPr>
              <w:t>对砖厂消纳不完及在砖厂停产期间产生的泥饼，运至珠峰采石场用于露天采空区土地复垦。</w:t>
            </w:r>
          </w:p>
          <w:p w14:paraId="5B2394B8">
            <w:pPr>
              <w:adjustRightInd w:val="0"/>
              <w:snapToGrid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（3）化粪池污泥</w:t>
            </w:r>
          </w:p>
          <w:p w14:paraId="6C802625">
            <w:pPr>
              <w:adjustRightInd w:val="0"/>
              <w:snapToGrid w:val="0"/>
              <w:spacing w:line="360" w:lineRule="auto"/>
              <w:ind w:firstLine="480" w:firstLineChars="200"/>
              <w:rPr>
                <w:rFonts w:hint="default" w:cs="Times New Roman"/>
                <w:b w:val="0"/>
                <w:bCs w:val="0"/>
                <w:color w:val="auto"/>
                <w:sz w:val="24"/>
                <w:szCs w:val="24"/>
                <w:vertAlign w:val="baseline"/>
                <w:lang w:val="en-US" w:eastAsia="zh-CN"/>
              </w:rPr>
            </w:pPr>
            <w:r>
              <w:rPr>
                <w:rFonts w:hint="eastAsia" w:cs="Times New Roman"/>
                <w:b w:val="0"/>
                <w:bCs w:val="0"/>
                <w:color w:val="auto"/>
                <w:sz w:val="24"/>
                <w:szCs w:val="24"/>
                <w:lang w:val="en-US" w:eastAsia="zh-CN"/>
              </w:rPr>
              <w:t>本项目生活污水量为172.8m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/a，</w:t>
            </w:r>
            <w:r>
              <w:rPr>
                <w:rFonts w:hint="eastAsia" w:cs="Times New Roman"/>
                <w:b w:val="0"/>
                <w:bCs w:val="0"/>
                <w:color w:val="auto"/>
                <w:sz w:val="24"/>
                <w:szCs w:val="24"/>
                <w:lang w:val="en-US" w:eastAsia="zh-CN"/>
              </w:rPr>
              <w:t>类比同类项目可知，化粪池污泥占生活污水量的0.5%，则本项目化粪池污泥产生量为0.864t/a，化粪池污泥委托当地环卫部门定期清掏。</w:t>
            </w:r>
          </w:p>
          <w:p w14:paraId="33E3F45A">
            <w:pPr>
              <w:adjustRightInd w:val="0"/>
              <w:snapToGrid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（4）危险废物</w:t>
            </w:r>
          </w:p>
          <w:p w14:paraId="77268755">
            <w:pPr>
              <w:adjustRightInd w:val="0"/>
              <w:snapToGrid w:val="0"/>
              <w:spacing w:line="360" w:lineRule="auto"/>
              <w:ind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本项目部分设备（如纯电装载机、洗石机等）在保养和维修过程中会产生废润滑油（含废齿轮油、废液压油），二者属于废润滑油，产生量约为0.031t/a，废润滑油桶，产生量约为0.005t/a。</w:t>
            </w:r>
            <w:r>
              <w:rPr>
                <w:rFonts w:ascii="宋体" w:hAnsi="宋体" w:eastAsia="宋体" w:cs="宋体"/>
                <w:b w:val="0"/>
                <w:bCs w:val="0"/>
                <w:color w:val="auto"/>
                <w:sz w:val="24"/>
                <w:szCs w:val="24"/>
              </w:rPr>
              <w:t>根据《国家危险废物名录（</w:t>
            </w:r>
            <w:r>
              <w:rPr>
                <w:rFonts w:ascii="TimesNewRomanPSMT" w:hAnsi="TimesNewRomanPSMT" w:eastAsia="TimesNewRomanPSMT" w:cs="TimesNewRomanPSMT"/>
                <w:b w:val="0"/>
                <w:bCs w:val="0"/>
                <w:color w:val="auto"/>
                <w:sz w:val="24"/>
                <w:szCs w:val="24"/>
              </w:rPr>
              <w:t>2025</w:t>
            </w:r>
            <w:r>
              <w:rPr>
                <w:rFonts w:ascii="宋体" w:hAnsi="宋体" w:eastAsia="宋体" w:cs="宋体"/>
                <w:b w:val="0"/>
                <w:bCs w:val="0"/>
                <w:color w:val="auto"/>
                <w:sz w:val="24"/>
                <w:szCs w:val="24"/>
              </w:rPr>
              <w:t>年版）》，废润滑油属于</w:t>
            </w:r>
            <w:r>
              <w:rPr>
                <w:rFonts w:hint="default" w:ascii="TimesNewRomanPSMT" w:hAnsi="TimesNewRomanPSMT" w:eastAsia="TimesNewRomanPSMT" w:cs="TimesNewRomanPSMT"/>
                <w:b w:val="0"/>
                <w:bCs w:val="0"/>
                <w:color w:val="auto"/>
                <w:sz w:val="24"/>
                <w:szCs w:val="24"/>
              </w:rPr>
              <w:t>HW08</w:t>
            </w:r>
            <w:r>
              <w:rPr>
                <w:rFonts w:ascii="宋体" w:hAnsi="宋体" w:eastAsia="宋体" w:cs="宋体"/>
                <w:b w:val="0"/>
                <w:bCs w:val="0"/>
                <w:color w:val="auto"/>
                <w:sz w:val="24"/>
                <w:szCs w:val="24"/>
              </w:rPr>
              <w:t>废矿物油和含矿物油废物中非特定行业</w:t>
            </w:r>
            <w:r>
              <w:rPr>
                <w:rFonts w:hint="default" w:ascii="TimesNewRomanPSMT" w:hAnsi="TimesNewRomanPSMT" w:eastAsia="TimesNewRomanPSMT" w:cs="TimesNewRomanPSMT"/>
                <w:b w:val="0"/>
                <w:bCs w:val="0"/>
                <w:color w:val="auto"/>
                <w:sz w:val="24"/>
                <w:szCs w:val="24"/>
              </w:rPr>
              <w:t>900-217-08</w:t>
            </w:r>
            <w:r>
              <w:rPr>
                <w:rFonts w:ascii="宋体" w:hAnsi="宋体" w:eastAsia="宋体" w:cs="宋体"/>
                <w:b w:val="0"/>
                <w:bCs w:val="0"/>
                <w:color w:val="auto"/>
                <w:sz w:val="24"/>
                <w:szCs w:val="24"/>
              </w:rPr>
              <w:t>使用工业齿轮油进行机械设备润滑过程中产生的废润滑油；废物特性</w:t>
            </w:r>
            <w:r>
              <w:rPr>
                <w:rFonts w:hint="eastAsia" w:ascii="宋体" w:hAnsi="宋体" w:eastAsia="宋体" w:cs="宋体"/>
                <w:b w:val="0"/>
                <w:bCs w:val="0"/>
                <w:color w:val="auto"/>
                <w:sz w:val="24"/>
                <w:szCs w:val="24"/>
                <w:lang w:val="en-US" w:eastAsia="zh-CN"/>
              </w:rPr>
              <w:t>为</w:t>
            </w:r>
            <w:r>
              <w:rPr>
                <w:rFonts w:hint="default" w:ascii="TimesNewRomanPSMT" w:hAnsi="TimesNewRomanPSMT" w:eastAsia="TimesNewRomanPSMT" w:cs="TimesNewRomanPSMT"/>
                <w:b w:val="0"/>
                <w:bCs w:val="0"/>
                <w:color w:val="auto"/>
                <w:sz w:val="24"/>
                <w:szCs w:val="24"/>
              </w:rPr>
              <w:t>T</w:t>
            </w:r>
            <w:r>
              <w:rPr>
                <w:rFonts w:ascii="宋体" w:hAnsi="宋体" w:eastAsia="宋体" w:cs="宋体"/>
                <w:b w:val="0"/>
                <w:bCs w:val="0"/>
                <w:color w:val="auto"/>
                <w:sz w:val="24"/>
                <w:szCs w:val="24"/>
              </w:rPr>
              <w:t>，</w:t>
            </w:r>
            <w:r>
              <w:rPr>
                <w:rFonts w:hint="default" w:ascii="TimesNewRomanPSMT" w:hAnsi="TimesNewRomanPSMT" w:eastAsia="TimesNewRomanPSMT" w:cs="TimesNewRomanPSMT"/>
                <w:b w:val="0"/>
                <w:bCs w:val="0"/>
                <w:color w:val="auto"/>
                <w:sz w:val="24"/>
                <w:szCs w:val="24"/>
              </w:rPr>
              <w:t>I</w:t>
            </w:r>
            <w:r>
              <w:rPr>
                <w:rFonts w:ascii="宋体" w:hAnsi="宋体" w:eastAsia="宋体" w:cs="宋体"/>
                <w:b w:val="0"/>
                <w:bCs w:val="0"/>
                <w:color w:val="auto"/>
                <w:sz w:val="24"/>
                <w:szCs w:val="24"/>
              </w:rPr>
              <w:t>。废润滑油采用桶收集后暂存在危废间，定期委托有危废资质的单位转运处置</w:t>
            </w:r>
            <w:r>
              <w:rPr>
                <w:rFonts w:hint="eastAsia" w:ascii="宋体" w:hAnsi="宋体" w:cs="宋体"/>
                <w:b w:val="0"/>
                <w:bCs w:val="0"/>
                <w:color w:val="auto"/>
                <w:sz w:val="24"/>
                <w:szCs w:val="24"/>
                <w:lang w:eastAsia="zh-CN"/>
              </w:rPr>
              <w:t>，</w:t>
            </w:r>
            <w:r>
              <w:rPr>
                <w:rFonts w:hint="eastAsia" w:cs="Times New Roman"/>
                <w:b w:val="0"/>
                <w:bCs w:val="0"/>
                <w:color w:val="auto"/>
                <w:sz w:val="24"/>
                <w:szCs w:val="24"/>
                <w:vertAlign w:val="baseline"/>
                <w:lang w:val="en-US" w:eastAsia="zh-CN"/>
              </w:rPr>
              <w:t>已与云南鑫宏环保有限公司签订危险废物收集服务协议。</w:t>
            </w:r>
          </w:p>
          <w:p w14:paraId="0936496E">
            <w:pPr>
              <w:pStyle w:val="27"/>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 xml:space="preserve">  固体废弃物产量及处置措施一览表</w:t>
            </w:r>
          </w:p>
          <w:tbl>
            <w:tblPr>
              <w:tblStyle w:val="17"/>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470"/>
              <w:gridCol w:w="1515"/>
              <w:gridCol w:w="1575"/>
              <w:gridCol w:w="3865"/>
            </w:tblGrid>
            <w:tr w14:paraId="343D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78EF457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1470" w:type="dxa"/>
                  <w:vAlign w:val="center"/>
                </w:tcPr>
                <w:p w14:paraId="4CEB1D0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固废名称</w:t>
                  </w:r>
                </w:p>
              </w:tc>
              <w:tc>
                <w:tcPr>
                  <w:tcW w:w="1515" w:type="dxa"/>
                  <w:vAlign w:val="center"/>
                </w:tcPr>
                <w:p w14:paraId="4BDC100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固废类别</w:t>
                  </w:r>
                </w:p>
              </w:tc>
              <w:tc>
                <w:tcPr>
                  <w:tcW w:w="1575" w:type="dxa"/>
                  <w:vAlign w:val="center"/>
                </w:tcPr>
                <w:p w14:paraId="54559DB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产生量（t/a）</w:t>
                  </w:r>
                </w:p>
              </w:tc>
              <w:tc>
                <w:tcPr>
                  <w:tcW w:w="3865" w:type="dxa"/>
                  <w:vAlign w:val="center"/>
                </w:tcPr>
                <w:p w14:paraId="0CA8787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处置措施</w:t>
                  </w:r>
                </w:p>
              </w:tc>
            </w:tr>
            <w:tr w14:paraId="69C3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04E862D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470" w:type="dxa"/>
                  <w:vAlign w:val="center"/>
                </w:tcPr>
                <w:p w14:paraId="64CF966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1515" w:type="dxa"/>
                  <w:vAlign w:val="center"/>
                </w:tcPr>
                <w:p w14:paraId="2E46CC09">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1575" w:type="dxa"/>
                  <w:vAlign w:val="center"/>
                </w:tcPr>
                <w:p w14:paraId="0486302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cs="Times New Roman"/>
                      <w:color w:val="auto"/>
                      <w:sz w:val="21"/>
                      <w:szCs w:val="21"/>
                      <w:vertAlign w:val="baseline"/>
                      <w:lang w:val="en-US" w:eastAsia="zh-CN"/>
                    </w:rPr>
                    <w:t>0</w:t>
                  </w:r>
                </w:p>
              </w:tc>
              <w:tc>
                <w:tcPr>
                  <w:tcW w:w="3865" w:type="dxa"/>
                  <w:vAlign w:val="center"/>
                </w:tcPr>
                <w:p w14:paraId="75E8700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垃圾袋收集，运送至</w:t>
                  </w:r>
                  <w:r>
                    <w:rPr>
                      <w:rFonts w:hint="eastAsia" w:cs="Times New Roman"/>
                      <w:color w:val="auto"/>
                      <w:sz w:val="21"/>
                      <w:szCs w:val="21"/>
                      <w:vertAlign w:val="baseline"/>
                      <w:lang w:val="en-US" w:eastAsia="zh-CN"/>
                    </w:rPr>
                    <w:t>法果村</w:t>
                  </w:r>
                  <w:r>
                    <w:rPr>
                      <w:rFonts w:hint="default" w:ascii="Times New Roman" w:hAnsi="Times New Roman" w:cs="Times New Roman"/>
                      <w:color w:val="auto"/>
                      <w:sz w:val="21"/>
                      <w:szCs w:val="21"/>
                      <w:vertAlign w:val="baseline"/>
                      <w:lang w:val="en-US" w:eastAsia="zh-CN"/>
                    </w:rPr>
                    <w:t>生活垃圾处置点处置。</w:t>
                  </w:r>
                </w:p>
              </w:tc>
            </w:tr>
            <w:tr w14:paraId="7293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72B14AB3">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470" w:type="dxa"/>
                  <w:vAlign w:val="center"/>
                </w:tcPr>
                <w:p w14:paraId="20D0D25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泥饼</w:t>
                  </w:r>
                </w:p>
              </w:tc>
              <w:tc>
                <w:tcPr>
                  <w:tcW w:w="1515" w:type="dxa"/>
                  <w:vAlign w:val="center"/>
                </w:tcPr>
                <w:p w14:paraId="6D3CDC94">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一般工业固废</w:t>
                  </w:r>
                </w:p>
              </w:tc>
              <w:tc>
                <w:tcPr>
                  <w:tcW w:w="1575" w:type="dxa"/>
                  <w:vAlign w:val="center"/>
                </w:tcPr>
                <w:p w14:paraId="7F05393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lang w:val="en-US" w:eastAsia="zh-CN"/>
                    </w:rPr>
                    <w:t>23676.526t/a（含水率40%）</w:t>
                  </w:r>
                </w:p>
              </w:tc>
              <w:tc>
                <w:tcPr>
                  <w:tcW w:w="3865" w:type="dxa"/>
                  <w:vAlign w:val="center"/>
                </w:tcPr>
                <w:p w14:paraId="200E983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外运至砖厂制砖，对砖厂消纳不完及在砖厂停产期间产生的泥饼，泥饼运至珠峰采石场用于露天采空区土地复垦。</w:t>
                  </w:r>
                </w:p>
              </w:tc>
            </w:tr>
            <w:tr w14:paraId="6690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4C066FE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470" w:type="dxa"/>
                  <w:vAlign w:val="center"/>
                </w:tcPr>
                <w:p w14:paraId="216396C5">
                  <w:p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化粪池污泥</w:t>
                  </w:r>
                </w:p>
              </w:tc>
              <w:tc>
                <w:tcPr>
                  <w:tcW w:w="1515" w:type="dxa"/>
                  <w:vAlign w:val="center"/>
                </w:tcPr>
                <w:p w14:paraId="40BA13A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一般工业固废</w:t>
                  </w:r>
                </w:p>
              </w:tc>
              <w:tc>
                <w:tcPr>
                  <w:tcW w:w="1575" w:type="dxa"/>
                  <w:vAlign w:val="center"/>
                </w:tcPr>
                <w:p w14:paraId="4976DE93">
                  <w:p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0.864</w:t>
                  </w:r>
                </w:p>
              </w:tc>
              <w:tc>
                <w:tcPr>
                  <w:tcW w:w="3865" w:type="dxa"/>
                  <w:vAlign w:val="center"/>
                </w:tcPr>
                <w:p w14:paraId="6220A8E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委托当地环卫部门定期清掏。</w:t>
                  </w:r>
                </w:p>
              </w:tc>
            </w:tr>
            <w:tr w14:paraId="282B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146E36C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470" w:type="dxa"/>
                  <w:vAlign w:val="center"/>
                </w:tcPr>
                <w:p w14:paraId="6E175A0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废齿轮油、废液压油</w:t>
                  </w:r>
                </w:p>
              </w:tc>
              <w:tc>
                <w:tcPr>
                  <w:tcW w:w="1515" w:type="dxa"/>
                  <w:vMerge w:val="restart"/>
                  <w:vAlign w:val="center"/>
                </w:tcPr>
                <w:p w14:paraId="284A077D">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危险废物</w:t>
                  </w:r>
                </w:p>
              </w:tc>
              <w:tc>
                <w:tcPr>
                  <w:tcW w:w="1575" w:type="dxa"/>
                  <w:vAlign w:val="center"/>
                </w:tcPr>
                <w:p w14:paraId="32DEAA55">
                  <w:p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0.031</w:t>
                  </w:r>
                </w:p>
              </w:tc>
              <w:tc>
                <w:tcPr>
                  <w:tcW w:w="3865" w:type="dxa"/>
                  <w:vAlign w:val="center"/>
                </w:tcPr>
                <w:p w14:paraId="5C69012F">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用桶收集，暂存危废暂存间，委托有资质单位定期处置。</w:t>
                  </w:r>
                </w:p>
              </w:tc>
            </w:tr>
            <w:tr w14:paraId="2645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3630E0DD">
                  <w:p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470" w:type="dxa"/>
                  <w:vAlign w:val="center"/>
                </w:tcPr>
                <w:p w14:paraId="62F4EFE7">
                  <w:p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废润滑油桶</w:t>
                  </w:r>
                </w:p>
              </w:tc>
              <w:tc>
                <w:tcPr>
                  <w:tcW w:w="1515" w:type="dxa"/>
                  <w:vMerge w:val="continue"/>
                  <w:vAlign w:val="center"/>
                </w:tcPr>
                <w:p w14:paraId="0277E486">
                  <w:pPr>
                    <w:spacing w:line="240" w:lineRule="auto"/>
                    <w:ind w:left="0" w:leftChars="0" w:firstLine="0" w:firstLineChars="0"/>
                    <w:jc w:val="center"/>
                    <w:rPr>
                      <w:rFonts w:hint="eastAsia" w:cs="Times New Roman"/>
                      <w:color w:val="auto"/>
                      <w:sz w:val="21"/>
                      <w:szCs w:val="21"/>
                      <w:vertAlign w:val="baseline"/>
                      <w:lang w:val="en-US" w:eastAsia="zh-CN"/>
                    </w:rPr>
                  </w:pPr>
                </w:p>
              </w:tc>
              <w:tc>
                <w:tcPr>
                  <w:tcW w:w="1575" w:type="dxa"/>
                  <w:vAlign w:val="center"/>
                </w:tcPr>
                <w:p w14:paraId="4F7DF7E0">
                  <w:p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0.005</w:t>
                  </w:r>
                </w:p>
              </w:tc>
              <w:tc>
                <w:tcPr>
                  <w:tcW w:w="3865" w:type="dxa"/>
                  <w:vAlign w:val="center"/>
                </w:tcPr>
                <w:p w14:paraId="75C0027E">
                  <w:p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暂存危废暂存间，委托有资质单位定期处置。</w:t>
                  </w:r>
                </w:p>
              </w:tc>
            </w:tr>
          </w:tbl>
          <w:p w14:paraId="307EDF76">
            <w:pPr>
              <w:keepNext w:val="0"/>
              <w:keepLines w:val="0"/>
              <w:widowControl/>
              <w:suppressLineNumbers w:val="0"/>
              <w:jc w:val="left"/>
              <w:rPr>
                <w:color w:val="auto"/>
              </w:rPr>
            </w:pPr>
            <w:r>
              <w:rPr>
                <w:rFonts w:hint="eastAsia" w:cs="Times New Roman"/>
                <w:b/>
                <w:bCs/>
                <w:color w:val="auto"/>
                <w:sz w:val="24"/>
                <w:szCs w:val="24"/>
                <w:lang w:val="en-US" w:eastAsia="zh-CN"/>
              </w:rPr>
              <w:t xml:space="preserve">    </w:t>
            </w:r>
            <w:r>
              <w:rPr>
                <w:rFonts w:hint="eastAsia" w:ascii="宋体" w:hAnsi="宋体" w:eastAsia="宋体" w:cs="宋体"/>
                <w:color w:val="auto"/>
                <w:kern w:val="0"/>
                <w:sz w:val="24"/>
                <w:szCs w:val="24"/>
                <w:lang w:val="en-US" w:eastAsia="zh-CN" w:bidi="ar"/>
              </w:rPr>
              <w:t xml:space="preserve">综上，项目运营期产生的固体废弃物均可得到妥善的收集和处置，固体废物清运处置率为 </w:t>
            </w:r>
            <w:r>
              <w:rPr>
                <w:rFonts w:hint="default" w:ascii="Times New Roman" w:hAnsi="Times New Roman" w:eastAsia="宋体" w:cs="Times New Roman"/>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，不会对外环境产生明显的影响。</w:t>
            </w:r>
          </w:p>
          <w:p w14:paraId="709773CB">
            <w:pPr>
              <w:pStyle w:val="48"/>
              <w:adjustRightInd w:val="0"/>
              <w:snapToGrid w:val="0"/>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固体废弃物处置可行性分析</w:t>
            </w:r>
          </w:p>
          <w:p w14:paraId="418582CC">
            <w:pPr>
              <w:pStyle w:val="48"/>
              <w:adjustRightInd w:val="0"/>
              <w:snapToGrid w:val="0"/>
              <w:spacing w:line="360" w:lineRule="auto"/>
              <w:ind w:left="0" w:leftChars="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①一般工业固废处置措施</w:t>
            </w:r>
            <w:r>
              <w:rPr>
                <w:rFonts w:hint="eastAsia" w:cs="Times New Roman"/>
                <w:b w:val="0"/>
                <w:bCs w:val="0"/>
                <w:color w:val="auto"/>
                <w:sz w:val="24"/>
                <w:szCs w:val="24"/>
                <w:lang w:val="en-US" w:eastAsia="zh-CN"/>
              </w:rPr>
              <w:t>可行性分析</w:t>
            </w:r>
          </w:p>
          <w:p w14:paraId="546B1938">
            <w:pPr>
              <w:numPr>
                <w:ilvl w:val="0"/>
                <w:numId w:val="0"/>
              </w:numPr>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压滤机理论含水率最低可降至约30%，本项目运营期设计压滤泥饼含水率40%，压滤时间40~50min，一台250m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的压滤机按含水率40%时的处理量为80t/d，项目设置5台压滤机，总处理量为400t/d，项目洗砂污泥产生量为94615.51t/a（含水率85%计），即315t/d，项目配置压滤机能满足要求。</w:t>
            </w:r>
          </w:p>
          <w:p w14:paraId="6B72CFA2">
            <w:pPr>
              <w:numPr>
                <w:ilvl w:val="0"/>
                <w:numId w:val="0"/>
              </w:num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eastAsia" w:cs="Times New Roman"/>
                <w:b w:val="0"/>
                <w:bCs w:val="0"/>
                <w:color w:val="auto"/>
                <w:sz w:val="24"/>
                <w:szCs w:val="24"/>
                <w:lang w:val="en-US" w:eastAsia="zh-CN"/>
              </w:rPr>
              <w:t>项目洗砂工序仅为水洗，洗砂过程不得添加有毒有害物质，沉淀系统使用聚丙烯酰胺（PAM）为高纯级产品，并要求供应商提供丙烯酰胺单体残留量检测报告（丙烯酰胺单体残留量低于500ppm），严禁使用工业级劣质PAM，避免引入有毒物质，通过加强管理，污泥通过压滤后用于制砖或</w:t>
            </w:r>
            <w:r>
              <w:rPr>
                <w:rFonts w:hint="default" w:ascii="Times New Roman" w:hAnsi="Times New Roman" w:cs="Times New Roman"/>
                <w:b w:val="0"/>
                <w:bCs w:val="0"/>
                <w:color w:val="auto"/>
                <w:sz w:val="24"/>
                <w:szCs w:val="24"/>
                <w:lang w:val="en-US" w:eastAsia="zh-CN"/>
              </w:rPr>
              <w:t>露天采空区土地复垦</w:t>
            </w:r>
            <w:r>
              <w:rPr>
                <w:rFonts w:hint="eastAsia" w:cs="Times New Roman"/>
                <w:b w:val="0"/>
                <w:bCs w:val="0"/>
                <w:color w:val="auto"/>
                <w:sz w:val="24"/>
                <w:szCs w:val="24"/>
                <w:lang w:val="en-US" w:eastAsia="zh-CN"/>
              </w:rPr>
              <w:t>可行，</w:t>
            </w:r>
            <w:r>
              <w:rPr>
                <w:rFonts w:hint="eastAsia" w:ascii="Times New Roman" w:hAnsi="Times New Roman" w:eastAsia="宋体" w:cs="Times New Roman"/>
                <w:color w:val="auto"/>
                <w:sz w:val="24"/>
                <w:szCs w:val="24"/>
                <w:highlight w:val="none"/>
                <w:lang w:val="en-US" w:eastAsia="zh-CN"/>
              </w:rPr>
              <w:t>已与华宁松树地发东建材有限公司签订协议，年接收量为1万吨，对砖厂消纳不完及在砖厂停产期间产生的泥饼，运至珠峰采石场用于露天采空区土地复垦。</w:t>
            </w:r>
          </w:p>
          <w:p w14:paraId="07B07D1D">
            <w:pPr>
              <w:pStyle w:val="4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②危险废物贮存及处置</w:t>
            </w:r>
            <w:r>
              <w:rPr>
                <w:rFonts w:hint="eastAsia" w:cs="Times New Roman"/>
                <w:b w:val="0"/>
                <w:bCs w:val="0"/>
                <w:color w:val="auto"/>
                <w:sz w:val="24"/>
                <w:szCs w:val="24"/>
                <w:highlight w:val="none"/>
                <w:lang w:val="en-US" w:eastAsia="zh-CN"/>
              </w:rPr>
              <w:t>可行性</w:t>
            </w:r>
          </w:p>
          <w:p w14:paraId="7F133873">
            <w:pPr>
              <w:pStyle w:val="4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本项目运行</w:t>
            </w:r>
            <w:r>
              <w:rPr>
                <w:rFonts w:hint="eastAsia" w:cs="Times New Roman"/>
                <w:b w:val="0"/>
                <w:bCs w:val="0"/>
                <w:color w:val="auto"/>
                <w:sz w:val="24"/>
                <w:szCs w:val="24"/>
                <w:highlight w:val="none"/>
                <w:lang w:val="en-US" w:eastAsia="zh-CN"/>
              </w:rPr>
              <w:t>产生的废润滑油</w:t>
            </w:r>
            <w:r>
              <w:rPr>
                <w:rFonts w:hint="default" w:ascii="Times New Roman" w:hAnsi="Times New Roman" w:cs="Times New Roman"/>
                <w:b w:val="0"/>
                <w:bCs w:val="0"/>
                <w:color w:val="auto"/>
                <w:sz w:val="24"/>
                <w:szCs w:val="24"/>
                <w:highlight w:val="none"/>
                <w:lang w:val="en-US" w:eastAsia="zh-CN"/>
              </w:rPr>
              <w:t>和废润滑油桶委托有资质的单位定期清运处置，已与云南鑫宏环保有限公司签订危险废物收集服务协议</w:t>
            </w:r>
            <w:r>
              <w:rPr>
                <w:rFonts w:hint="eastAsia" w:cs="Times New Roman"/>
                <w:b w:val="0"/>
                <w:bCs w:val="0"/>
                <w:color w:val="auto"/>
                <w:sz w:val="24"/>
                <w:szCs w:val="24"/>
                <w:highlight w:val="none"/>
                <w:lang w:val="en-US" w:eastAsia="zh-CN"/>
              </w:rPr>
              <w:t>，云南鑫宏环保有限公司具有云南省危险废物经营许可证。</w:t>
            </w:r>
          </w:p>
          <w:p w14:paraId="17BC493C">
            <w:pPr>
              <w:pStyle w:val="4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综上，项目固体废物处置方式可行。</w:t>
            </w:r>
          </w:p>
          <w:p w14:paraId="3112E622">
            <w:pPr>
              <w:pStyle w:val="7"/>
              <w:numPr>
                <w:ilvl w:val="0"/>
                <w:numId w:val="0"/>
              </w:num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固体废物管理要求</w:t>
            </w:r>
          </w:p>
          <w:p w14:paraId="6AE6F8FA">
            <w:pPr>
              <w:pStyle w:val="48"/>
              <w:adjustRightInd w:val="0"/>
              <w:snapToGrid w:val="0"/>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ascii="宋体" w:hAnsi="宋体" w:eastAsia="宋体" w:cs="宋体"/>
                <w:b w:val="0"/>
                <w:bCs w:val="0"/>
                <w:color w:val="auto"/>
                <w:sz w:val="24"/>
                <w:szCs w:val="24"/>
              </w:rPr>
              <w:t>认真落实申报登记制度，根据《中华人民共和国固体废物污染环境防治法》第三十六条的规定，</w:t>
            </w:r>
            <w:r>
              <w:rPr>
                <w:rFonts w:hint="default" w:ascii="Times New Roman" w:hAnsi="Times New Roman" w:eastAsia="宋体" w:cs="Times New Roman"/>
                <w:color w:val="auto"/>
                <w:sz w:val="24"/>
                <w:szCs w:val="24"/>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23CB9B45">
            <w:pPr>
              <w:pStyle w:val="48"/>
              <w:adjustRightInd w:val="0"/>
              <w:snapToGrid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②禁止向生活垃圾收集设施中投放工业固体废物。</w:t>
            </w:r>
          </w:p>
          <w:p w14:paraId="6B70E899">
            <w:pPr>
              <w:pStyle w:val="48"/>
              <w:adjustRightInd w:val="0"/>
              <w:snapToGrid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p w14:paraId="6CB193DB">
            <w:pPr>
              <w:pStyle w:val="48"/>
              <w:adjustRightInd w:val="0"/>
              <w:snapToGrid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2.3.4危险废物管理要求</w:t>
            </w:r>
          </w:p>
          <w:p w14:paraId="2BB6ED77">
            <w:pPr>
              <w:pStyle w:val="48"/>
              <w:adjustRightInd w:val="0"/>
              <w:snapToGrid w:val="0"/>
              <w:spacing w:line="360" w:lineRule="auto"/>
              <w:ind w:left="0" w:leftChars="0"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w:t>
            </w:r>
            <w:r>
              <w:rPr>
                <w:rFonts w:ascii="TimesNewRomanPSMT" w:hAnsi="TimesNewRomanPSMT" w:eastAsia="TimesNewRomanPSMT" w:cs="TimesNewRomanPSMT"/>
                <w:b w:val="0"/>
                <w:bCs w:val="0"/>
                <w:color w:val="auto"/>
                <w:sz w:val="24"/>
                <w:szCs w:val="24"/>
              </w:rPr>
              <w:t>1</w:t>
            </w:r>
            <w:r>
              <w:rPr>
                <w:rFonts w:ascii="宋体" w:hAnsi="宋体" w:eastAsia="宋体" w:cs="宋体"/>
                <w:b w:val="0"/>
                <w:bCs w:val="0"/>
                <w:color w:val="auto"/>
                <w:sz w:val="24"/>
                <w:szCs w:val="24"/>
              </w:rPr>
              <w:t>）认真落实申报登记制度，根据《中华人民共和国固体废物污染环境防治法》第七十八条的规定，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41CF0911">
            <w:pPr>
              <w:pStyle w:val="48"/>
              <w:adjustRightInd w:val="0"/>
              <w:snapToGrid w:val="0"/>
              <w:spacing w:line="360" w:lineRule="auto"/>
              <w:ind w:left="0" w:leftChars="0"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w:t>
            </w:r>
            <w:r>
              <w:rPr>
                <w:rFonts w:hint="default" w:ascii="TimesNewRomanPSMT" w:hAnsi="TimesNewRomanPSMT" w:eastAsia="TimesNewRomanPSMT" w:cs="TimesNewRomanPSMT"/>
                <w:b w:val="0"/>
                <w:bCs w:val="0"/>
                <w:color w:val="auto"/>
                <w:sz w:val="24"/>
                <w:szCs w:val="24"/>
              </w:rPr>
              <w:t>2</w:t>
            </w:r>
            <w:r>
              <w:rPr>
                <w:rFonts w:ascii="宋体" w:hAnsi="宋体" w:eastAsia="宋体" w:cs="宋体"/>
                <w:b w:val="0"/>
                <w:bCs w:val="0"/>
                <w:color w:val="auto"/>
                <w:sz w:val="24"/>
                <w:szCs w:val="24"/>
              </w:rPr>
              <w:t>）建设单位必须建立健全台账登记制度，如实记录危险废物产生、贮存、利用和处置等环节的情况。</w:t>
            </w:r>
          </w:p>
          <w:p w14:paraId="20042781">
            <w:pPr>
              <w:pStyle w:val="48"/>
              <w:adjustRightInd w:val="0"/>
              <w:snapToGrid w:val="0"/>
              <w:spacing w:line="360" w:lineRule="auto"/>
              <w:ind w:left="0" w:leftChars="0"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w:t>
            </w:r>
            <w:r>
              <w:rPr>
                <w:rFonts w:hint="default" w:ascii="TimesNewRomanPSMT" w:hAnsi="TimesNewRomanPSMT" w:eastAsia="TimesNewRomanPSMT" w:cs="TimesNewRomanPSMT"/>
                <w:b w:val="0"/>
                <w:bCs w:val="0"/>
                <w:color w:val="auto"/>
                <w:sz w:val="24"/>
                <w:szCs w:val="24"/>
              </w:rPr>
              <w:t>3</w:t>
            </w:r>
            <w:r>
              <w:rPr>
                <w:rFonts w:ascii="宋体" w:hAnsi="宋体" w:eastAsia="宋体" w:cs="宋体"/>
                <w:b w:val="0"/>
                <w:bCs w:val="0"/>
                <w:color w:val="auto"/>
                <w:sz w:val="24"/>
                <w:szCs w:val="24"/>
              </w:rPr>
              <w:t>）建设单位必须做好相应的防护措施，达到《危险废物贮存污染控制标准》（</w:t>
            </w:r>
            <w:r>
              <w:rPr>
                <w:rFonts w:hint="default" w:ascii="TimesNewRomanPSMT" w:hAnsi="TimesNewRomanPSMT" w:eastAsia="TimesNewRomanPSMT" w:cs="TimesNewRomanPSMT"/>
                <w:b w:val="0"/>
                <w:bCs w:val="0"/>
                <w:color w:val="auto"/>
                <w:sz w:val="24"/>
                <w:szCs w:val="24"/>
              </w:rPr>
              <w:t>GB18597-2023</w:t>
            </w:r>
            <w:r>
              <w:rPr>
                <w:rFonts w:ascii="宋体" w:hAnsi="宋体" w:eastAsia="宋体" w:cs="宋体"/>
                <w:b w:val="0"/>
                <w:bCs w:val="0"/>
                <w:color w:val="auto"/>
                <w:sz w:val="24"/>
                <w:szCs w:val="24"/>
              </w:rPr>
              <w:t>）的要求。</w:t>
            </w:r>
          </w:p>
          <w:p w14:paraId="0DA533A2">
            <w:pPr>
              <w:pStyle w:val="48"/>
              <w:adjustRightInd w:val="0"/>
              <w:snapToGrid w:val="0"/>
              <w:spacing w:line="360" w:lineRule="auto"/>
              <w:ind w:left="0" w:leftChars="0"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w:t>
            </w:r>
            <w:r>
              <w:rPr>
                <w:rFonts w:hint="default" w:ascii="TimesNewRomanPSMT" w:hAnsi="TimesNewRomanPSMT" w:eastAsia="TimesNewRomanPSMT" w:cs="TimesNewRomanPSMT"/>
                <w:b w:val="0"/>
                <w:bCs w:val="0"/>
                <w:color w:val="auto"/>
                <w:sz w:val="24"/>
                <w:szCs w:val="24"/>
              </w:rPr>
              <w:t>4</w:t>
            </w:r>
            <w:r>
              <w:rPr>
                <w:rFonts w:ascii="宋体" w:hAnsi="宋体" w:eastAsia="宋体" w:cs="宋体"/>
                <w:b w:val="0"/>
                <w:bCs w:val="0"/>
                <w:color w:val="auto"/>
                <w:sz w:val="24"/>
                <w:szCs w:val="24"/>
              </w:rPr>
              <w:t>）建设单位必须在盛装危险废物的容器和包装物以及收集、贮存、运输、处置危险废物的设施、场所，设置危险废物标识。产生、贮存危险废物的单位及盛装危险废物的容器和包装物要按照《危险废物识别标志设置技术规范》（</w:t>
            </w:r>
            <w:r>
              <w:rPr>
                <w:rFonts w:hint="default" w:ascii="TimesNewRomanPSMT" w:hAnsi="TimesNewRomanPSMT" w:eastAsia="TimesNewRomanPSMT" w:cs="TimesNewRomanPSMT"/>
                <w:b w:val="0"/>
                <w:bCs w:val="0"/>
                <w:color w:val="auto"/>
                <w:sz w:val="24"/>
                <w:szCs w:val="24"/>
              </w:rPr>
              <w:t>HJ1276-2022</w:t>
            </w:r>
            <w:r>
              <w:rPr>
                <w:rFonts w:ascii="宋体" w:hAnsi="宋体" w:eastAsia="宋体" w:cs="宋体"/>
                <w:b w:val="0"/>
                <w:bCs w:val="0"/>
                <w:color w:val="auto"/>
                <w:sz w:val="24"/>
                <w:szCs w:val="24"/>
              </w:rPr>
              <w:t>）规定设置危险废物标签；收集、运输、处置危险废物的设施、场所要按照《危险废物识别标志设置技术规范》（</w:t>
            </w:r>
            <w:r>
              <w:rPr>
                <w:rFonts w:hint="default" w:ascii="TimesNewRomanPSMT" w:hAnsi="TimesNewRomanPSMT" w:eastAsia="TimesNewRomanPSMT" w:cs="TimesNewRomanPSMT"/>
                <w:b w:val="0"/>
                <w:bCs w:val="0"/>
                <w:color w:val="auto"/>
                <w:sz w:val="24"/>
                <w:szCs w:val="24"/>
              </w:rPr>
              <w:t>HJ1276-2022</w:t>
            </w:r>
            <w:r>
              <w:rPr>
                <w:rFonts w:ascii="宋体" w:hAnsi="宋体" w:eastAsia="宋体" w:cs="宋体"/>
                <w:b w:val="0"/>
                <w:bCs w:val="0"/>
                <w:color w:val="auto"/>
                <w:sz w:val="24"/>
                <w:szCs w:val="24"/>
              </w:rPr>
              <w:t>）要求，设置危险废物警告标志。</w:t>
            </w:r>
          </w:p>
          <w:p w14:paraId="553361A8">
            <w:pPr>
              <w:pStyle w:val="48"/>
              <w:adjustRightInd w:val="0"/>
              <w:snapToGrid w:val="0"/>
              <w:spacing w:line="360" w:lineRule="auto"/>
              <w:ind w:left="0" w:leftChars="0"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w:t>
            </w:r>
            <w:r>
              <w:rPr>
                <w:rFonts w:hint="default" w:ascii="TimesNewRomanPSMT" w:hAnsi="TimesNewRomanPSMT" w:eastAsia="TimesNewRomanPSMT" w:cs="TimesNewRomanPSMT"/>
                <w:b w:val="0"/>
                <w:bCs w:val="0"/>
                <w:color w:val="auto"/>
                <w:sz w:val="24"/>
                <w:szCs w:val="24"/>
              </w:rPr>
              <w:t>5</w:t>
            </w:r>
            <w:r>
              <w:rPr>
                <w:rFonts w:ascii="宋体" w:hAnsi="宋体" w:eastAsia="宋体" w:cs="宋体"/>
                <w:b w:val="0"/>
                <w:bCs w:val="0"/>
                <w:color w:val="auto"/>
                <w:sz w:val="24"/>
                <w:szCs w:val="24"/>
              </w:rPr>
              <w:t>）危险废物的转移、运输，必须严格按照《中华人民共和国固体废物污染环境防治法》和《危险废物转移管理办法》的规定，执行危险废物转移联单制度；任何单位和个人不得接受无转移联单的危险废物。</w:t>
            </w:r>
            <w:bookmarkStart w:id="35" w:name="_GoBack"/>
            <w:bookmarkEnd w:id="35"/>
            <w:r>
              <w:rPr>
                <w:rFonts w:ascii="宋体" w:hAnsi="宋体" w:eastAsia="宋体" w:cs="宋体"/>
                <w:b w:val="0"/>
                <w:bCs w:val="0"/>
                <w:color w:val="auto"/>
                <w:sz w:val="24"/>
                <w:szCs w:val="24"/>
              </w:rPr>
              <w:t>危险废物的转移必须到环保部门办理交换转移审批手续，批准后方可实施，转进转出危险废物均应按照国家环保总局的《危险废物转移管理办法》要求填写转移联单。</w:t>
            </w:r>
          </w:p>
          <w:p w14:paraId="48A2C318">
            <w:pPr>
              <w:pStyle w:val="48"/>
              <w:adjustRightInd w:val="0"/>
              <w:snapToGrid w:val="0"/>
              <w:spacing w:line="360" w:lineRule="auto"/>
              <w:ind w:left="0" w:leftChars="0" w:firstLine="480" w:firstLineChars="200"/>
              <w:rPr>
                <w:rFonts w:hint="default" w:cs="Times New Roman"/>
                <w:b/>
                <w:bCs/>
                <w:color w:val="auto"/>
                <w:sz w:val="24"/>
                <w:szCs w:val="24"/>
                <w:lang w:val="en-US" w:eastAsia="zh-CN"/>
              </w:rPr>
            </w:pPr>
            <w:r>
              <w:rPr>
                <w:rFonts w:ascii="宋体" w:hAnsi="宋体" w:eastAsia="宋体" w:cs="宋体"/>
                <w:b w:val="0"/>
                <w:bCs w:val="0"/>
                <w:color w:val="auto"/>
                <w:sz w:val="24"/>
                <w:szCs w:val="24"/>
              </w:rPr>
              <w:t>（</w:t>
            </w:r>
            <w:r>
              <w:rPr>
                <w:rFonts w:hint="default" w:ascii="TimesNewRomanPSMT" w:hAnsi="TimesNewRomanPSMT" w:eastAsia="TimesNewRomanPSMT" w:cs="TimesNewRomanPSMT"/>
                <w:b w:val="0"/>
                <w:bCs w:val="0"/>
                <w:color w:val="auto"/>
                <w:sz w:val="24"/>
                <w:szCs w:val="24"/>
              </w:rPr>
              <w:t>6</w:t>
            </w:r>
            <w:r>
              <w:rPr>
                <w:rFonts w:ascii="宋体" w:hAnsi="宋体" w:eastAsia="宋体" w:cs="宋体"/>
                <w:b w:val="0"/>
                <w:bCs w:val="0"/>
                <w:color w:val="auto"/>
                <w:sz w:val="24"/>
                <w:szCs w:val="24"/>
              </w:rPr>
              <w:t>）选择具有专业处置利用能力和《危险废物经营许可证》的单位，确保不造成新的环境污染。对危险废物必须分类收集处置，禁止将危险废物混入一般废物收集、贮存、运输和处置。</w:t>
            </w:r>
          </w:p>
          <w:p w14:paraId="04F3871D">
            <w:pPr>
              <w:pStyle w:val="48"/>
              <w:adjustRightInd w:val="0"/>
              <w:snapToGrid w:val="0"/>
              <w:spacing w:line="360" w:lineRule="auto"/>
              <w:rPr>
                <w:rFonts w:hint="default" w:cs="Times New Roman"/>
                <w:b w:val="0"/>
                <w:bCs w:val="0"/>
                <w:color w:val="auto"/>
                <w:sz w:val="24"/>
                <w:szCs w:val="24"/>
                <w:vertAlign w:val="baseline"/>
                <w:lang w:val="en-US" w:eastAsia="zh-CN"/>
              </w:rPr>
            </w:pPr>
          </w:p>
          <w:p w14:paraId="592C5672">
            <w:pPr>
              <w:pStyle w:val="37"/>
              <w:numPr>
                <w:ilvl w:val="0"/>
                <w:numId w:val="0"/>
              </w:numPr>
              <w:rPr>
                <w:rFonts w:hint="eastAsia"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4运营期</w:t>
            </w:r>
            <w:r>
              <w:rPr>
                <w:rFonts w:hint="default" w:ascii="Times New Roman" w:hAnsi="Times New Roman" w:cs="Times New Roman"/>
                <w:b/>
                <w:bCs/>
                <w:color w:val="auto"/>
                <w:sz w:val="24"/>
                <w:szCs w:val="24"/>
                <w:lang w:val="en-US" w:eastAsia="zh-CN"/>
              </w:rPr>
              <w:t>声环境影响分析</w:t>
            </w:r>
            <w:r>
              <w:rPr>
                <w:rFonts w:hint="eastAsia" w:cs="Times New Roman"/>
                <w:b/>
                <w:bCs/>
                <w:color w:val="auto"/>
                <w:sz w:val="24"/>
                <w:szCs w:val="24"/>
                <w:lang w:val="en-US" w:eastAsia="zh-CN"/>
              </w:rPr>
              <w:t>和保护措施</w:t>
            </w:r>
          </w:p>
          <w:p w14:paraId="09F79996">
            <w:pPr>
              <w:pStyle w:val="37"/>
              <w:numPr>
                <w:ilvl w:val="0"/>
                <w:numId w:val="0"/>
              </w:numPr>
              <w:rPr>
                <w:rFonts w:hint="default" w:cs="Times New Roman"/>
                <w:b/>
                <w:bCs/>
                <w:color w:val="auto"/>
                <w:sz w:val="24"/>
                <w:szCs w:val="24"/>
                <w:lang w:val="en-US" w:eastAsia="zh-CN"/>
              </w:rPr>
            </w:pPr>
            <w:r>
              <w:rPr>
                <w:rFonts w:hint="eastAsia" w:cs="Times New Roman"/>
                <w:b/>
                <w:bCs/>
                <w:color w:val="auto"/>
                <w:sz w:val="24"/>
                <w:szCs w:val="24"/>
                <w:lang w:val="en-US" w:eastAsia="zh-CN"/>
              </w:rPr>
              <w:t>2.4.1运营期声环境影响分析</w:t>
            </w:r>
          </w:p>
          <w:p w14:paraId="69F59B9D">
            <w:pPr>
              <w:pStyle w:val="35"/>
              <w:numPr>
                <w:ilvl w:val="0"/>
                <w:numId w:val="0"/>
              </w:numPr>
              <w:spacing w:line="360" w:lineRule="auto"/>
              <w:ind w:left="0" w:leftChars="0" w:firstLine="480" w:firstLineChars="200"/>
              <w:jc w:val="both"/>
              <w:rPr>
                <w:rFonts w:hint="default" w:ascii="Times New Roman" w:hAnsi="Times New Roman" w:cs="Times New Roman"/>
                <w:color w:val="auto"/>
                <w:kern w:val="0"/>
              </w:rPr>
            </w:pPr>
            <w:r>
              <w:rPr>
                <w:rFonts w:hint="eastAsia" w:cs="Times New Roman"/>
                <w:b w:val="0"/>
                <w:bCs w:val="0"/>
                <w:color w:val="auto"/>
                <w:sz w:val="24"/>
                <w:szCs w:val="24"/>
                <w:lang w:val="en-US" w:eastAsia="zh-CN"/>
              </w:rPr>
              <w:t>本项目运营期主要噪声来源于</w:t>
            </w:r>
            <w:r>
              <w:rPr>
                <w:rFonts w:hint="eastAsia"/>
                <w:b w:val="0"/>
                <w:bCs w:val="0"/>
                <w:color w:val="auto"/>
                <w:sz w:val="24"/>
                <w:szCs w:val="24"/>
              </w:rPr>
              <w:t>双轴洗砂机</w:t>
            </w:r>
            <w:r>
              <w:rPr>
                <w:rFonts w:hint="eastAsia"/>
                <w:b w:val="0"/>
                <w:bCs w:val="0"/>
                <w:color w:val="auto"/>
                <w:sz w:val="24"/>
                <w:szCs w:val="24"/>
                <w:lang w:eastAsia="zh-CN"/>
              </w:rPr>
              <w:t>、</w:t>
            </w:r>
            <w:r>
              <w:rPr>
                <w:rFonts w:hint="eastAsia"/>
                <w:b w:val="0"/>
                <w:bCs w:val="0"/>
                <w:color w:val="auto"/>
                <w:sz w:val="24"/>
                <w:szCs w:val="24"/>
              </w:rPr>
              <w:t>双轴洗石机</w:t>
            </w:r>
            <w:r>
              <w:rPr>
                <w:rFonts w:hint="eastAsia"/>
                <w:b w:val="0"/>
                <w:bCs w:val="0"/>
                <w:color w:val="auto"/>
                <w:sz w:val="24"/>
                <w:szCs w:val="24"/>
                <w:lang w:eastAsia="zh-CN"/>
              </w:rPr>
              <w:t>、</w:t>
            </w:r>
            <w:r>
              <w:rPr>
                <w:rFonts w:hint="eastAsia"/>
                <w:b w:val="0"/>
                <w:bCs w:val="0"/>
                <w:color w:val="auto"/>
                <w:sz w:val="24"/>
                <w:szCs w:val="24"/>
              </w:rPr>
              <w:t>单轴洗砂机</w:t>
            </w:r>
            <w:r>
              <w:rPr>
                <w:rFonts w:hint="eastAsia"/>
                <w:b w:val="0"/>
                <w:bCs w:val="0"/>
                <w:color w:val="auto"/>
                <w:sz w:val="24"/>
                <w:szCs w:val="24"/>
                <w:lang w:eastAsia="zh-CN"/>
              </w:rPr>
              <w:t>、</w:t>
            </w:r>
            <w:r>
              <w:rPr>
                <w:rFonts w:hint="eastAsia"/>
                <w:b w:val="0"/>
                <w:bCs w:val="0"/>
                <w:color w:val="auto"/>
                <w:sz w:val="24"/>
                <w:szCs w:val="24"/>
              </w:rPr>
              <w:t>振动筛</w:t>
            </w:r>
            <w:r>
              <w:rPr>
                <w:rFonts w:hint="eastAsia"/>
                <w:b w:val="0"/>
                <w:bCs w:val="0"/>
                <w:color w:val="auto"/>
                <w:sz w:val="24"/>
                <w:szCs w:val="24"/>
                <w:lang w:eastAsia="zh-CN"/>
              </w:rPr>
              <w:t>、</w:t>
            </w:r>
            <w:r>
              <w:rPr>
                <w:rFonts w:hint="eastAsia"/>
                <w:b w:val="0"/>
                <w:bCs w:val="0"/>
                <w:color w:val="auto"/>
                <w:sz w:val="24"/>
                <w:szCs w:val="24"/>
              </w:rPr>
              <w:t>皮带运输机</w:t>
            </w:r>
            <w:r>
              <w:rPr>
                <w:rFonts w:hint="eastAsia"/>
                <w:b w:val="0"/>
                <w:bCs w:val="0"/>
                <w:color w:val="auto"/>
                <w:sz w:val="24"/>
                <w:szCs w:val="24"/>
                <w:lang w:eastAsia="zh-CN"/>
              </w:rPr>
              <w:t>、</w:t>
            </w:r>
            <w:r>
              <w:rPr>
                <w:rFonts w:hint="eastAsia"/>
                <w:b w:val="0"/>
                <w:bCs w:val="0"/>
                <w:color w:val="auto"/>
                <w:sz w:val="24"/>
                <w:szCs w:val="24"/>
              </w:rPr>
              <w:t>脱水筛</w:t>
            </w:r>
            <w:r>
              <w:rPr>
                <w:rFonts w:hint="eastAsia"/>
                <w:b w:val="0"/>
                <w:bCs w:val="0"/>
                <w:color w:val="auto"/>
                <w:sz w:val="24"/>
                <w:szCs w:val="24"/>
                <w:lang w:eastAsia="zh-CN"/>
              </w:rPr>
              <w:t>、</w:t>
            </w:r>
            <w:r>
              <w:rPr>
                <w:rFonts w:hint="eastAsia"/>
                <w:b w:val="0"/>
                <w:bCs w:val="0"/>
                <w:color w:val="auto"/>
                <w:sz w:val="24"/>
                <w:szCs w:val="24"/>
              </w:rPr>
              <w:t>压滤机</w:t>
            </w:r>
            <w:r>
              <w:rPr>
                <w:rFonts w:hint="eastAsia"/>
                <w:b w:val="0"/>
                <w:bCs w:val="0"/>
                <w:color w:val="auto"/>
                <w:sz w:val="24"/>
                <w:szCs w:val="24"/>
                <w:lang w:eastAsia="zh-CN"/>
              </w:rPr>
              <w:t>、</w:t>
            </w:r>
            <w:r>
              <w:rPr>
                <w:rFonts w:hint="eastAsia"/>
                <w:b w:val="0"/>
                <w:bCs w:val="0"/>
                <w:color w:val="auto"/>
                <w:sz w:val="24"/>
                <w:szCs w:val="24"/>
              </w:rPr>
              <w:t>水泵</w:t>
            </w:r>
            <w:r>
              <w:rPr>
                <w:rFonts w:hint="eastAsia"/>
                <w:b w:val="0"/>
                <w:bCs w:val="0"/>
                <w:color w:val="auto"/>
                <w:sz w:val="24"/>
                <w:szCs w:val="24"/>
                <w:lang w:eastAsia="zh-CN"/>
              </w:rPr>
              <w:t>、</w:t>
            </w:r>
            <w:r>
              <w:rPr>
                <w:rFonts w:hint="eastAsia"/>
                <w:b w:val="0"/>
                <w:bCs w:val="0"/>
                <w:color w:val="auto"/>
                <w:sz w:val="24"/>
                <w:szCs w:val="24"/>
              </w:rPr>
              <w:t>搅拌桶</w:t>
            </w:r>
            <w:r>
              <w:rPr>
                <w:rFonts w:hint="eastAsia" w:cs="Times New Roman"/>
                <w:b w:val="0"/>
                <w:bCs w:val="0"/>
                <w:color w:val="auto"/>
                <w:sz w:val="24"/>
                <w:szCs w:val="24"/>
                <w:lang w:val="en-US" w:eastAsia="zh-CN"/>
              </w:rPr>
              <w:t>和装载机（流动噪声），</w:t>
            </w:r>
            <w:r>
              <w:rPr>
                <w:rFonts w:hint="default" w:ascii="Times New Roman" w:hAnsi="Times New Roman" w:cs="Times New Roman"/>
                <w:b w:val="0"/>
                <w:bCs w:val="0"/>
                <w:color w:val="auto"/>
                <w:sz w:val="24"/>
                <w:szCs w:val="24"/>
                <w:lang w:val="en-US" w:eastAsia="zh-CN"/>
              </w:rPr>
              <w:t>噪声源强分析见下表</w:t>
            </w:r>
            <w:r>
              <w:rPr>
                <w:rFonts w:hint="eastAsia" w:cs="Times New Roman"/>
                <w:b w:val="0"/>
                <w:bCs w:val="0"/>
                <w:color w:val="auto"/>
                <w:sz w:val="24"/>
                <w:szCs w:val="24"/>
                <w:lang w:val="en-US" w:eastAsia="zh-CN"/>
              </w:rPr>
              <w:t>。</w:t>
            </w:r>
          </w:p>
          <w:p w14:paraId="41D7815A">
            <w:pPr>
              <w:pStyle w:val="35"/>
              <w:rPr>
                <w:rFonts w:hint="default" w:ascii="Times New Roman" w:hAnsi="Times New Roman" w:cs="Times New Roman"/>
                <w:color w:val="auto"/>
                <w:kern w:val="0"/>
              </w:rPr>
            </w:pPr>
            <w:r>
              <w:rPr>
                <w:rFonts w:hint="default" w:ascii="Times New Roman" w:hAnsi="Times New Roman" w:cs="Times New Roman"/>
                <w:color w:val="auto"/>
                <w:kern w:val="0"/>
              </w:rPr>
              <w:t>表</w:t>
            </w:r>
            <w:r>
              <w:rPr>
                <w:rFonts w:hint="default" w:ascii="Times New Roman" w:hAnsi="Times New Roman" w:cs="Times New Roman"/>
                <w:color w:val="auto"/>
                <w:kern w:val="0"/>
                <w:lang w:val="en-US" w:eastAsia="zh-CN"/>
              </w:rPr>
              <w:t>4-</w:t>
            </w:r>
            <w:r>
              <w:rPr>
                <w:rFonts w:hint="eastAsia" w:cs="Times New Roman"/>
                <w:color w:val="auto"/>
                <w:kern w:val="0"/>
                <w:lang w:val="en-US" w:eastAsia="zh-CN"/>
              </w:rPr>
              <w:t>7</w:t>
            </w:r>
            <w:r>
              <w:rPr>
                <w:rFonts w:hint="default" w:ascii="Times New Roman" w:hAnsi="Times New Roman" w:cs="Times New Roman"/>
                <w:color w:val="auto"/>
                <w:kern w:val="0"/>
                <w:lang w:val="en-US" w:eastAsia="zh-CN"/>
              </w:rPr>
              <w:t>噪声源强分析</w:t>
            </w:r>
            <w:r>
              <w:rPr>
                <w:rFonts w:hint="default" w:ascii="Times New Roman" w:hAnsi="Times New Roman" w:cs="Times New Roman"/>
                <w:color w:val="auto"/>
                <w:kern w:val="0"/>
              </w:rPr>
              <w:t>表</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650"/>
              <w:gridCol w:w="2650"/>
              <w:gridCol w:w="2650"/>
            </w:tblGrid>
            <w:tr w14:paraId="7DA4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tcPr>
                <w:p w14:paraId="5D45D7CC">
                  <w:pPr>
                    <w:pStyle w:val="3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源强</w:t>
                  </w:r>
                </w:p>
              </w:tc>
              <w:tc>
                <w:tcPr>
                  <w:tcW w:w="1451" w:type="pct"/>
                </w:tcPr>
                <w:p w14:paraId="74EDE185">
                  <w:pPr>
                    <w:pStyle w:val="3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设备名称</w:t>
                  </w:r>
                </w:p>
              </w:tc>
              <w:tc>
                <w:tcPr>
                  <w:tcW w:w="1451" w:type="pct"/>
                </w:tcPr>
                <w:p w14:paraId="13065468">
                  <w:pPr>
                    <w:pStyle w:val="3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数量</w:t>
                  </w:r>
                </w:p>
              </w:tc>
              <w:tc>
                <w:tcPr>
                  <w:tcW w:w="1451" w:type="pct"/>
                </w:tcPr>
                <w:p w14:paraId="21786048">
                  <w:pPr>
                    <w:pStyle w:val="3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声功率级/dB（A）</w:t>
                  </w:r>
                </w:p>
              </w:tc>
            </w:tr>
            <w:tr w14:paraId="7ADD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restart"/>
                  <w:vAlign w:val="center"/>
                </w:tcPr>
                <w:p w14:paraId="7B3AF399">
                  <w:pPr>
                    <w:pStyle w:val="3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1、固定设备噪声（核心源）</w:t>
                  </w:r>
                </w:p>
              </w:tc>
              <w:tc>
                <w:tcPr>
                  <w:tcW w:w="1451" w:type="pct"/>
                  <w:vAlign w:val="center"/>
                </w:tcPr>
                <w:p w14:paraId="385D0948">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双轴洗砂机</w:t>
                  </w:r>
                </w:p>
              </w:tc>
              <w:tc>
                <w:tcPr>
                  <w:tcW w:w="1451" w:type="pct"/>
                  <w:vAlign w:val="center"/>
                </w:tcPr>
                <w:p w14:paraId="1A468065">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w:t>
                  </w:r>
                </w:p>
              </w:tc>
              <w:tc>
                <w:tcPr>
                  <w:tcW w:w="1451" w:type="pct"/>
                  <w:vAlign w:val="center"/>
                </w:tcPr>
                <w:p w14:paraId="4DD42B43">
                  <w:pPr>
                    <w:pStyle w:val="3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80</w:t>
                  </w:r>
                </w:p>
              </w:tc>
            </w:tr>
            <w:tr w14:paraId="183D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40B77BFE">
                  <w:pPr>
                    <w:pStyle w:val="3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1451" w:type="pct"/>
                  <w:vAlign w:val="center"/>
                </w:tcPr>
                <w:p w14:paraId="4B018C31">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双轴洗石机</w:t>
                  </w:r>
                </w:p>
              </w:tc>
              <w:tc>
                <w:tcPr>
                  <w:tcW w:w="1451" w:type="pct"/>
                  <w:vAlign w:val="center"/>
                </w:tcPr>
                <w:p w14:paraId="1666588B">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2</w:t>
                  </w:r>
                </w:p>
              </w:tc>
              <w:tc>
                <w:tcPr>
                  <w:tcW w:w="1451" w:type="pct"/>
                  <w:vAlign w:val="center"/>
                </w:tcPr>
                <w:p w14:paraId="3B43E40A">
                  <w:pPr>
                    <w:pStyle w:val="35"/>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80</w:t>
                  </w:r>
                </w:p>
              </w:tc>
            </w:tr>
            <w:tr w14:paraId="4BAA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49921968">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rPr>
                  </w:pPr>
                </w:p>
              </w:tc>
              <w:tc>
                <w:tcPr>
                  <w:tcW w:w="1451" w:type="pct"/>
                  <w:vAlign w:val="center"/>
                </w:tcPr>
                <w:p w14:paraId="6F43D597">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单轴洗砂机</w:t>
                  </w:r>
                </w:p>
              </w:tc>
              <w:tc>
                <w:tcPr>
                  <w:tcW w:w="1451" w:type="pct"/>
                  <w:vAlign w:val="center"/>
                </w:tcPr>
                <w:p w14:paraId="0388ABB3">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w:t>
                  </w:r>
                </w:p>
              </w:tc>
              <w:tc>
                <w:tcPr>
                  <w:tcW w:w="1451" w:type="pct"/>
                  <w:vAlign w:val="center"/>
                </w:tcPr>
                <w:p w14:paraId="082541A4">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75</w:t>
                  </w:r>
                </w:p>
              </w:tc>
            </w:tr>
            <w:tr w14:paraId="71B2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4FC47104">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1451" w:type="pct"/>
                  <w:vAlign w:val="center"/>
                </w:tcPr>
                <w:p w14:paraId="1F08BCE4">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振动筛</w:t>
                  </w:r>
                </w:p>
              </w:tc>
              <w:tc>
                <w:tcPr>
                  <w:tcW w:w="1451" w:type="pct"/>
                  <w:vAlign w:val="center"/>
                </w:tcPr>
                <w:p w14:paraId="7575C53F">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w:t>
                  </w:r>
                </w:p>
              </w:tc>
              <w:tc>
                <w:tcPr>
                  <w:tcW w:w="1451" w:type="pct"/>
                  <w:vAlign w:val="center"/>
                </w:tcPr>
                <w:p w14:paraId="457A0AE5">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85</w:t>
                  </w:r>
                </w:p>
              </w:tc>
            </w:tr>
            <w:tr w14:paraId="5E9F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746C3EBF">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1451" w:type="pct"/>
                  <w:vAlign w:val="center"/>
                </w:tcPr>
                <w:p w14:paraId="57625F50">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皮带运输机</w:t>
                  </w:r>
                </w:p>
              </w:tc>
              <w:tc>
                <w:tcPr>
                  <w:tcW w:w="1451" w:type="pct"/>
                  <w:vAlign w:val="center"/>
                </w:tcPr>
                <w:p w14:paraId="3F6B8396">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5</w:t>
                  </w:r>
                </w:p>
              </w:tc>
              <w:tc>
                <w:tcPr>
                  <w:tcW w:w="1451" w:type="pct"/>
                  <w:vAlign w:val="center"/>
                </w:tcPr>
                <w:p w14:paraId="77A62485">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75</w:t>
                  </w:r>
                </w:p>
              </w:tc>
            </w:tr>
            <w:tr w14:paraId="100F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4D425F34">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1451" w:type="pct"/>
                  <w:vAlign w:val="center"/>
                </w:tcPr>
                <w:p w14:paraId="1A19AE1D">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脱水筛</w:t>
                  </w:r>
                </w:p>
              </w:tc>
              <w:tc>
                <w:tcPr>
                  <w:tcW w:w="1451" w:type="pct"/>
                  <w:vAlign w:val="center"/>
                </w:tcPr>
                <w:p w14:paraId="075E69CB">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2</w:t>
                  </w:r>
                </w:p>
              </w:tc>
              <w:tc>
                <w:tcPr>
                  <w:tcW w:w="1451" w:type="pct"/>
                  <w:vAlign w:val="center"/>
                </w:tcPr>
                <w:p w14:paraId="39A95637">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80</w:t>
                  </w:r>
                </w:p>
              </w:tc>
            </w:tr>
            <w:tr w14:paraId="13AD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60ECAD75">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1451" w:type="pct"/>
                  <w:vAlign w:val="center"/>
                </w:tcPr>
                <w:p w14:paraId="1F09DA85">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压滤机</w:t>
                  </w:r>
                </w:p>
              </w:tc>
              <w:tc>
                <w:tcPr>
                  <w:tcW w:w="1451" w:type="pct"/>
                  <w:vAlign w:val="center"/>
                </w:tcPr>
                <w:p w14:paraId="1D313E10">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5</w:t>
                  </w:r>
                </w:p>
              </w:tc>
              <w:tc>
                <w:tcPr>
                  <w:tcW w:w="1451" w:type="pct"/>
                  <w:vAlign w:val="center"/>
                </w:tcPr>
                <w:p w14:paraId="682869C1">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80</w:t>
                  </w:r>
                </w:p>
              </w:tc>
            </w:tr>
            <w:tr w14:paraId="7054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009F7B2E">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1451" w:type="pct"/>
                  <w:vAlign w:val="center"/>
                </w:tcPr>
                <w:p w14:paraId="4A261066">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水泵</w:t>
                  </w:r>
                </w:p>
              </w:tc>
              <w:tc>
                <w:tcPr>
                  <w:tcW w:w="1451" w:type="pct"/>
                  <w:vAlign w:val="center"/>
                </w:tcPr>
                <w:p w14:paraId="400CB193">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6</w:t>
                  </w:r>
                </w:p>
              </w:tc>
              <w:tc>
                <w:tcPr>
                  <w:tcW w:w="1451" w:type="pct"/>
                  <w:vAlign w:val="center"/>
                </w:tcPr>
                <w:p w14:paraId="24C90F9F">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85</w:t>
                  </w:r>
                </w:p>
              </w:tc>
            </w:tr>
            <w:tr w14:paraId="6B72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Merge w:val="continue"/>
                  <w:vAlign w:val="center"/>
                </w:tcPr>
                <w:p w14:paraId="6A1D4D99">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1451" w:type="pct"/>
                  <w:vAlign w:val="center"/>
                </w:tcPr>
                <w:p w14:paraId="37799A68">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搅拌桶</w:t>
                  </w:r>
                </w:p>
              </w:tc>
              <w:tc>
                <w:tcPr>
                  <w:tcW w:w="1451" w:type="pct"/>
                  <w:vAlign w:val="center"/>
                </w:tcPr>
                <w:p w14:paraId="5B638282">
                  <w:pPr>
                    <w:pStyle w:val="35"/>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w:t>
                  </w:r>
                </w:p>
              </w:tc>
              <w:tc>
                <w:tcPr>
                  <w:tcW w:w="1451" w:type="pct"/>
                  <w:vAlign w:val="center"/>
                </w:tcPr>
                <w:p w14:paraId="0C048999">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80</w:t>
                  </w:r>
                </w:p>
              </w:tc>
            </w:tr>
            <w:tr w14:paraId="088D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pct"/>
                  <w:vAlign w:val="center"/>
                </w:tcPr>
                <w:p w14:paraId="0A9399E8">
                  <w:pPr>
                    <w:pStyle w:val="3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2.流动/辅助噪声（次要源）</w:t>
                  </w:r>
                </w:p>
              </w:tc>
              <w:tc>
                <w:tcPr>
                  <w:tcW w:w="1451" w:type="pct"/>
                  <w:vAlign w:val="center"/>
                </w:tcPr>
                <w:p w14:paraId="1DA72062">
                  <w:pPr>
                    <w:pStyle w:val="3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装载机</w:t>
                  </w:r>
                </w:p>
              </w:tc>
              <w:tc>
                <w:tcPr>
                  <w:tcW w:w="1451" w:type="pct"/>
                  <w:vAlign w:val="center"/>
                </w:tcPr>
                <w:p w14:paraId="688D6606">
                  <w:pPr>
                    <w:pStyle w:val="3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3</w:t>
                  </w:r>
                </w:p>
              </w:tc>
              <w:tc>
                <w:tcPr>
                  <w:tcW w:w="1451" w:type="pct"/>
                  <w:vAlign w:val="center"/>
                </w:tcPr>
                <w:p w14:paraId="69857711">
                  <w:pPr>
                    <w:pStyle w:val="3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85</w:t>
                  </w:r>
                </w:p>
              </w:tc>
            </w:tr>
          </w:tbl>
          <w:p w14:paraId="415246BE">
            <w:pPr>
              <w:pStyle w:val="35"/>
              <w:rPr>
                <w:rFonts w:hint="default" w:ascii="Times New Roman" w:hAnsi="Times New Roman" w:cs="Times New Roman"/>
                <w:color w:val="auto"/>
                <w:kern w:val="0"/>
                <w:lang w:val="en-US" w:eastAsia="zh-CN"/>
              </w:rPr>
            </w:pPr>
          </w:p>
          <w:p w14:paraId="547AE4A4">
            <w:pPr>
              <w:keepLines w:val="0"/>
              <w:pageBreakBefore w:val="0"/>
              <w:kinsoku/>
              <w:wordWrap/>
              <w:topLinePunct w:val="0"/>
              <w:autoSpaceDE/>
              <w:autoSpaceDN/>
              <w:bidi w:val="0"/>
              <w:adjustRightInd w:val="0"/>
              <w:snapToGrid w:val="0"/>
              <w:spacing w:line="360" w:lineRule="auto"/>
              <w:ind w:left="0" w:leftChars="0" w:right="0" w:rightChars="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采用点声源模式预测噪声源对环境的影响，预测模式如下：</w:t>
            </w:r>
          </w:p>
          <w:p w14:paraId="111C277A">
            <w:pPr>
              <w:keepLines w:val="0"/>
              <w:pageBreakBefore w:val="0"/>
              <w:kinsoku/>
              <w:wordWrap/>
              <w:topLinePunct w:val="0"/>
              <w:autoSpaceDE/>
              <w:autoSpaceDN/>
              <w:bidi w:val="0"/>
              <w:adjustRightInd w:val="0"/>
              <w:snapToGrid w:val="0"/>
              <w:spacing w:line="360" w:lineRule="auto"/>
              <w:ind w:left="0" w:leftChars="0" w:right="0" w:rightChars="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（1）无指向性点声源几何发散衰减</w:t>
            </w:r>
          </w:p>
          <w:p w14:paraId="69837FA0">
            <w:pPr>
              <w:keepLines w:val="0"/>
              <w:pageBreakBefore w:val="0"/>
              <w:kinsoku/>
              <w:wordWrap/>
              <w:topLinePunct w:val="0"/>
              <w:autoSpaceDE/>
              <w:autoSpaceDN/>
              <w:bidi w:val="0"/>
              <w:adjustRightInd w:val="0"/>
              <w:snapToGrid w:val="0"/>
              <w:spacing w:line="360" w:lineRule="auto"/>
              <w:ind w:left="0" w:leftChars="0" w:right="0" w:rightChars="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无指向性点声源几何发散衰减的基本公式：</w:t>
            </w:r>
          </w:p>
          <w:p w14:paraId="252A3F3F">
            <w:pPr>
              <w:keepLines w:val="0"/>
              <w:pageBreakBefore w:val="0"/>
              <w:kinsoku/>
              <w:wordWrap/>
              <w:topLinePunct w:val="0"/>
              <w:autoSpaceDE/>
              <w:autoSpaceDN/>
              <w:bidi w:val="0"/>
              <w:adjustRightInd w:val="0"/>
              <w:snapToGrid w:val="0"/>
              <w:spacing w:line="360" w:lineRule="auto"/>
              <w:ind w:left="0" w:leftChars="0" w:right="0" w:rightChars="0" w:firstLine="480" w:firstLineChars="20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L</w:t>
            </w:r>
            <w:r>
              <w:rPr>
                <w:rFonts w:hint="eastAsia" w:ascii="Times New Roman" w:hAnsi="Times New Roman" w:eastAsia="宋体" w:cs="Times New Roman"/>
                <w:color w:val="auto"/>
                <w:kern w:val="0"/>
                <w:sz w:val="24"/>
                <w:szCs w:val="24"/>
                <w:vertAlign w:val="subscript"/>
                <w:lang w:val="en-US" w:eastAsia="zh-CN"/>
              </w:rPr>
              <w:t>p</w:t>
            </w:r>
            <w:r>
              <w:rPr>
                <w:rFonts w:hint="default" w:ascii="Times New Roman" w:hAnsi="Times New Roman" w:eastAsia="宋体" w:cs="Times New Roman"/>
                <w:color w:val="auto"/>
                <w:kern w:val="0"/>
                <w:sz w:val="24"/>
                <w:szCs w:val="24"/>
              </w:rPr>
              <w:t>（r）=L</w:t>
            </w:r>
            <w:r>
              <w:rPr>
                <w:rFonts w:hint="eastAsia" w:ascii="Times New Roman" w:hAnsi="Times New Roman" w:eastAsia="宋体" w:cs="Times New Roman"/>
                <w:color w:val="auto"/>
                <w:kern w:val="0"/>
                <w:sz w:val="24"/>
                <w:szCs w:val="24"/>
                <w:vertAlign w:val="subscript"/>
                <w:lang w:val="en-US" w:eastAsia="zh-CN"/>
              </w:rPr>
              <w:t>p</w:t>
            </w:r>
            <w:r>
              <w:rPr>
                <w:rFonts w:hint="default" w:ascii="Times New Roman" w:hAnsi="Times New Roman" w:eastAsia="宋体" w:cs="Times New Roman"/>
                <w:color w:val="auto"/>
                <w:kern w:val="0"/>
                <w:sz w:val="24"/>
                <w:szCs w:val="24"/>
              </w:rPr>
              <w:t>（r</w:t>
            </w:r>
            <w:r>
              <w:rPr>
                <w:rFonts w:hint="default" w:ascii="Times New Roman" w:hAnsi="Times New Roman" w:eastAsia="宋体" w:cs="Times New Roman"/>
                <w:color w:val="auto"/>
                <w:kern w:val="0"/>
                <w:sz w:val="24"/>
                <w:szCs w:val="24"/>
                <w:vertAlign w:val="subscript"/>
              </w:rPr>
              <w:t>0</w:t>
            </w:r>
            <w:r>
              <w:rPr>
                <w:rFonts w:hint="default" w:ascii="Times New Roman" w:hAnsi="Times New Roman" w:eastAsia="宋体" w:cs="Times New Roman"/>
                <w:color w:val="auto"/>
                <w:kern w:val="0"/>
                <w:sz w:val="24"/>
                <w:szCs w:val="24"/>
              </w:rPr>
              <w:t>）-20lg（r/r</w:t>
            </w:r>
            <w:r>
              <w:rPr>
                <w:rFonts w:hint="default" w:ascii="Times New Roman" w:hAnsi="Times New Roman" w:eastAsia="宋体" w:cs="Times New Roman"/>
                <w:color w:val="auto"/>
                <w:kern w:val="0"/>
                <w:sz w:val="24"/>
                <w:szCs w:val="24"/>
                <w:vertAlign w:val="subscript"/>
              </w:rPr>
              <w:t>0</w:t>
            </w:r>
            <w:r>
              <w:rPr>
                <w:rFonts w:hint="default" w:ascii="Times New Roman" w:hAnsi="Times New Roman" w:eastAsia="宋体" w:cs="Times New Roman"/>
                <w:color w:val="auto"/>
                <w:kern w:val="0"/>
                <w:sz w:val="24"/>
                <w:szCs w:val="24"/>
              </w:rPr>
              <w:t>）</w:t>
            </w:r>
          </w:p>
          <w:p w14:paraId="292A9365">
            <w:pPr>
              <w:keepLines w:val="0"/>
              <w:pageBreakBefore w:val="0"/>
              <w:kinsoku/>
              <w:wordWrap/>
              <w:topLinePunct w:val="0"/>
              <w:autoSpaceDE/>
              <w:autoSpaceDN/>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式中：L</w:t>
            </w:r>
            <w:r>
              <w:rPr>
                <w:rFonts w:hint="eastAsia" w:ascii="Times New Roman" w:hAnsi="Times New Roman" w:eastAsia="宋体" w:cs="Times New Roman"/>
                <w:color w:val="auto"/>
                <w:kern w:val="0"/>
                <w:sz w:val="24"/>
                <w:szCs w:val="24"/>
                <w:vertAlign w:val="subscript"/>
                <w:lang w:val="en-US" w:eastAsia="zh-CN"/>
              </w:rPr>
              <w:t>p</w:t>
            </w:r>
            <w:r>
              <w:rPr>
                <w:rFonts w:hint="default" w:ascii="Times New Roman" w:hAnsi="Times New Roman" w:eastAsia="宋体" w:cs="Times New Roman"/>
                <w:color w:val="auto"/>
                <w:kern w:val="0"/>
                <w:sz w:val="24"/>
                <w:szCs w:val="24"/>
              </w:rPr>
              <w:t>（r）—预测点处的声压级，dB；</w:t>
            </w:r>
          </w:p>
          <w:p w14:paraId="427B9A0A">
            <w:pPr>
              <w:keepLines w:val="0"/>
              <w:pageBreakBefore w:val="0"/>
              <w:kinsoku/>
              <w:wordWrap/>
              <w:topLinePunct w:val="0"/>
              <w:autoSpaceDE/>
              <w:autoSpaceDN/>
              <w:bidi w:val="0"/>
              <w:adjustRightInd w:val="0"/>
              <w:snapToGrid w:val="0"/>
              <w:spacing w:line="360" w:lineRule="auto"/>
              <w:ind w:left="0" w:leftChars="0" w:right="0" w:rightChars="0" w:firstLine="1200" w:firstLineChars="5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L</w:t>
            </w:r>
            <w:r>
              <w:rPr>
                <w:rFonts w:hint="eastAsia" w:ascii="Times New Roman" w:hAnsi="Times New Roman" w:eastAsia="宋体" w:cs="Times New Roman"/>
                <w:color w:val="auto"/>
                <w:kern w:val="0"/>
                <w:sz w:val="24"/>
                <w:szCs w:val="24"/>
                <w:vertAlign w:val="subscript"/>
                <w:lang w:val="en-US" w:eastAsia="zh-CN"/>
              </w:rPr>
              <w:t>p</w:t>
            </w:r>
            <w:r>
              <w:rPr>
                <w:rFonts w:hint="default" w:ascii="Times New Roman" w:hAnsi="Times New Roman" w:eastAsia="宋体" w:cs="Times New Roman"/>
                <w:color w:val="auto"/>
                <w:kern w:val="0"/>
                <w:sz w:val="24"/>
                <w:szCs w:val="24"/>
              </w:rPr>
              <w:t>（r</w:t>
            </w:r>
            <w:r>
              <w:rPr>
                <w:rFonts w:hint="default" w:ascii="Times New Roman" w:hAnsi="Times New Roman" w:eastAsia="宋体" w:cs="Times New Roman"/>
                <w:color w:val="auto"/>
                <w:kern w:val="0"/>
                <w:sz w:val="24"/>
                <w:szCs w:val="24"/>
                <w:vertAlign w:val="subscript"/>
              </w:rPr>
              <w:t>0</w:t>
            </w:r>
            <w:r>
              <w:rPr>
                <w:rFonts w:hint="default" w:ascii="Times New Roman" w:hAnsi="Times New Roman" w:eastAsia="宋体" w:cs="Times New Roman"/>
                <w:color w:val="auto"/>
                <w:kern w:val="0"/>
                <w:sz w:val="24"/>
                <w:szCs w:val="24"/>
              </w:rPr>
              <w:t>）—参考位置 r</w:t>
            </w:r>
            <w:r>
              <w:rPr>
                <w:rFonts w:hint="default" w:ascii="Times New Roman" w:hAnsi="Times New Roman" w:eastAsia="宋体" w:cs="Times New Roman"/>
                <w:color w:val="auto"/>
                <w:kern w:val="0"/>
                <w:sz w:val="24"/>
                <w:szCs w:val="24"/>
                <w:vertAlign w:val="subscript"/>
              </w:rPr>
              <w:t>0</w:t>
            </w:r>
            <w:r>
              <w:rPr>
                <w:rFonts w:hint="default" w:ascii="Times New Roman" w:hAnsi="Times New Roman" w:eastAsia="宋体" w:cs="Times New Roman"/>
                <w:color w:val="auto"/>
                <w:kern w:val="0"/>
                <w:sz w:val="24"/>
                <w:szCs w:val="24"/>
              </w:rPr>
              <w:t>处的声压级，dB；</w:t>
            </w:r>
          </w:p>
          <w:p w14:paraId="6EEEEF65">
            <w:pPr>
              <w:keepLines w:val="0"/>
              <w:pageBreakBefore w:val="0"/>
              <w:kinsoku/>
              <w:wordWrap/>
              <w:topLinePunct w:val="0"/>
              <w:autoSpaceDE/>
              <w:autoSpaceDN/>
              <w:bidi w:val="0"/>
              <w:adjustRightInd w:val="0"/>
              <w:snapToGrid w:val="0"/>
              <w:spacing w:line="360" w:lineRule="auto"/>
              <w:ind w:left="0" w:leftChars="0" w:right="0" w:rightChars="0" w:firstLine="1200" w:firstLineChars="5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r—预测点</w:t>
            </w:r>
            <w:r>
              <w:rPr>
                <w:rFonts w:hint="eastAsia" w:ascii="Times New Roman" w:hAnsi="Times New Roman" w:eastAsia="宋体" w:cs="Times New Roman"/>
                <w:color w:val="auto"/>
                <w:kern w:val="0"/>
                <w:sz w:val="24"/>
                <w:szCs w:val="24"/>
                <w:lang w:val="en-US" w:eastAsia="zh-CN"/>
              </w:rPr>
              <w:t>距</w:t>
            </w:r>
            <w:r>
              <w:rPr>
                <w:rFonts w:hint="default" w:ascii="Times New Roman" w:hAnsi="Times New Roman" w:eastAsia="宋体" w:cs="Times New Roman"/>
                <w:color w:val="auto"/>
                <w:kern w:val="0"/>
                <w:sz w:val="24"/>
                <w:szCs w:val="24"/>
              </w:rPr>
              <w:t>声源距离</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rPr>
              <w:t>；</w:t>
            </w:r>
          </w:p>
          <w:p w14:paraId="40A022E1">
            <w:pPr>
              <w:keepNext w:val="0"/>
              <w:keepLines w:val="0"/>
              <w:widowControl/>
              <w:suppressLineNumbers w:val="0"/>
              <w:spacing w:line="360" w:lineRule="auto"/>
              <w:ind w:firstLine="1200" w:firstLineChars="500"/>
              <w:jc w:val="left"/>
              <w:rPr>
                <w:rFonts w:hint="default"/>
                <w:color w:val="auto"/>
                <w:lang w:val="en-US"/>
              </w:rPr>
            </w:pPr>
            <w:r>
              <w:rPr>
                <w:rFonts w:hint="default" w:ascii="Times New Roman" w:hAnsi="Times New Roman" w:eastAsia="宋体" w:cs="Times New Roman"/>
                <w:color w:val="auto"/>
                <w:kern w:val="0"/>
                <w:sz w:val="24"/>
                <w:szCs w:val="24"/>
              </w:rPr>
              <w:t>r</w:t>
            </w:r>
            <w:r>
              <w:rPr>
                <w:rFonts w:hint="eastAsia" w:ascii="Times New Roman" w:hAnsi="Times New Roman" w:eastAsia="宋体" w:cs="Times New Roman"/>
                <w:color w:val="auto"/>
                <w:kern w:val="0"/>
                <w:sz w:val="24"/>
                <w:szCs w:val="24"/>
                <w:vertAlign w:val="subscript"/>
                <w:lang w:val="en-US" w:eastAsia="zh-CN"/>
              </w:rPr>
              <w:t>o</w:t>
            </w:r>
            <w:r>
              <w:rPr>
                <w:rFonts w:hint="default" w:ascii="Times New Roman" w:hAnsi="Times New Roman" w:eastAsia="宋体" w:cs="Times New Roman"/>
                <w:color w:val="auto"/>
                <w:kern w:val="0"/>
                <w:sz w:val="24"/>
                <w:szCs w:val="24"/>
              </w:rPr>
              <w:t>—</w:t>
            </w:r>
            <w:r>
              <w:rPr>
                <w:rFonts w:hint="eastAsia" w:ascii="宋体" w:hAnsi="宋体" w:eastAsia="宋体" w:cs="宋体"/>
                <w:color w:val="auto"/>
                <w:kern w:val="0"/>
                <w:sz w:val="24"/>
                <w:szCs w:val="24"/>
                <w:lang w:val="en-US" w:eastAsia="zh-CN" w:bidi="ar"/>
              </w:rPr>
              <w:t>参考位置距声源的距离，</w:t>
            </w:r>
            <w:r>
              <w:rPr>
                <w:rFonts w:hint="eastAsia" w:ascii="Times New Roman" w:hAnsi="Times New Roman" w:eastAsia="宋体" w:cs="Times New Roman"/>
                <w:color w:val="auto"/>
                <w:kern w:val="0"/>
                <w:sz w:val="24"/>
                <w:szCs w:val="24"/>
                <w:lang w:val="en-US" w:eastAsia="zh-CN"/>
              </w:rPr>
              <w:t>m。</w:t>
            </w:r>
          </w:p>
          <w:p w14:paraId="16FFAA6E">
            <w:pPr>
              <w:keepLines w:val="0"/>
              <w:pageBreakBefore w:val="0"/>
              <w:kinsoku/>
              <w:wordWrap/>
              <w:topLinePunct w:val="0"/>
              <w:autoSpaceDE/>
              <w:autoSpaceDN/>
              <w:bidi w:val="0"/>
              <w:adjustRightInd w:val="0"/>
              <w:snapToGrid w:val="0"/>
              <w:spacing w:line="360" w:lineRule="auto"/>
              <w:ind w:left="0" w:leftChars="0" w:right="0" w:rightChars="0"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eastAsia="zh-CN"/>
              </w:rPr>
              <w:t>）室内声源等效室外声源声功率计算方法</w:t>
            </w:r>
          </w:p>
          <w:p w14:paraId="255EB75F">
            <w:pPr>
              <w:keepNext w:val="0"/>
              <w:keepLines w:val="0"/>
              <w:widowControl/>
              <w:suppressLineNumbers w:val="0"/>
              <w:spacing w:line="360" w:lineRule="auto"/>
              <w:ind w:firstLine="460"/>
              <w:jc w:val="left"/>
              <w:rPr>
                <w:rFonts w:hint="default" w:ascii="Times New Roman" w:hAnsi="Times New Roman" w:eastAsia="宋体" w:cs="Times New Roman"/>
                <w:i w:val="0"/>
                <w:iCs w:val="0"/>
                <w:color w:val="auto"/>
                <w:kern w:val="0"/>
                <w:sz w:val="24"/>
                <w:szCs w:val="24"/>
                <w:lang w:val="en-US" w:eastAsia="zh-CN" w:bidi="ar"/>
              </w:rPr>
            </w:pPr>
            <w:r>
              <w:rPr>
                <w:rFonts w:hint="eastAsia" w:ascii="Times New Roman" w:hAnsi="Times New Roman" w:eastAsia="宋体" w:cs="Times New Roman"/>
                <w:i w:val="0"/>
                <w:iCs w:val="0"/>
                <w:color w:val="auto"/>
                <w:kern w:val="0"/>
                <w:sz w:val="24"/>
                <w:szCs w:val="24"/>
                <w:lang w:val="en-US" w:eastAsia="zh-CN" w:bidi="ar"/>
              </w:rPr>
              <w:t>①若声源所在室内声场为近似扩散声场，则室外</w:t>
            </w:r>
            <w:r>
              <w:rPr>
                <w:rFonts w:hint="eastAsia" w:ascii="宋体" w:hAnsi="宋体" w:eastAsia="宋体" w:cs="宋体"/>
                <w:color w:val="auto"/>
                <w:kern w:val="0"/>
                <w:sz w:val="24"/>
                <w:szCs w:val="24"/>
                <w:lang w:val="en-US" w:eastAsia="zh-CN" w:bidi="ar"/>
              </w:rPr>
              <w:t>倍频带的声压级可按下式近似求出：</w:t>
            </w:r>
          </w:p>
          <w:p w14:paraId="37E98B90">
            <w:pPr>
              <w:keepNext w:val="0"/>
              <w:keepLines w:val="0"/>
              <w:widowControl/>
              <w:suppressLineNumbers w:val="0"/>
              <w:spacing w:line="360" w:lineRule="auto"/>
              <w:jc w:val="center"/>
              <w:rPr>
                <w:color w:val="auto"/>
              </w:rPr>
            </w:pPr>
            <w:r>
              <w:rPr>
                <w:rFonts w:hint="default" w:ascii="Times New Roman" w:hAnsi="Times New Roman" w:eastAsia="宋体" w:cs="Times New Roman"/>
                <w:i/>
                <w:iCs/>
                <w:color w:val="auto"/>
                <w:kern w:val="0"/>
                <w:sz w:val="23"/>
                <w:szCs w:val="23"/>
                <w:lang w:val="en-US" w:eastAsia="zh-CN" w:bidi="ar"/>
              </w:rPr>
              <w:t>L</w:t>
            </w:r>
            <w:r>
              <w:rPr>
                <w:rFonts w:hint="eastAsia" w:ascii="Times New Roman" w:hAnsi="Times New Roman" w:eastAsia="宋体" w:cs="Times New Roman"/>
                <w:i/>
                <w:iCs/>
                <w:color w:val="auto"/>
                <w:kern w:val="0"/>
                <w:sz w:val="23"/>
                <w:szCs w:val="23"/>
                <w:vertAlign w:val="subscript"/>
                <w:lang w:val="en-US" w:eastAsia="zh-CN" w:bidi="ar"/>
              </w:rPr>
              <w:t>p</w:t>
            </w:r>
            <w:r>
              <w:rPr>
                <w:rFonts w:hint="default" w:ascii="Times New Roman" w:hAnsi="Times New Roman" w:eastAsia="宋体" w:cs="Times New Roman"/>
                <w:color w:val="auto"/>
                <w:kern w:val="0"/>
                <w:sz w:val="13"/>
                <w:szCs w:val="13"/>
                <w:lang w:val="en-US" w:eastAsia="zh-CN" w:bidi="ar"/>
              </w:rPr>
              <w:t xml:space="preserve">2 </w:t>
            </w:r>
            <w:r>
              <w:rPr>
                <w:rFonts w:ascii="Symbol" w:hAnsi="Symbol" w:eastAsia="宋体" w:cs="Symbol"/>
                <w:color w:val="auto"/>
                <w:kern w:val="0"/>
                <w:sz w:val="23"/>
                <w:szCs w:val="23"/>
                <w:lang w:val="en-US" w:eastAsia="zh-CN" w:bidi="ar"/>
              </w:rPr>
              <w:t xml:space="preserve"> </w:t>
            </w:r>
            <w:r>
              <w:rPr>
                <w:rFonts w:hint="default" w:ascii="Times New Roman" w:hAnsi="Times New Roman" w:eastAsia="宋体" w:cs="Times New Roman"/>
                <w:i/>
                <w:iCs/>
                <w:color w:val="auto"/>
                <w:kern w:val="0"/>
                <w:sz w:val="23"/>
                <w:szCs w:val="23"/>
                <w:lang w:val="en-US" w:eastAsia="zh-CN" w:bidi="ar"/>
              </w:rPr>
              <w:t>L</w:t>
            </w:r>
            <w:r>
              <w:rPr>
                <w:rFonts w:hint="eastAsia" w:ascii="Times New Roman" w:hAnsi="Times New Roman" w:eastAsia="宋体" w:cs="Times New Roman"/>
                <w:i/>
                <w:iCs/>
                <w:color w:val="auto"/>
                <w:kern w:val="0"/>
                <w:sz w:val="23"/>
                <w:szCs w:val="23"/>
                <w:vertAlign w:val="subscript"/>
                <w:lang w:val="en-US" w:eastAsia="zh-CN" w:bidi="ar"/>
              </w:rPr>
              <w:t>p</w:t>
            </w:r>
            <w:r>
              <w:rPr>
                <w:rFonts w:hint="default" w:ascii="Times New Roman" w:hAnsi="Times New Roman" w:eastAsia="宋体" w:cs="Times New Roman"/>
                <w:color w:val="auto"/>
                <w:kern w:val="0"/>
                <w:sz w:val="13"/>
                <w:szCs w:val="13"/>
                <w:lang w:val="en-US" w:eastAsia="zh-CN" w:bidi="ar"/>
              </w:rPr>
              <w:t>1</w:t>
            </w:r>
            <w:r>
              <w:rPr>
                <w:rFonts w:hint="eastAsia" w:ascii="宋体" w:hAnsi="宋体" w:eastAsia="宋体" w:cs="宋体"/>
                <w:color w:val="auto"/>
                <w:kern w:val="0"/>
                <w:sz w:val="23"/>
                <w:szCs w:val="23"/>
                <w:lang w:val="en-US" w:eastAsia="zh-CN" w:bidi="ar"/>
              </w:rPr>
              <w:t>－（</w:t>
            </w:r>
            <w:r>
              <w:rPr>
                <w:rFonts w:hint="default" w:ascii="Times New Roman" w:hAnsi="Times New Roman" w:eastAsia="宋体" w:cs="Times New Roman"/>
                <w:i/>
                <w:iCs/>
                <w:color w:val="auto"/>
                <w:kern w:val="0"/>
                <w:sz w:val="23"/>
                <w:szCs w:val="23"/>
                <w:lang w:val="en-US" w:eastAsia="zh-CN" w:bidi="ar"/>
              </w:rPr>
              <w:t xml:space="preserve">TL </w:t>
            </w:r>
            <w:r>
              <w:rPr>
                <w:rFonts w:hint="default" w:ascii="Symbol" w:hAnsi="Symbol" w:eastAsia="宋体" w:cs="Symbol"/>
                <w:color w:val="auto"/>
                <w:kern w:val="0"/>
                <w:sz w:val="23"/>
                <w:szCs w:val="23"/>
                <w:lang w:val="en-US" w:eastAsia="zh-CN" w:bidi="ar"/>
              </w:rPr>
              <w:t xml:space="preserve"> </w:t>
            </w:r>
            <w:r>
              <w:rPr>
                <w:rFonts w:hint="default" w:ascii="Times New Roman" w:hAnsi="Times New Roman" w:eastAsia="宋体" w:cs="Times New Roman"/>
                <w:color w:val="auto"/>
                <w:kern w:val="0"/>
                <w:sz w:val="23"/>
                <w:szCs w:val="23"/>
                <w:lang w:val="en-US" w:eastAsia="zh-CN" w:bidi="ar"/>
              </w:rPr>
              <w:t>6</w:t>
            </w:r>
            <w:r>
              <w:rPr>
                <w:rFonts w:hint="eastAsia" w:ascii="宋体" w:hAnsi="宋体" w:eastAsia="宋体" w:cs="宋体"/>
                <w:color w:val="auto"/>
                <w:kern w:val="0"/>
                <w:sz w:val="23"/>
                <w:szCs w:val="23"/>
                <w:lang w:val="en-US" w:eastAsia="zh-CN" w:bidi="ar"/>
              </w:rPr>
              <w:t>）</w:t>
            </w:r>
          </w:p>
          <w:p w14:paraId="5FFEC3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15"/>
                <w:szCs w:val="15"/>
                <w:lang w:val="en-US" w:eastAsia="zh-CN" w:bidi="ar"/>
              </w:rPr>
              <w:t>p1</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靠近开口处（或窗户）室内某倍频带的声压级或</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p>
          <w:p w14:paraId="5CEEFDCB">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left"/>
              <w:textAlignment w:val="auto"/>
              <w:rPr>
                <w:color w:val="auto"/>
              </w:rPr>
            </w:pP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15"/>
                <w:szCs w:val="15"/>
                <w:lang w:val="en-US" w:eastAsia="zh-CN" w:bidi="ar"/>
              </w:rPr>
              <w:t>p2</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靠近开口处（或窗户）室外某倍频带的声压级或</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p>
          <w:p w14:paraId="060AFDD6">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left"/>
              <w:textAlignment w:val="auto"/>
              <w:rPr>
                <w:color w:val="auto"/>
              </w:rPr>
            </w:pPr>
            <w:r>
              <w:rPr>
                <w:rFonts w:hint="default" w:ascii="Times New Roman" w:hAnsi="Times New Roman" w:eastAsia="宋体" w:cs="Times New Roman"/>
                <w:color w:val="auto"/>
                <w:kern w:val="0"/>
                <w:sz w:val="24"/>
                <w:szCs w:val="24"/>
                <w:lang w:val="en-US" w:eastAsia="zh-CN" w:bidi="ar"/>
              </w:rPr>
              <w:t>TL—</w:t>
            </w:r>
            <w:r>
              <w:rPr>
                <w:rFonts w:hint="eastAsia" w:ascii="宋体" w:hAnsi="宋体" w:eastAsia="宋体" w:cs="宋体"/>
                <w:color w:val="auto"/>
                <w:kern w:val="0"/>
                <w:sz w:val="24"/>
                <w:szCs w:val="24"/>
                <w:lang w:val="en-US" w:eastAsia="zh-CN" w:bidi="ar"/>
              </w:rPr>
              <w:t>隔墙（或窗户）倍频带或</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声级的隔声量，</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p>
          <w:p w14:paraId="1F1D17E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也可按下式计算某一室内声源靠近围护结构处产生的倍频带声压级或</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p>
          <w:p w14:paraId="66FC9E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position w:val="-28"/>
                <w:sz w:val="24"/>
                <w:szCs w:val="24"/>
                <w:lang w:val="en-US" w:eastAsia="zh-CN" w:bidi="ar"/>
              </w:rPr>
              <w:object>
                <v:shape id="_x0000_i1032" o:spt="75" type="#_x0000_t75" style="height:34pt;width:134pt;" o:ole="t" filled="f" o:preferrelative="t" stroked="f" coordsize="21600,21600">
                  <v:path/>
                  <v:fill on="f" focussize="0,0"/>
                  <v:stroke on="f"/>
                  <v:imagedata r:id="rId29" o:title=""/>
                  <o:lock v:ext="edit" aspectratio="t"/>
                  <w10:wrap type="none"/>
                  <w10:anchorlock/>
                </v:shape>
                <o:OLEObject Type="Embed" ProgID="Equation.KSEE3" ShapeID="_x0000_i1032" DrawAspect="Content" ObjectID="_1468075732" r:id="rId28">
                  <o:LockedField>false</o:LockedField>
                </o:OLEObject>
              </w:object>
            </w:r>
          </w:p>
          <w:p w14:paraId="608EF9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15"/>
                <w:szCs w:val="15"/>
                <w:lang w:val="en-US" w:eastAsia="zh-CN" w:bidi="ar"/>
              </w:rPr>
              <w:t>p1</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靠近开口处（或窗户）室内某倍频带的声压级或</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p>
          <w:p w14:paraId="7348970A">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left"/>
              <w:textAlignment w:val="auto"/>
              <w:rPr>
                <w:color w:val="auto"/>
              </w:rPr>
            </w:pP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15"/>
                <w:szCs w:val="15"/>
                <w:lang w:val="en-US" w:eastAsia="zh-CN" w:bidi="ar"/>
              </w:rPr>
              <w:t>w</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点声源声功率级（</w:t>
            </w:r>
            <w:r>
              <w:rPr>
                <w:rFonts w:hint="default" w:ascii="Times New Roman" w:hAnsi="Times New Roman" w:eastAsia="宋体" w:cs="Times New Roman"/>
                <w:color w:val="auto"/>
                <w:kern w:val="0"/>
                <w:sz w:val="24"/>
                <w:szCs w:val="24"/>
                <w:lang w:val="en-US" w:eastAsia="zh-CN" w:bidi="ar"/>
              </w:rPr>
              <w:t xml:space="preserve">A </w:t>
            </w:r>
            <w:r>
              <w:rPr>
                <w:rFonts w:hint="eastAsia" w:ascii="宋体" w:hAnsi="宋体" w:eastAsia="宋体" w:cs="宋体"/>
                <w:color w:val="auto"/>
                <w:kern w:val="0"/>
                <w:sz w:val="24"/>
                <w:szCs w:val="24"/>
                <w:lang w:val="en-US" w:eastAsia="zh-CN" w:bidi="ar"/>
              </w:rPr>
              <w:t>计权或倍频带），</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p>
          <w:p w14:paraId="3957CC37">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left"/>
              <w:textAlignment w:val="auto"/>
              <w:rPr>
                <w:color w:val="auto"/>
              </w:rPr>
            </w:pPr>
            <w:r>
              <w:rPr>
                <w:rFonts w:hint="default" w:ascii="Times New Roman" w:hAnsi="Times New Roman" w:eastAsia="宋体" w:cs="Times New Roman"/>
                <w:color w:val="auto"/>
                <w:kern w:val="0"/>
                <w:sz w:val="24"/>
                <w:szCs w:val="24"/>
                <w:lang w:val="en-US" w:eastAsia="zh-CN" w:bidi="ar"/>
              </w:rPr>
              <w:t>Q—</w:t>
            </w:r>
            <w:r>
              <w:rPr>
                <w:rFonts w:hint="eastAsia" w:ascii="宋体" w:hAnsi="宋体" w:eastAsia="宋体" w:cs="宋体"/>
                <w:color w:val="auto"/>
                <w:kern w:val="0"/>
                <w:sz w:val="24"/>
                <w:szCs w:val="24"/>
                <w:lang w:val="en-US" w:eastAsia="zh-CN" w:bidi="ar"/>
              </w:rPr>
              <w:t xml:space="preserve">指向性因数；通常对无指向性声源，当声源放在房间中心时 </w:t>
            </w:r>
            <w:r>
              <w:rPr>
                <w:rFonts w:hint="default" w:ascii="Times New Roman" w:hAnsi="Times New Roman" w:eastAsia="宋体" w:cs="Times New Roman"/>
                <w:color w:val="auto"/>
                <w:kern w:val="0"/>
                <w:sz w:val="24"/>
                <w:szCs w:val="24"/>
                <w:lang w:val="en-US" w:eastAsia="zh-CN" w:bidi="ar"/>
              </w:rPr>
              <w:t>Q=1</w:t>
            </w:r>
            <w:r>
              <w:rPr>
                <w:rFonts w:hint="eastAsia" w:ascii="宋体" w:hAnsi="宋体" w:eastAsia="宋体" w:cs="宋体"/>
                <w:color w:val="auto"/>
                <w:kern w:val="0"/>
                <w:sz w:val="24"/>
                <w:szCs w:val="24"/>
                <w:lang w:val="en-US" w:eastAsia="zh-CN" w:bidi="ar"/>
              </w:rPr>
              <w:t>；当放在一面墙的中心时，</w:t>
            </w:r>
            <w:r>
              <w:rPr>
                <w:rFonts w:hint="default" w:ascii="Times New Roman" w:hAnsi="Times New Roman" w:eastAsia="宋体" w:cs="Times New Roman"/>
                <w:color w:val="auto"/>
                <w:kern w:val="0"/>
                <w:sz w:val="24"/>
                <w:szCs w:val="24"/>
                <w:lang w:val="en-US" w:eastAsia="zh-CN" w:bidi="ar"/>
              </w:rPr>
              <w:t>Q=2</w:t>
            </w:r>
            <w:r>
              <w:rPr>
                <w:rFonts w:hint="eastAsia" w:ascii="宋体" w:hAnsi="宋体" w:eastAsia="宋体" w:cs="宋体"/>
                <w:color w:val="auto"/>
                <w:kern w:val="0"/>
                <w:sz w:val="24"/>
                <w:szCs w:val="24"/>
                <w:lang w:val="en-US" w:eastAsia="zh-CN" w:bidi="ar"/>
              </w:rPr>
              <w:t>；当放在两面墙夹角处时，</w:t>
            </w:r>
            <w:r>
              <w:rPr>
                <w:rFonts w:hint="default" w:ascii="Times New Roman" w:hAnsi="Times New Roman" w:eastAsia="宋体" w:cs="Times New Roman"/>
                <w:color w:val="auto"/>
                <w:kern w:val="0"/>
                <w:sz w:val="24"/>
                <w:szCs w:val="24"/>
                <w:lang w:val="en-US" w:eastAsia="zh-CN" w:bidi="ar"/>
              </w:rPr>
              <w:t>Q=4</w:t>
            </w:r>
            <w:r>
              <w:rPr>
                <w:rFonts w:hint="eastAsia" w:ascii="宋体" w:hAnsi="宋体" w:eastAsia="宋体" w:cs="宋体"/>
                <w:color w:val="auto"/>
                <w:kern w:val="0"/>
                <w:sz w:val="24"/>
                <w:szCs w:val="24"/>
                <w:lang w:val="en-US" w:eastAsia="zh-CN" w:bidi="ar"/>
              </w:rPr>
              <w:t>；当放在三面墙夹角处时，</w:t>
            </w:r>
            <w:r>
              <w:rPr>
                <w:rFonts w:hint="default" w:ascii="Times New Roman" w:hAnsi="Times New Roman" w:eastAsia="宋体" w:cs="Times New Roman"/>
                <w:color w:val="auto"/>
                <w:kern w:val="0"/>
                <w:sz w:val="24"/>
                <w:szCs w:val="24"/>
                <w:lang w:val="en-US" w:eastAsia="zh-CN" w:bidi="ar"/>
              </w:rPr>
              <w:t>Q=8</w:t>
            </w:r>
            <w:r>
              <w:rPr>
                <w:rFonts w:hint="eastAsia" w:ascii="宋体" w:hAnsi="宋体" w:eastAsia="宋体" w:cs="宋体"/>
                <w:color w:val="auto"/>
                <w:kern w:val="0"/>
                <w:sz w:val="24"/>
                <w:szCs w:val="24"/>
                <w:lang w:val="en-US" w:eastAsia="zh-CN" w:bidi="ar"/>
              </w:rPr>
              <w:t>；</w:t>
            </w:r>
          </w:p>
          <w:p w14:paraId="79DD0202">
            <w:pPr>
              <w:keepLines w:val="0"/>
              <w:pageBreakBefore w:val="0"/>
              <w:kinsoku/>
              <w:wordWrap/>
              <w:topLinePunct w:val="0"/>
              <w:autoSpaceDE/>
              <w:autoSpaceDN/>
              <w:bidi w:val="0"/>
              <w:adjustRightInd w:val="0"/>
              <w:snapToGrid w:val="0"/>
              <w:spacing w:line="360" w:lineRule="auto"/>
              <w:ind w:left="0" w:leftChars="0" w:right="0" w:rightChars="0" w:firstLine="960" w:firstLineChars="4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R—房间常数，R=Sα/</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1-α</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，S 为房间内表面面积，m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；α为平均吸声系数；</w:t>
            </w:r>
          </w:p>
          <w:p w14:paraId="0CCD29C0">
            <w:pPr>
              <w:keepLines w:val="0"/>
              <w:pageBreakBefore w:val="0"/>
              <w:kinsoku/>
              <w:wordWrap/>
              <w:topLinePunct w:val="0"/>
              <w:autoSpaceDE/>
              <w:autoSpaceDN/>
              <w:bidi w:val="0"/>
              <w:adjustRightInd w:val="0"/>
              <w:snapToGrid w:val="0"/>
              <w:spacing w:line="360" w:lineRule="auto"/>
              <w:ind w:left="0" w:leftChars="0" w:right="0" w:rightChars="0" w:firstLine="960" w:firstLineChars="4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r—声源到靠近围护结构某点处的距离，m。</w:t>
            </w:r>
          </w:p>
          <w:p w14:paraId="2B9DD4A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计算出所有室内声源在靠近围护结构处产生的总声压级：</w:t>
            </w:r>
          </w:p>
          <w:p w14:paraId="5D4DEFCF">
            <w:pPr>
              <w:keepNext w:val="0"/>
              <w:keepLines w:val="0"/>
              <w:widowControl/>
              <w:suppressLineNumbers w:val="0"/>
              <w:spacing w:line="360" w:lineRule="auto"/>
              <w:ind w:firstLine="480" w:firstLineChars="20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position w:val="-32"/>
                <w:sz w:val="24"/>
                <w:szCs w:val="24"/>
                <w:lang w:val="en-US" w:eastAsia="zh-CN" w:bidi="ar"/>
              </w:rPr>
              <w:object>
                <v:shape id="_x0000_i1033" o:spt="75" type="#_x0000_t75" style="height:36pt;width:120.2pt;" o:ole="t" filled="f" o:preferrelative="t" stroked="f" coordsize="21600,21600">
                  <v:path/>
                  <v:fill on="f" focussize="0,0"/>
                  <v:stroke on="f"/>
                  <v:imagedata r:id="rId31" o:title=""/>
                  <o:lock v:ext="edit" aspectratio="t"/>
                  <w10:wrap type="none"/>
                  <w10:anchorlock/>
                </v:shape>
                <o:OLEObject Type="Embed" ProgID="Equation.KSEE3" ShapeID="_x0000_i1033" DrawAspect="Content" ObjectID="_1468075733" r:id="rId30">
                  <o:LockedField>false</o:LockedField>
                </o:OLEObject>
              </w:object>
            </w:r>
          </w:p>
          <w:p w14:paraId="1B23219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式中：L</w:t>
            </w:r>
            <w:r>
              <w:rPr>
                <w:rFonts w:hint="default" w:ascii="Times New Roman" w:hAnsi="Times New Roman" w:eastAsia="宋体" w:cs="Times New Roman"/>
                <w:color w:val="auto"/>
                <w:kern w:val="0"/>
                <w:sz w:val="24"/>
                <w:szCs w:val="24"/>
                <w:vertAlign w:val="subscript"/>
                <w:lang w:val="en-US" w:eastAsia="zh-CN" w:bidi="ar"/>
              </w:rPr>
              <w:t>Plj</w:t>
            </w:r>
            <w:r>
              <w:rPr>
                <w:rFonts w:hint="default" w:ascii="Times New Roman" w:hAnsi="Times New Roman" w:eastAsia="宋体" w:cs="Times New Roman"/>
                <w:color w:val="auto"/>
                <w:kern w:val="0"/>
                <w:sz w:val="24"/>
                <w:szCs w:val="24"/>
                <w:lang w:val="en-US" w:eastAsia="zh-CN" w:bidi="ar"/>
              </w:rPr>
              <w:t>—j 声源的声压级，dB；</w:t>
            </w:r>
          </w:p>
          <w:p w14:paraId="3AE08052">
            <w:pPr>
              <w:keepNext w:val="0"/>
              <w:keepLines w:val="0"/>
              <w:widowControl/>
              <w:suppressLineNumbers w:val="0"/>
              <w:spacing w:line="360" w:lineRule="auto"/>
              <w:ind w:firstLine="1200" w:firstLineChars="5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N—室内声源总数。</w:t>
            </w:r>
          </w:p>
          <w:p w14:paraId="23F2B5C3">
            <w:pPr>
              <w:keepNext w:val="0"/>
              <w:keepLines w:val="0"/>
              <w:widowControl/>
              <w:suppressLineNumbers w:val="0"/>
              <w:spacing w:line="360" w:lineRule="auto"/>
              <w:ind w:firstLine="1200" w:firstLineChars="5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24"/>
                <w:szCs w:val="24"/>
                <w:vertAlign w:val="subscript"/>
                <w:lang w:val="en-US" w:eastAsia="zh-CN" w:bidi="ar"/>
              </w:rPr>
              <w:t>p1</w:t>
            </w:r>
            <w:r>
              <w:rPr>
                <w:rFonts w:hint="default" w:ascii="Times New Roman" w:hAnsi="Times New Roman" w:eastAsia="宋体" w:cs="Times New Roman"/>
                <w:color w:val="auto"/>
                <w:kern w:val="0"/>
                <w:sz w:val="24"/>
                <w:szCs w:val="24"/>
                <w:lang w:val="en-US" w:eastAsia="zh-CN" w:bidi="ar"/>
              </w:rPr>
              <w:t>（T）—靠近围护结构处室内N个声源的叠加声压级，dB；</w:t>
            </w:r>
          </w:p>
          <w:p w14:paraId="2FB1A2B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计算出靠近室外围护结构处的声压级：</w:t>
            </w:r>
          </w:p>
          <w:p w14:paraId="68D2E040">
            <w:pPr>
              <w:keepNext w:val="0"/>
              <w:keepLines w:val="0"/>
              <w:widowControl/>
              <w:suppressLineNumbers w:val="0"/>
              <w:spacing w:line="360" w:lineRule="auto"/>
              <w:ind w:firstLine="480" w:firstLineChars="200"/>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24"/>
                <w:szCs w:val="24"/>
                <w:vertAlign w:val="subscript"/>
                <w:lang w:val="en-US" w:eastAsia="zh-CN" w:bidi="ar"/>
              </w:rPr>
              <w:t>p2</w:t>
            </w:r>
            <w:r>
              <w:rPr>
                <w:rFonts w:hint="default" w:ascii="Times New Roman" w:hAnsi="Times New Roman" w:eastAsia="宋体" w:cs="Times New Roman"/>
                <w:color w:val="auto"/>
                <w:kern w:val="0"/>
                <w:sz w:val="24"/>
                <w:szCs w:val="24"/>
                <w:lang w:val="en-US" w:eastAsia="zh-CN" w:bidi="ar"/>
              </w:rPr>
              <w:t>（T）=L</w:t>
            </w:r>
            <w:r>
              <w:rPr>
                <w:rFonts w:hint="default" w:ascii="Times New Roman" w:hAnsi="Times New Roman" w:eastAsia="宋体" w:cs="Times New Roman"/>
                <w:color w:val="auto"/>
                <w:kern w:val="0"/>
                <w:sz w:val="24"/>
                <w:szCs w:val="24"/>
                <w:vertAlign w:val="subscript"/>
                <w:lang w:val="en-US" w:eastAsia="zh-CN" w:bidi="ar"/>
              </w:rPr>
              <w:t>P1</w:t>
            </w:r>
            <w:r>
              <w:rPr>
                <w:rFonts w:hint="default" w:ascii="Times New Roman" w:hAnsi="Times New Roman" w:eastAsia="宋体" w:cs="Times New Roman"/>
                <w:color w:val="auto"/>
                <w:kern w:val="0"/>
                <w:sz w:val="24"/>
                <w:szCs w:val="24"/>
                <w:lang w:val="en-US" w:eastAsia="zh-CN" w:bidi="ar"/>
              </w:rPr>
              <w:t>（T）-（TL+6）</w:t>
            </w:r>
          </w:p>
          <w:p w14:paraId="500B7F8C">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式中：L</w:t>
            </w:r>
            <w:r>
              <w:rPr>
                <w:rFonts w:hint="default" w:ascii="Times New Roman" w:hAnsi="Times New Roman" w:eastAsia="宋体" w:cs="Times New Roman"/>
                <w:color w:val="auto"/>
                <w:kern w:val="0"/>
                <w:sz w:val="24"/>
                <w:szCs w:val="24"/>
                <w:vertAlign w:val="subscript"/>
                <w:lang w:val="en-US" w:eastAsia="zh-CN" w:bidi="ar"/>
              </w:rPr>
              <w:t>p2</w:t>
            </w:r>
            <w:r>
              <w:rPr>
                <w:rFonts w:hint="default" w:ascii="Times New Roman" w:hAnsi="Times New Roman" w:eastAsia="宋体" w:cs="Times New Roman"/>
                <w:color w:val="auto"/>
                <w:kern w:val="0"/>
                <w:sz w:val="24"/>
                <w:szCs w:val="24"/>
                <w:lang w:val="en-US" w:eastAsia="zh-CN" w:bidi="ar"/>
              </w:rPr>
              <w:t>（T）—靠近围护结构处室外N个声源的叠加声压级，dB（A）；</w:t>
            </w:r>
          </w:p>
          <w:p w14:paraId="19CF78EC">
            <w:pPr>
              <w:keepNext w:val="0"/>
              <w:keepLines w:val="0"/>
              <w:widowControl/>
              <w:suppressLineNumbers w:val="0"/>
              <w:spacing w:line="360" w:lineRule="auto"/>
              <w:ind w:firstLine="1200" w:firstLineChars="5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TL—围护结构的隔声量，dB（A）。</w:t>
            </w:r>
          </w:p>
          <w:p w14:paraId="2CD371F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②将室外声级 Lp</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（T）和透声面积换算成等效的室外声源，计算出中心位置位于透声面积（S）处的等效声源的声功率级L</w:t>
            </w:r>
            <w:r>
              <w:rPr>
                <w:rFonts w:hint="default" w:ascii="Times New Roman" w:hAnsi="Times New Roman" w:eastAsia="宋体" w:cs="Times New Roman"/>
                <w:color w:val="auto"/>
                <w:kern w:val="0"/>
                <w:sz w:val="24"/>
                <w:szCs w:val="24"/>
                <w:vertAlign w:val="subscript"/>
                <w:lang w:val="en-US" w:eastAsia="zh-CN" w:bidi="ar"/>
              </w:rPr>
              <w:t>W</w:t>
            </w:r>
            <w:r>
              <w:rPr>
                <w:rFonts w:hint="default" w:ascii="Times New Roman" w:hAnsi="Times New Roman" w:eastAsia="宋体" w:cs="Times New Roman"/>
                <w:color w:val="auto"/>
                <w:kern w:val="0"/>
                <w:sz w:val="24"/>
                <w:szCs w:val="24"/>
                <w:lang w:val="en-US" w:eastAsia="zh-CN" w:bidi="ar"/>
              </w:rPr>
              <w:t>。</w:t>
            </w:r>
          </w:p>
          <w:p w14:paraId="58139B29">
            <w:pPr>
              <w:keepNext w:val="0"/>
              <w:keepLines w:val="0"/>
              <w:widowControl/>
              <w:suppressLineNumbers w:val="0"/>
              <w:spacing w:line="360" w:lineRule="auto"/>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position w:val="-14"/>
                <w:sz w:val="24"/>
                <w:szCs w:val="24"/>
                <w:lang w:val="en-US" w:eastAsia="zh-CN" w:bidi="ar"/>
              </w:rPr>
              <w:object>
                <v:shape id="_x0000_i1034" o:spt="75" type="#_x0000_t75" style="height:19pt;width:101pt;" o:ole="t" filled="f" o:preferrelative="t" stroked="f" coordsize="21600,21600">
                  <v:path/>
                  <v:fill on="f" focussize="0,0"/>
                  <v:stroke on="f"/>
                  <v:imagedata r:id="rId33" o:title=""/>
                  <o:lock v:ext="edit" aspectratio="t"/>
                  <w10:wrap type="none"/>
                  <w10:anchorlock/>
                </v:shape>
                <o:OLEObject Type="Embed" ProgID="Equation.KSEE3" ShapeID="_x0000_i1034" DrawAspect="Content" ObjectID="_1468075734" r:id="rId32">
                  <o:LockedField>false</o:LockedField>
                </o:OLEObject>
              </w:object>
            </w:r>
          </w:p>
          <w:p w14:paraId="7EBFE29A">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式中：</w:t>
            </w:r>
          </w:p>
          <w:p w14:paraId="1A5F76C0">
            <w:pPr>
              <w:keepNext w:val="0"/>
              <w:keepLines w:val="0"/>
              <w:widowControl/>
              <w:suppressLineNumbers w:val="0"/>
              <w:spacing w:line="360" w:lineRule="auto"/>
              <w:jc w:val="left"/>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        L</w:t>
            </w:r>
            <w:r>
              <w:rPr>
                <w:rFonts w:hint="eastAsia" w:ascii="Times New Roman" w:hAnsi="Times New Roman" w:eastAsia="宋体" w:cs="Times New Roman"/>
                <w:color w:val="auto"/>
                <w:kern w:val="0"/>
                <w:sz w:val="24"/>
                <w:szCs w:val="24"/>
                <w:vertAlign w:val="subscript"/>
                <w:lang w:val="en-US" w:eastAsia="zh-CN" w:bidi="ar"/>
              </w:rPr>
              <w:t>w</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中心位置位于</w:t>
            </w:r>
            <w:r>
              <w:rPr>
                <w:rFonts w:hint="default" w:ascii="Times New Roman" w:hAnsi="Times New Roman" w:eastAsia="宋体" w:cs="Times New Roman"/>
                <w:color w:val="auto"/>
                <w:kern w:val="0"/>
                <w:sz w:val="24"/>
                <w:szCs w:val="24"/>
                <w:lang w:val="en-US" w:eastAsia="zh-CN" w:bidi="ar"/>
              </w:rPr>
              <w:t>透声面积</w:t>
            </w:r>
            <w:r>
              <w:rPr>
                <w:rFonts w:hint="eastAsia" w:ascii="Times New Roman" w:hAnsi="Times New Roman" w:eastAsia="宋体" w:cs="Times New Roman"/>
                <w:color w:val="auto"/>
                <w:kern w:val="0"/>
                <w:sz w:val="24"/>
                <w:szCs w:val="24"/>
                <w:lang w:val="en-US" w:eastAsia="zh-CN" w:bidi="ar"/>
              </w:rPr>
              <w:t>S处的</w:t>
            </w:r>
            <w:r>
              <w:rPr>
                <w:rFonts w:hint="default" w:ascii="Times New Roman" w:hAnsi="Times New Roman" w:eastAsia="宋体" w:cs="Times New Roman"/>
                <w:color w:val="auto"/>
                <w:kern w:val="0"/>
                <w:sz w:val="24"/>
                <w:szCs w:val="24"/>
                <w:lang w:val="en-US" w:eastAsia="zh-CN" w:bidi="ar"/>
              </w:rPr>
              <w:t>等效声源的声功率级</w:t>
            </w:r>
            <w:r>
              <w:rPr>
                <w:rFonts w:hint="eastAsia" w:ascii="Times New Roman" w:hAnsi="Times New Roman" w:eastAsia="宋体" w:cs="Times New Roman"/>
                <w:color w:val="auto"/>
                <w:kern w:val="0"/>
                <w:sz w:val="24"/>
                <w:szCs w:val="24"/>
                <w:lang w:val="en-US" w:eastAsia="zh-CN" w:bidi="ar"/>
              </w:rPr>
              <w:t>；</w:t>
            </w:r>
          </w:p>
          <w:p w14:paraId="0D90E9F7">
            <w:pPr>
              <w:keepNext w:val="0"/>
              <w:keepLines w:val="0"/>
              <w:widowControl/>
              <w:suppressLineNumbers w:val="0"/>
              <w:spacing w:line="360" w:lineRule="auto"/>
              <w:jc w:val="left"/>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color w:val="auto"/>
                <w:kern w:val="0"/>
                <w:sz w:val="24"/>
                <w:szCs w:val="24"/>
                <w:lang w:val="en-US" w:eastAsia="zh-CN" w:bidi="ar"/>
              </w:rPr>
              <w:t xml:space="preserve">        L</w:t>
            </w:r>
            <w:r>
              <w:rPr>
                <w:rFonts w:hint="eastAsia" w:ascii="Times New Roman" w:hAnsi="Times New Roman" w:eastAsia="宋体" w:cs="Times New Roman"/>
                <w:color w:val="auto"/>
                <w:kern w:val="0"/>
                <w:sz w:val="24"/>
                <w:szCs w:val="24"/>
                <w:vertAlign w:val="subscript"/>
                <w:lang w:val="en-US" w:eastAsia="zh-CN" w:bidi="ar"/>
              </w:rPr>
              <w:t>p2</w:t>
            </w:r>
            <w:r>
              <w:rPr>
                <w:rFonts w:hint="eastAsia" w:ascii="Times New Roman" w:hAnsi="Times New Roman" w:eastAsia="宋体" w:cs="Times New Roman"/>
                <w:color w:val="auto"/>
                <w:kern w:val="0"/>
                <w:sz w:val="24"/>
                <w:szCs w:val="24"/>
                <w:vertAlign w:val="baseline"/>
                <w:lang w:val="en-US" w:eastAsia="zh-CN" w:bidi="ar"/>
              </w:rPr>
              <w:t>（T）</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靠近围护结构处声源的声压级；</w:t>
            </w:r>
          </w:p>
          <w:p w14:paraId="5851134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等效室外声源的位置为围护结构的位置，其声功率级为LW，由此按室外声源方法计算等效室外声源在预测点产生的A声级。</w:t>
            </w:r>
          </w:p>
          <w:p w14:paraId="4A29B88D">
            <w:pPr>
              <w:keepLines w:val="0"/>
              <w:pageBreakBefore w:val="0"/>
              <w:numPr>
                <w:ilvl w:val="0"/>
                <w:numId w:val="0"/>
              </w:numPr>
              <w:kinsoku/>
              <w:wordWrap/>
              <w:topLinePunct w:val="0"/>
              <w:autoSpaceDE/>
              <w:autoSpaceDN/>
              <w:bidi w:val="0"/>
              <w:adjustRightInd w:val="0"/>
              <w:snapToGrid w:val="0"/>
              <w:spacing w:line="360" w:lineRule="auto"/>
              <w:ind w:left="420" w:leftChars="0" w:right="0" w:rightChars="0" w:firstLine="0" w:firstLineChars="0"/>
              <w:rPr>
                <w:rFonts w:hint="default" w:ascii="Times New Roman" w:hAnsi="Times New Roman" w:eastAsia="宋体" w:cs="Times New Roman"/>
                <w:b w:val="0"/>
                <w:bCs w:val="0"/>
                <w:color w:val="auto"/>
                <w:kern w:val="0"/>
                <w:sz w:val="24"/>
                <w:szCs w:val="24"/>
                <w:lang w:eastAsia="zh-CN"/>
              </w:rPr>
            </w:pPr>
            <w:r>
              <w:rPr>
                <w:rFonts w:hint="default" w:ascii="Times New Roman" w:hAnsi="Times New Roman" w:eastAsia="宋体" w:cs="Times New Roman"/>
                <w:b w:val="0"/>
                <w:bCs w:val="0"/>
                <w:color w:val="auto"/>
                <w:kern w:val="0"/>
                <w:sz w:val="24"/>
                <w:szCs w:val="24"/>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3</w:t>
            </w:r>
            <w:r>
              <w:rPr>
                <w:rFonts w:hint="default" w:ascii="Times New Roman" w:hAnsi="Times New Roman" w:eastAsia="宋体" w:cs="Times New Roman"/>
                <w:b w:val="0"/>
                <w:bCs w:val="0"/>
                <w:color w:val="auto"/>
                <w:kern w:val="0"/>
                <w:sz w:val="24"/>
                <w:szCs w:val="24"/>
                <w:lang w:val="en-US" w:eastAsia="zh-CN" w:bidi="ar-SA"/>
              </w:rPr>
              <w:t>）</w:t>
            </w:r>
            <w:r>
              <w:rPr>
                <w:rFonts w:hint="default" w:ascii="Times New Roman" w:hAnsi="Times New Roman" w:eastAsia="宋体" w:cs="Times New Roman"/>
                <w:b w:val="0"/>
                <w:bCs w:val="0"/>
                <w:color w:val="auto"/>
                <w:kern w:val="0"/>
                <w:sz w:val="24"/>
                <w:szCs w:val="24"/>
                <w:lang w:eastAsia="zh-CN"/>
              </w:rPr>
              <w:t>总声压级</w:t>
            </w:r>
          </w:p>
          <w:p w14:paraId="7D5BEA66">
            <w:pPr>
              <w:keepLines w:val="0"/>
              <w:pageBreakBefore w:val="0"/>
              <w:kinsoku/>
              <w:wordWrap/>
              <w:topLinePunct w:val="0"/>
              <w:autoSpaceDE/>
              <w:autoSpaceDN/>
              <w:bidi w:val="0"/>
              <w:adjustRightInd w:val="0"/>
              <w:snapToGrid w:val="0"/>
              <w:spacing w:line="360" w:lineRule="auto"/>
              <w:ind w:left="0" w:leftChars="0" w:right="0" w:rightChars="0" w:firstLine="480" w:firstLineChars="200"/>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position w:val="-34"/>
                <w:sz w:val="24"/>
                <w:szCs w:val="24"/>
                <w:lang w:eastAsia="zh-CN"/>
              </w:rPr>
              <w:object>
                <v:shape id="_x0000_i1035" o:spt="75" type="#_x0000_t75" style="height:40pt;width:203pt;" o:ole="t" filled="f" o:preferrelative="t" stroked="f" coordsize="21600,21600">
                  <v:path/>
                  <v:fill on="f" focussize="0,0"/>
                  <v:stroke on="f"/>
                  <v:imagedata r:id="rId35" o:title=""/>
                  <o:lock v:ext="edit" aspectratio="t"/>
                  <w10:wrap type="none"/>
                  <w10:anchorlock/>
                </v:shape>
                <o:OLEObject Type="Embed" ProgID="Equation.KSEE3" ShapeID="_x0000_i1035" DrawAspect="Content" ObjectID="_1468075735" r:id="rId34">
                  <o:LockedField>false</o:LockedField>
                </o:OLEObject>
              </w:object>
            </w:r>
          </w:p>
          <w:p w14:paraId="34EDD253">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15"/>
                <w:szCs w:val="15"/>
                <w:lang w:val="en-US" w:eastAsia="zh-CN" w:bidi="ar"/>
              </w:rPr>
              <w:t>eqg</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建设项目声源在预测点产生的噪声贡献值，</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p>
          <w:p w14:paraId="6F239791">
            <w:pPr>
              <w:keepNext w:val="0"/>
              <w:keepLines w:val="0"/>
              <w:widowControl/>
              <w:suppressLineNumbers w:val="0"/>
              <w:spacing w:line="360" w:lineRule="auto"/>
              <w:ind w:firstLine="1200" w:firstLineChars="500"/>
              <w:jc w:val="left"/>
              <w:rPr>
                <w:color w:val="auto"/>
              </w:rPr>
            </w:pPr>
            <w:r>
              <w:rPr>
                <w:rFonts w:hint="default" w:ascii="Times New Roman" w:hAnsi="Times New Roman" w:eastAsia="宋体" w:cs="Times New Roman"/>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用于计算等效声级的时间，</w:t>
            </w:r>
            <w:r>
              <w:rPr>
                <w:rFonts w:hint="default" w:ascii="Times New Roman" w:hAnsi="Times New Roman" w:eastAsia="宋体" w:cs="Times New Roman"/>
                <w:color w:val="auto"/>
                <w:kern w:val="0"/>
                <w:sz w:val="24"/>
                <w:szCs w:val="24"/>
                <w:lang w:val="en-US" w:eastAsia="zh-CN" w:bidi="ar"/>
              </w:rPr>
              <w:t>s</w:t>
            </w:r>
            <w:r>
              <w:rPr>
                <w:rFonts w:hint="eastAsia" w:ascii="宋体" w:hAnsi="宋体" w:eastAsia="宋体" w:cs="宋体"/>
                <w:color w:val="auto"/>
                <w:kern w:val="0"/>
                <w:sz w:val="24"/>
                <w:szCs w:val="24"/>
                <w:lang w:val="en-US" w:eastAsia="zh-CN" w:bidi="ar"/>
              </w:rPr>
              <w:t>；</w:t>
            </w:r>
          </w:p>
          <w:p w14:paraId="0D3B97A5">
            <w:pPr>
              <w:keepNext w:val="0"/>
              <w:keepLines w:val="0"/>
              <w:widowControl/>
              <w:suppressLineNumbers w:val="0"/>
              <w:spacing w:line="360" w:lineRule="auto"/>
              <w:ind w:firstLine="1200" w:firstLineChars="500"/>
              <w:jc w:val="left"/>
              <w:rPr>
                <w:color w:val="auto"/>
              </w:rPr>
            </w:pPr>
            <w:r>
              <w:rPr>
                <w:rFonts w:hint="default" w:ascii="Times New Roman" w:hAnsi="Times New Roman" w:eastAsia="宋体" w:cs="Times New Roman"/>
                <w:color w:val="auto"/>
                <w:kern w:val="0"/>
                <w:sz w:val="24"/>
                <w:szCs w:val="24"/>
                <w:lang w:val="en-US" w:eastAsia="zh-CN" w:bidi="ar"/>
              </w:rPr>
              <w:t>N—</w:t>
            </w:r>
            <w:r>
              <w:rPr>
                <w:rFonts w:hint="eastAsia" w:ascii="宋体" w:hAnsi="宋体" w:eastAsia="宋体" w:cs="宋体"/>
                <w:color w:val="auto"/>
                <w:kern w:val="0"/>
                <w:sz w:val="24"/>
                <w:szCs w:val="24"/>
                <w:lang w:val="en-US" w:eastAsia="zh-CN" w:bidi="ar"/>
              </w:rPr>
              <w:t>室外声源个数；</w:t>
            </w:r>
          </w:p>
          <w:p w14:paraId="6E83AB75">
            <w:pPr>
              <w:keepNext w:val="0"/>
              <w:keepLines w:val="0"/>
              <w:widowControl/>
              <w:suppressLineNumbers w:val="0"/>
              <w:spacing w:line="360" w:lineRule="auto"/>
              <w:ind w:firstLine="1200" w:firstLineChars="500"/>
              <w:jc w:val="left"/>
              <w:rPr>
                <w:color w:val="auto"/>
              </w:rPr>
            </w:pPr>
            <w:r>
              <w:rPr>
                <w:rFonts w:hint="default" w:ascii="Times New Roman" w:hAnsi="Times New Roman" w:eastAsia="宋体" w:cs="Times New Roman"/>
                <w:color w:val="auto"/>
                <w:kern w:val="0"/>
                <w:sz w:val="24"/>
                <w:szCs w:val="24"/>
                <w:lang w:val="en-US" w:eastAsia="zh-CN" w:bidi="ar"/>
              </w:rPr>
              <w:t>t</w:t>
            </w:r>
            <w:r>
              <w:rPr>
                <w:rFonts w:hint="default" w:ascii="Times New Roman" w:hAnsi="Times New Roman" w:eastAsia="宋体" w:cs="Times New Roman"/>
                <w:color w:val="auto"/>
                <w:kern w:val="0"/>
                <w:sz w:val="15"/>
                <w:szCs w:val="15"/>
                <w:lang w:val="en-US" w:eastAsia="zh-CN" w:bidi="ar"/>
              </w:rPr>
              <w:t>i</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在</w:t>
            </w:r>
            <w:r>
              <w:rPr>
                <w:rFonts w:hint="default" w:ascii="Times New Roman" w:hAnsi="Times New Roman" w:eastAsia="宋体" w:cs="Times New Roman"/>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时间内</w:t>
            </w:r>
            <w:r>
              <w:rPr>
                <w:rFonts w:hint="default" w:ascii="Times New Roman" w:hAnsi="Times New Roman" w:eastAsia="宋体" w:cs="Times New Roman"/>
                <w:color w:val="auto"/>
                <w:kern w:val="0"/>
                <w:sz w:val="24"/>
                <w:szCs w:val="24"/>
                <w:lang w:val="en-US" w:eastAsia="zh-CN" w:bidi="ar"/>
              </w:rPr>
              <w:t>i</w:t>
            </w:r>
            <w:r>
              <w:rPr>
                <w:rFonts w:hint="eastAsia" w:ascii="宋体" w:hAnsi="宋体" w:eastAsia="宋体" w:cs="宋体"/>
                <w:color w:val="auto"/>
                <w:kern w:val="0"/>
                <w:sz w:val="24"/>
                <w:szCs w:val="24"/>
                <w:lang w:val="en-US" w:eastAsia="zh-CN" w:bidi="ar"/>
              </w:rPr>
              <w:t>声源工作时间，</w:t>
            </w:r>
            <w:r>
              <w:rPr>
                <w:rFonts w:hint="default" w:ascii="Times New Roman" w:hAnsi="Times New Roman" w:eastAsia="宋体" w:cs="Times New Roman"/>
                <w:color w:val="auto"/>
                <w:kern w:val="0"/>
                <w:sz w:val="24"/>
                <w:szCs w:val="24"/>
                <w:lang w:val="en-US" w:eastAsia="zh-CN" w:bidi="ar"/>
              </w:rPr>
              <w:t>s</w:t>
            </w:r>
            <w:r>
              <w:rPr>
                <w:rFonts w:hint="eastAsia" w:ascii="宋体" w:hAnsi="宋体" w:eastAsia="宋体" w:cs="宋体"/>
                <w:color w:val="auto"/>
                <w:kern w:val="0"/>
                <w:sz w:val="24"/>
                <w:szCs w:val="24"/>
                <w:lang w:val="en-US" w:eastAsia="zh-CN" w:bidi="ar"/>
              </w:rPr>
              <w:t>；</w:t>
            </w:r>
          </w:p>
          <w:p w14:paraId="2E89695E">
            <w:pPr>
              <w:keepNext w:val="0"/>
              <w:keepLines w:val="0"/>
              <w:widowControl/>
              <w:suppressLineNumbers w:val="0"/>
              <w:spacing w:line="360" w:lineRule="auto"/>
              <w:ind w:firstLine="1200" w:firstLineChars="500"/>
              <w:jc w:val="left"/>
              <w:rPr>
                <w:color w:val="auto"/>
              </w:rPr>
            </w:pPr>
            <w:r>
              <w:rPr>
                <w:rFonts w:hint="default" w:ascii="Times New Roman" w:hAnsi="Times New Roman" w:eastAsia="宋体" w:cs="Times New Roman"/>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等效声源个数；</w:t>
            </w:r>
          </w:p>
          <w:p w14:paraId="6D5D663A">
            <w:pPr>
              <w:keepNext w:val="0"/>
              <w:keepLines w:val="0"/>
              <w:widowControl/>
              <w:suppressLineNumbers w:val="0"/>
              <w:spacing w:line="360" w:lineRule="auto"/>
              <w:ind w:firstLine="1200" w:firstLineChars="5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t</w:t>
            </w:r>
            <w:r>
              <w:rPr>
                <w:rFonts w:hint="default" w:ascii="Times New Roman" w:hAnsi="Times New Roman" w:eastAsia="宋体" w:cs="Times New Roman"/>
                <w:color w:val="auto"/>
                <w:kern w:val="0"/>
                <w:sz w:val="15"/>
                <w:szCs w:val="15"/>
                <w:lang w:val="en-US" w:eastAsia="zh-CN" w:bidi="ar"/>
              </w:rPr>
              <w:t>j</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在 </w:t>
            </w:r>
            <w:r>
              <w:rPr>
                <w:rFonts w:hint="default" w:ascii="Times New Roman" w:hAnsi="Times New Roman" w:eastAsia="宋体" w:cs="Times New Roman"/>
                <w:color w:val="auto"/>
                <w:kern w:val="0"/>
                <w:sz w:val="24"/>
                <w:szCs w:val="24"/>
                <w:lang w:val="en-US" w:eastAsia="zh-CN" w:bidi="ar"/>
              </w:rPr>
              <w:t xml:space="preserve">T </w:t>
            </w:r>
            <w:r>
              <w:rPr>
                <w:rFonts w:hint="eastAsia" w:ascii="宋体" w:hAnsi="宋体" w:eastAsia="宋体" w:cs="宋体"/>
                <w:color w:val="auto"/>
                <w:kern w:val="0"/>
                <w:sz w:val="24"/>
                <w:szCs w:val="24"/>
                <w:lang w:val="en-US" w:eastAsia="zh-CN" w:bidi="ar"/>
              </w:rPr>
              <w:t xml:space="preserve">时间内 </w:t>
            </w:r>
            <w:r>
              <w:rPr>
                <w:rFonts w:hint="default" w:ascii="Times New Roman" w:hAnsi="Times New Roman" w:eastAsia="宋体" w:cs="Times New Roman"/>
                <w:color w:val="auto"/>
                <w:kern w:val="0"/>
                <w:sz w:val="24"/>
                <w:szCs w:val="24"/>
                <w:lang w:val="en-US" w:eastAsia="zh-CN" w:bidi="ar"/>
              </w:rPr>
              <w:t xml:space="preserve">j </w:t>
            </w:r>
            <w:r>
              <w:rPr>
                <w:rFonts w:hint="eastAsia" w:ascii="宋体" w:hAnsi="宋体" w:eastAsia="宋体" w:cs="宋体"/>
                <w:color w:val="auto"/>
                <w:kern w:val="0"/>
                <w:sz w:val="24"/>
                <w:szCs w:val="24"/>
                <w:lang w:val="en-US" w:eastAsia="zh-CN" w:bidi="ar"/>
              </w:rPr>
              <w:t>声源工作时间，</w:t>
            </w:r>
            <w:r>
              <w:rPr>
                <w:rFonts w:hint="default" w:ascii="Times New Roman" w:hAnsi="Times New Roman" w:eastAsia="宋体" w:cs="Times New Roman"/>
                <w:color w:val="auto"/>
                <w:kern w:val="0"/>
                <w:sz w:val="24"/>
                <w:szCs w:val="24"/>
                <w:lang w:val="en-US" w:eastAsia="zh-CN" w:bidi="ar"/>
              </w:rPr>
              <w:t>s</w:t>
            </w:r>
            <w:r>
              <w:rPr>
                <w:rFonts w:hint="eastAsia" w:ascii="Times New Roman" w:hAnsi="Times New Roman" w:eastAsia="宋体" w:cs="Times New Roman"/>
                <w:color w:val="auto"/>
                <w:kern w:val="0"/>
                <w:sz w:val="24"/>
                <w:szCs w:val="24"/>
                <w:lang w:val="en-US" w:eastAsia="zh-CN" w:bidi="ar"/>
              </w:rPr>
              <w:t>；</w:t>
            </w:r>
          </w:p>
          <w:p w14:paraId="374960BA">
            <w:pPr>
              <w:keepNext w:val="0"/>
              <w:keepLines w:val="0"/>
              <w:widowControl/>
              <w:suppressLineNumbers w:val="0"/>
              <w:spacing w:line="360" w:lineRule="auto"/>
              <w:ind w:firstLine="1200" w:firstLineChars="500"/>
              <w:jc w:val="left"/>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position w:val="-12"/>
                <w:sz w:val="24"/>
                <w:szCs w:val="24"/>
              </w:rPr>
              <w:object>
                <v:shape id="_x0000_i1036" o:spt="75" type="#_x0000_t75" style="height:18pt;width:18pt;" o:ole="t" filled="f" o:preferrelative="t" stroked="f" coordsize="21600,21600">
                  <v:path/>
                  <v:fill on="f" focussize="0,0"/>
                  <v:stroke on="f"/>
                  <v:imagedata r:id="rId37" o:title=""/>
                  <o:lock v:ext="edit" aspectratio="t"/>
                  <w10:wrap type="none"/>
                  <w10:anchorlock/>
                </v:shape>
                <o:OLEObject Type="Embed" ProgID="Equation.KSEE3" ShapeID="_x0000_i1036" DrawAspect="Content" ObjectID="_1468075736" r:id="rId36">
                  <o:LockedField>false</o:LockedField>
                </o:OLEObject>
              </w:objec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第i个室外声源在预测点产生的A声级；</w:t>
            </w:r>
          </w:p>
          <w:p w14:paraId="5E014F87">
            <w:pPr>
              <w:keepNext w:val="0"/>
              <w:keepLines w:val="0"/>
              <w:widowControl/>
              <w:suppressLineNumbers w:val="0"/>
              <w:spacing w:line="360" w:lineRule="auto"/>
              <w:ind w:firstLine="1200" w:firstLineChars="500"/>
              <w:jc w:val="left"/>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position w:val="-16"/>
                <w:sz w:val="24"/>
                <w:szCs w:val="24"/>
              </w:rPr>
              <w:object>
                <v:shape id="_x0000_i1037" o:spt="75" type="#_x0000_t75" style="height:20pt;width:20pt;" o:ole="t" filled="f" o:preferrelative="t" stroked="f" coordsize="21600,21600">
                  <v:path/>
                  <v:fill on="f" focussize="0,0"/>
                  <v:stroke on="f"/>
                  <v:imagedata r:id="rId39" o:title=""/>
                  <o:lock v:ext="edit" aspectratio="t"/>
                  <w10:wrap type="none"/>
                  <w10:anchorlock/>
                </v:shape>
                <o:OLEObject Type="Embed" ProgID="Equation.KSEE3" ShapeID="_x0000_i1037" DrawAspect="Content" ObjectID="_1468075737" r:id="rId38">
                  <o:LockedField>false</o:LockedField>
                </o:OLEObject>
              </w:objec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第j个室内声源在预测点产生的A声级。</w:t>
            </w:r>
          </w:p>
          <w:p w14:paraId="4B5B153C">
            <w:pPr>
              <w:keepNext w:val="0"/>
              <w:keepLines w:val="0"/>
              <w:widowControl/>
              <w:suppressLineNumbers w:val="0"/>
              <w:spacing w:line="360" w:lineRule="auto"/>
              <w:ind w:left="0" w:leftChars="0" w:firstLine="480" w:firstLineChars="200"/>
              <w:jc w:val="left"/>
              <w:rPr>
                <w:rFonts w:hint="default" w:ascii="Times New Roman" w:hAnsi="Times New Roman" w:cs="Times New Roman"/>
                <w:color w:val="auto"/>
              </w:rPr>
            </w:pPr>
            <w:r>
              <w:rPr>
                <w:rFonts w:hint="eastAsia" w:ascii="Times New Roman" w:hAnsi="Times New Roman" w:eastAsia="宋体" w:cs="Times New Roman"/>
                <w:color w:val="auto"/>
                <w:kern w:val="0"/>
                <w:sz w:val="24"/>
                <w:szCs w:val="24"/>
                <w:lang w:val="en-US" w:eastAsia="zh-CN" w:bidi="ar"/>
              </w:rPr>
              <w:t>然后按室外声源预测方法预测点处A声级。</w:t>
            </w:r>
          </w:p>
          <w:p w14:paraId="6CC538DE">
            <w:pPr>
              <w:pStyle w:val="35"/>
              <w:rPr>
                <w:rFonts w:hint="default" w:ascii="Times New Roman" w:hAnsi="Times New Roman" w:cs="Times New Roman"/>
                <w:color w:val="auto"/>
                <w:kern w:val="0"/>
              </w:rPr>
            </w:pPr>
            <w:r>
              <w:rPr>
                <w:rFonts w:hint="default" w:ascii="Times New Roman" w:hAnsi="Times New Roman" w:cs="Times New Roman"/>
                <w:color w:val="auto"/>
                <w:kern w:val="0"/>
              </w:rPr>
              <w:t>表</w:t>
            </w:r>
            <w:r>
              <w:rPr>
                <w:rFonts w:hint="default" w:ascii="Times New Roman" w:hAnsi="Times New Roman" w:cs="Times New Roman"/>
                <w:color w:val="auto"/>
                <w:kern w:val="0"/>
                <w:lang w:val="en-US" w:eastAsia="zh-CN"/>
              </w:rPr>
              <w:t>4-</w:t>
            </w:r>
            <w:r>
              <w:rPr>
                <w:rFonts w:hint="eastAsia" w:cs="Times New Roman"/>
                <w:color w:val="auto"/>
                <w:kern w:val="0"/>
                <w:lang w:val="en-US" w:eastAsia="zh-CN"/>
              </w:rPr>
              <w:t>8</w:t>
            </w:r>
            <w:r>
              <w:rPr>
                <w:rFonts w:hint="default" w:ascii="Times New Roman" w:hAnsi="Times New Roman" w:cs="Times New Roman"/>
                <w:color w:val="auto"/>
              </w:rPr>
              <w:t>厂界</w:t>
            </w:r>
            <w:r>
              <w:rPr>
                <w:rFonts w:hint="default" w:ascii="Times New Roman" w:hAnsi="Times New Roman" w:cs="Times New Roman"/>
                <w:color w:val="auto"/>
                <w:kern w:val="0"/>
              </w:rPr>
              <w:t>噪声预测结果表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203"/>
              <w:gridCol w:w="1220"/>
              <w:gridCol w:w="1369"/>
              <w:gridCol w:w="1287"/>
              <w:gridCol w:w="1075"/>
              <w:gridCol w:w="1075"/>
              <w:gridCol w:w="904"/>
            </w:tblGrid>
            <w:tr w14:paraId="4252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543" w:type="pct"/>
                  <w:vMerge w:val="restart"/>
                  <w:vAlign w:val="center"/>
                </w:tcPr>
                <w:p w14:paraId="166DD854">
                  <w:pPr>
                    <w:pStyle w:val="42"/>
                    <w:rPr>
                      <w:rFonts w:hint="default" w:ascii="Times New Roman" w:hAnsi="Times New Roman" w:cs="Times New Roman"/>
                      <w:color w:val="auto"/>
                    </w:rPr>
                  </w:pPr>
                  <w:r>
                    <w:rPr>
                      <w:rFonts w:hint="default" w:ascii="Times New Roman" w:hAnsi="Times New Roman" w:cs="Times New Roman"/>
                      <w:color w:val="auto"/>
                    </w:rPr>
                    <w:t>预测点</w:t>
                  </w:r>
                </w:p>
              </w:tc>
              <w:tc>
                <w:tcPr>
                  <w:tcW w:w="2077" w:type="pct"/>
                  <w:gridSpan w:val="3"/>
                  <w:vAlign w:val="center"/>
                </w:tcPr>
                <w:p w14:paraId="6C0E524A">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rPr>
                    <w:t>空间相对位</w:t>
                  </w:r>
                  <w:r>
                    <w:rPr>
                      <w:rFonts w:hint="default" w:ascii="Times New Roman" w:hAnsi="Times New Roman" w:cs="Times New Roman"/>
                      <w:color w:val="auto"/>
                      <w:lang w:val="en-US" w:eastAsia="zh-CN"/>
                    </w:rPr>
                    <w:t>置</w:t>
                  </w:r>
                </w:p>
              </w:tc>
              <w:tc>
                <w:tcPr>
                  <w:tcW w:w="705" w:type="pct"/>
                  <w:vMerge w:val="restart"/>
                  <w:vAlign w:val="center"/>
                </w:tcPr>
                <w:p w14:paraId="3B52D990">
                  <w:pPr>
                    <w:pStyle w:val="42"/>
                    <w:rPr>
                      <w:rFonts w:hint="default" w:ascii="Times New Roman" w:hAnsi="Times New Roman" w:cs="Times New Roman"/>
                      <w:color w:val="auto"/>
                    </w:rPr>
                  </w:pPr>
                  <w:r>
                    <w:rPr>
                      <w:rFonts w:hint="default" w:ascii="Times New Roman" w:hAnsi="Times New Roman" w:cs="Times New Roman"/>
                      <w:color w:val="auto"/>
                    </w:rPr>
                    <w:t>时段</w:t>
                  </w:r>
                </w:p>
              </w:tc>
              <w:tc>
                <w:tcPr>
                  <w:tcW w:w="589" w:type="pct"/>
                  <w:vMerge w:val="restart"/>
                  <w:vAlign w:val="center"/>
                </w:tcPr>
                <w:p w14:paraId="044FC09A">
                  <w:pPr>
                    <w:pStyle w:val="42"/>
                    <w:rPr>
                      <w:rFonts w:hint="default" w:ascii="Times New Roman" w:hAnsi="Times New Roman" w:eastAsia="宋体" w:cs="Times New Roman"/>
                      <w:color w:val="auto"/>
                      <w:lang w:val="en-US" w:eastAsia="zh-CN"/>
                    </w:rPr>
                  </w:pPr>
                  <w:r>
                    <w:rPr>
                      <w:rFonts w:hint="eastAsia" w:cs="Times New Roman"/>
                      <w:color w:val="auto"/>
                      <w:lang w:val="en-US" w:eastAsia="zh-CN"/>
                    </w:rPr>
                    <w:t>预测结果</w:t>
                  </w:r>
                </w:p>
              </w:tc>
              <w:tc>
                <w:tcPr>
                  <w:tcW w:w="589" w:type="pct"/>
                  <w:vMerge w:val="restart"/>
                  <w:vAlign w:val="center"/>
                </w:tcPr>
                <w:p w14:paraId="2AFBA307">
                  <w:pPr>
                    <w:pStyle w:val="42"/>
                    <w:rPr>
                      <w:rFonts w:hint="default" w:ascii="Times New Roman" w:hAnsi="Times New Roman" w:cs="Times New Roman"/>
                      <w:color w:val="auto"/>
                    </w:rPr>
                  </w:pPr>
                  <w:r>
                    <w:rPr>
                      <w:rFonts w:hint="default" w:ascii="Times New Roman" w:hAnsi="Times New Roman" w:cs="Times New Roman"/>
                      <w:color w:val="auto"/>
                    </w:rPr>
                    <w:t>标准值</w:t>
                  </w:r>
                </w:p>
              </w:tc>
              <w:tc>
                <w:tcPr>
                  <w:tcW w:w="495" w:type="pct"/>
                  <w:vMerge w:val="restart"/>
                  <w:vAlign w:val="center"/>
                </w:tcPr>
                <w:p w14:paraId="4683BEDA">
                  <w:pPr>
                    <w:pStyle w:val="42"/>
                    <w:rPr>
                      <w:rFonts w:hint="default" w:ascii="Times New Roman" w:hAnsi="Times New Roman" w:cs="Times New Roman"/>
                      <w:color w:val="auto"/>
                    </w:rPr>
                  </w:pPr>
                  <w:r>
                    <w:rPr>
                      <w:rFonts w:hint="default" w:ascii="Times New Roman" w:hAnsi="Times New Roman" w:cs="Times New Roman"/>
                      <w:color w:val="auto"/>
                    </w:rPr>
                    <w:t>达标情况</w:t>
                  </w:r>
                </w:p>
              </w:tc>
            </w:tr>
            <w:tr w14:paraId="404A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543" w:type="pct"/>
                  <w:vMerge w:val="continue"/>
                  <w:vAlign w:val="center"/>
                </w:tcPr>
                <w:p w14:paraId="5BF42CC9">
                  <w:pPr>
                    <w:pStyle w:val="42"/>
                    <w:rPr>
                      <w:rFonts w:hint="default" w:ascii="Times New Roman" w:hAnsi="Times New Roman" w:cs="Times New Roman"/>
                      <w:color w:val="auto"/>
                    </w:rPr>
                  </w:pPr>
                </w:p>
              </w:tc>
              <w:tc>
                <w:tcPr>
                  <w:tcW w:w="659" w:type="pct"/>
                  <w:vAlign w:val="center"/>
                </w:tcPr>
                <w:p w14:paraId="1E36C486">
                  <w:pPr>
                    <w:pStyle w:val="42"/>
                    <w:rPr>
                      <w:rFonts w:hint="default" w:ascii="Times New Roman" w:hAnsi="Times New Roman" w:cs="Times New Roman"/>
                      <w:color w:val="auto"/>
                    </w:rPr>
                  </w:pPr>
                  <w:r>
                    <w:rPr>
                      <w:rFonts w:hint="default" w:ascii="Times New Roman" w:hAnsi="Times New Roman" w:cs="Times New Roman"/>
                      <w:color w:val="auto"/>
                    </w:rPr>
                    <w:t>X坐标（m）</w:t>
                  </w:r>
                </w:p>
              </w:tc>
              <w:tc>
                <w:tcPr>
                  <w:tcW w:w="668" w:type="pct"/>
                  <w:vAlign w:val="center"/>
                </w:tcPr>
                <w:p w14:paraId="1228C24D">
                  <w:pPr>
                    <w:pStyle w:val="42"/>
                    <w:rPr>
                      <w:rFonts w:hint="default" w:ascii="Times New Roman" w:hAnsi="Times New Roman" w:cs="Times New Roman"/>
                      <w:color w:val="auto"/>
                    </w:rPr>
                  </w:pPr>
                  <w:r>
                    <w:rPr>
                      <w:rFonts w:hint="default" w:ascii="Times New Roman" w:hAnsi="Times New Roman" w:cs="Times New Roman"/>
                      <w:color w:val="auto"/>
                    </w:rPr>
                    <w:t>Y坐标（m）</w:t>
                  </w:r>
                </w:p>
              </w:tc>
              <w:tc>
                <w:tcPr>
                  <w:tcW w:w="748" w:type="pct"/>
                  <w:vAlign w:val="center"/>
                </w:tcPr>
                <w:p w14:paraId="12ABB59B">
                  <w:pPr>
                    <w:pStyle w:val="42"/>
                    <w:rPr>
                      <w:rFonts w:hint="default" w:ascii="Times New Roman" w:hAnsi="Times New Roman" w:cs="Times New Roman"/>
                      <w:color w:val="auto"/>
                    </w:rPr>
                  </w:pPr>
                  <w:r>
                    <w:rPr>
                      <w:rFonts w:hint="default" w:ascii="Times New Roman" w:hAnsi="Times New Roman" w:cs="Times New Roman"/>
                      <w:color w:val="auto"/>
                    </w:rPr>
                    <w:t>离地高度（m）</w:t>
                  </w:r>
                </w:p>
              </w:tc>
              <w:tc>
                <w:tcPr>
                  <w:tcW w:w="705" w:type="pct"/>
                  <w:vMerge w:val="continue"/>
                  <w:vAlign w:val="center"/>
                </w:tcPr>
                <w:p w14:paraId="3C535C3D">
                  <w:pPr>
                    <w:pStyle w:val="42"/>
                    <w:rPr>
                      <w:rFonts w:hint="default" w:ascii="Times New Roman" w:hAnsi="Times New Roman" w:cs="Times New Roman"/>
                      <w:color w:val="auto"/>
                    </w:rPr>
                  </w:pPr>
                </w:p>
              </w:tc>
              <w:tc>
                <w:tcPr>
                  <w:tcW w:w="589" w:type="pct"/>
                  <w:vMerge w:val="continue"/>
                  <w:vAlign w:val="center"/>
                </w:tcPr>
                <w:p w14:paraId="53377658">
                  <w:pPr>
                    <w:pStyle w:val="42"/>
                    <w:rPr>
                      <w:rFonts w:hint="default" w:ascii="Times New Roman" w:hAnsi="Times New Roman" w:cs="Times New Roman"/>
                      <w:color w:val="auto"/>
                    </w:rPr>
                  </w:pPr>
                </w:p>
              </w:tc>
              <w:tc>
                <w:tcPr>
                  <w:tcW w:w="589" w:type="pct"/>
                  <w:vMerge w:val="continue"/>
                  <w:vAlign w:val="center"/>
                </w:tcPr>
                <w:p w14:paraId="46DAB1FB">
                  <w:pPr>
                    <w:pStyle w:val="42"/>
                    <w:rPr>
                      <w:rFonts w:hint="default" w:ascii="Times New Roman" w:hAnsi="Times New Roman" w:cs="Times New Roman"/>
                      <w:color w:val="auto"/>
                    </w:rPr>
                  </w:pPr>
                </w:p>
              </w:tc>
              <w:tc>
                <w:tcPr>
                  <w:tcW w:w="495" w:type="pct"/>
                  <w:vMerge w:val="continue"/>
                  <w:vAlign w:val="center"/>
                </w:tcPr>
                <w:p w14:paraId="35FE6956">
                  <w:pPr>
                    <w:pStyle w:val="42"/>
                    <w:rPr>
                      <w:rFonts w:hint="default" w:ascii="Times New Roman" w:hAnsi="Times New Roman" w:cs="Times New Roman"/>
                      <w:color w:val="auto"/>
                    </w:rPr>
                  </w:pPr>
                </w:p>
              </w:tc>
            </w:tr>
            <w:tr w14:paraId="2CA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43" w:type="pct"/>
                  <w:vMerge w:val="restart"/>
                  <w:vAlign w:val="center"/>
                </w:tcPr>
                <w:p w14:paraId="4E2A2EF9">
                  <w:pPr>
                    <w:pStyle w:val="42"/>
                    <w:rPr>
                      <w:rFonts w:hint="default" w:ascii="Times New Roman" w:hAnsi="Times New Roman" w:cs="Times New Roman"/>
                      <w:color w:val="auto"/>
                    </w:rPr>
                  </w:pPr>
                  <w:r>
                    <w:rPr>
                      <w:rFonts w:hint="default" w:ascii="Times New Roman" w:hAnsi="Times New Roman" w:cs="Times New Roman"/>
                      <w:color w:val="auto"/>
                    </w:rPr>
                    <w:t>北厂界</w:t>
                  </w:r>
                </w:p>
              </w:tc>
              <w:tc>
                <w:tcPr>
                  <w:tcW w:w="659" w:type="pct"/>
                  <w:vMerge w:val="restart"/>
                  <w:vAlign w:val="center"/>
                </w:tcPr>
                <w:p w14:paraId="1EECFEA0">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18.87</w:t>
                  </w:r>
                </w:p>
              </w:tc>
              <w:tc>
                <w:tcPr>
                  <w:tcW w:w="668" w:type="pct"/>
                  <w:vMerge w:val="restart"/>
                  <w:vAlign w:val="center"/>
                </w:tcPr>
                <w:p w14:paraId="780B95BC">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91.76</w:t>
                  </w:r>
                </w:p>
              </w:tc>
              <w:tc>
                <w:tcPr>
                  <w:tcW w:w="748" w:type="pct"/>
                  <w:vMerge w:val="restart"/>
                  <w:vAlign w:val="center"/>
                </w:tcPr>
                <w:p w14:paraId="53297FBF">
                  <w:pPr>
                    <w:pStyle w:val="42"/>
                    <w:rPr>
                      <w:rFonts w:hint="default" w:ascii="Times New Roman" w:hAnsi="Times New Roman" w:cs="Times New Roman"/>
                      <w:color w:val="auto"/>
                    </w:rPr>
                  </w:pPr>
                  <w:r>
                    <w:rPr>
                      <w:rFonts w:hint="default" w:ascii="Times New Roman" w:hAnsi="Times New Roman" w:cs="Times New Roman"/>
                      <w:color w:val="auto"/>
                    </w:rPr>
                    <w:t>1.2</w:t>
                  </w:r>
                </w:p>
              </w:tc>
              <w:tc>
                <w:tcPr>
                  <w:tcW w:w="705" w:type="pct"/>
                  <w:vAlign w:val="center"/>
                </w:tcPr>
                <w:p w14:paraId="699FE76C">
                  <w:pPr>
                    <w:pStyle w:val="42"/>
                    <w:rPr>
                      <w:rFonts w:hint="default" w:ascii="Times New Roman" w:hAnsi="Times New Roman" w:cs="Times New Roman"/>
                      <w:color w:val="auto"/>
                    </w:rPr>
                  </w:pPr>
                  <w:r>
                    <w:rPr>
                      <w:rFonts w:hint="default" w:ascii="Times New Roman" w:hAnsi="Times New Roman" w:cs="Times New Roman"/>
                      <w:color w:val="auto"/>
                    </w:rPr>
                    <w:t>昼间</w:t>
                  </w:r>
                </w:p>
              </w:tc>
              <w:tc>
                <w:tcPr>
                  <w:tcW w:w="589" w:type="pct"/>
                  <w:vAlign w:val="center"/>
                </w:tcPr>
                <w:p w14:paraId="23C9C6D4">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51.</w:t>
                  </w:r>
                  <w:r>
                    <w:rPr>
                      <w:rFonts w:hint="eastAsia" w:cs="Times New Roman"/>
                      <w:color w:val="auto"/>
                      <w:lang w:val="en-US" w:eastAsia="zh-CN"/>
                    </w:rPr>
                    <w:t>93</w:t>
                  </w:r>
                </w:p>
              </w:tc>
              <w:tc>
                <w:tcPr>
                  <w:tcW w:w="589" w:type="pct"/>
                  <w:vAlign w:val="center"/>
                </w:tcPr>
                <w:p w14:paraId="03D9BF3D">
                  <w:pPr>
                    <w:pStyle w:val="42"/>
                    <w:rPr>
                      <w:rFonts w:hint="default" w:ascii="Times New Roman" w:hAnsi="Times New Roman" w:cs="Times New Roman"/>
                      <w:color w:val="auto"/>
                    </w:rPr>
                  </w:pPr>
                  <w:r>
                    <w:rPr>
                      <w:rFonts w:hint="default" w:ascii="Times New Roman" w:hAnsi="Times New Roman" w:cs="Times New Roman"/>
                      <w:color w:val="auto"/>
                    </w:rPr>
                    <w:t>60</w:t>
                  </w:r>
                </w:p>
              </w:tc>
              <w:tc>
                <w:tcPr>
                  <w:tcW w:w="495" w:type="pct"/>
                  <w:vMerge w:val="restart"/>
                  <w:vAlign w:val="center"/>
                </w:tcPr>
                <w:p w14:paraId="7B0011C4">
                  <w:pPr>
                    <w:pStyle w:val="42"/>
                    <w:rPr>
                      <w:rFonts w:hint="default" w:ascii="Times New Roman" w:hAnsi="Times New Roman" w:cs="Times New Roman"/>
                      <w:color w:val="auto"/>
                    </w:rPr>
                  </w:pPr>
                  <w:r>
                    <w:rPr>
                      <w:rFonts w:hint="default" w:ascii="Times New Roman" w:hAnsi="Times New Roman" w:cs="Times New Roman"/>
                      <w:color w:val="auto"/>
                    </w:rPr>
                    <w:t>达标</w:t>
                  </w:r>
                </w:p>
              </w:tc>
            </w:tr>
            <w:tr w14:paraId="0577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3" w:type="pct"/>
                  <w:vMerge w:val="continue"/>
                  <w:vAlign w:val="center"/>
                </w:tcPr>
                <w:p w14:paraId="48DFE793">
                  <w:pPr>
                    <w:pStyle w:val="42"/>
                    <w:rPr>
                      <w:rFonts w:hint="default" w:ascii="Times New Roman" w:hAnsi="Times New Roman" w:cs="Times New Roman"/>
                      <w:color w:val="auto"/>
                    </w:rPr>
                  </w:pPr>
                </w:p>
              </w:tc>
              <w:tc>
                <w:tcPr>
                  <w:tcW w:w="659" w:type="pct"/>
                  <w:vMerge w:val="continue"/>
                  <w:vAlign w:val="center"/>
                </w:tcPr>
                <w:p w14:paraId="07A6711B">
                  <w:pPr>
                    <w:pStyle w:val="42"/>
                    <w:rPr>
                      <w:rFonts w:hint="default" w:ascii="Times New Roman" w:hAnsi="Times New Roman" w:cs="Times New Roman"/>
                      <w:color w:val="auto"/>
                    </w:rPr>
                  </w:pPr>
                </w:p>
              </w:tc>
              <w:tc>
                <w:tcPr>
                  <w:tcW w:w="668" w:type="pct"/>
                  <w:vMerge w:val="continue"/>
                  <w:vAlign w:val="center"/>
                </w:tcPr>
                <w:p w14:paraId="5ED151C2">
                  <w:pPr>
                    <w:pStyle w:val="42"/>
                    <w:rPr>
                      <w:rFonts w:hint="default" w:ascii="Times New Roman" w:hAnsi="Times New Roman" w:cs="Times New Roman"/>
                      <w:color w:val="auto"/>
                    </w:rPr>
                  </w:pPr>
                </w:p>
              </w:tc>
              <w:tc>
                <w:tcPr>
                  <w:tcW w:w="748" w:type="pct"/>
                  <w:vMerge w:val="continue"/>
                  <w:vAlign w:val="center"/>
                </w:tcPr>
                <w:p w14:paraId="73EC8177">
                  <w:pPr>
                    <w:pStyle w:val="42"/>
                    <w:rPr>
                      <w:rFonts w:hint="default" w:ascii="Times New Roman" w:hAnsi="Times New Roman" w:cs="Times New Roman"/>
                      <w:color w:val="auto"/>
                    </w:rPr>
                  </w:pPr>
                </w:p>
              </w:tc>
              <w:tc>
                <w:tcPr>
                  <w:tcW w:w="705" w:type="pct"/>
                  <w:vAlign w:val="center"/>
                </w:tcPr>
                <w:p w14:paraId="4A9D9D99">
                  <w:pPr>
                    <w:pStyle w:val="42"/>
                    <w:rPr>
                      <w:rFonts w:hint="default" w:ascii="Times New Roman" w:hAnsi="Times New Roman" w:cs="Times New Roman"/>
                      <w:color w:val="auto"/>
                    </w:rPr>
                  </w:pPr>
                  <w:r>
                    <w:rPr>
                      <w:rFonts w:hint="default" w:ascii="Times New Roman" w:hAnsi="Times New Roman" w:cs="Times New Roman"/>
                      <w:color w:val="auto"/>
                    </w:rPr>
                    <w:t>夜间</w:t>
                  </w:r>
                </w:p>
              </w:tc>
              <w:tc>
                <w:tcPr>
                  <w:tcW w:w="589" w:type="pct"/>
                  <w:vAlign w:val="center"/>
                </w:tcPr>
                <w:p w14:paraId="3E87A4C6">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589" w:type="pct"/>
                  <w:vAlign w:val="center"/>
                </w:tcPr>
                <w:p w14:paraId="08F69F07">
                  <w:pPr>
                    <w:pStyle w:val="42"/>
                    <w:rPr>
                      <w:rFonts w:hint="default" w:ascii="Times New Roman" w:hAnsi="Times New Roman" w:cs="Times New Roman"/>
                      <w:color w:val="auto"/>
                    </w:rPr>
                  </w:pPr>
                  <w:r>
                    <w:rPr>
                      <w:rFonts w:hint="default" w:ascii="Times New Roman" w:hAnsi="Times New Roman" w:cs="Times New Roman"/>
                      <w:color w:val="auto"/>
                    </w:rPr>
                    <w:t>50</w:t>
                  </w:r>
                </w:p>
              </w:tc>
              <w:tc>
                <w:tcPr>
                  <w:tcW w:w="495" w:type="pct"/>
                  <w:vMerge w:val="continue"/>
                  <w:vAlign w:val="center"/>
                </w:tcPr>
                <w:p w14:paraId="7A37D6B5">
                  <w:pPr>
                    <w:pStyle w:val="42"/>
                    <w:rPr>
                      <w:rFonts w:hint="default" w:ascii="Times New Roman" w:hAnsi="Times New Roman" w:cs="Times New Roman"/>
                      <w:color w:val="auto"/>
                    </w:rPr>
                  </w:pPr>
                </w:p>
              </w:tc>
            </w:tr>
            <w:tr w14:paraId="2583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543" w:type="pct"/>
                  <w:vMerge w:val="restart"/>
                  <w:vAlign w:val="center"/>
                </w:tcPr>
                <w:p w14:paraId="4B6D6EBF">
                  <w:pPr>
                    <w:pStyle w:val="42"/>
                    <w:rPr>
                      <w:rFonts w:hint="default" w:ascii="Times New Roman" w:hAnsi="Times New Roman" w:cs="Times New Roman"/>
                      <w:color w:val="auto"/>
                    </w:rPr>
                  </w:pPr>
                  <w:r>
                    <w:rPr>
                      <w:rFonts w:hint="default" w:ascii="Times New Roman" w:hAnsi="Times New Roman" w:cs="Times New Roman"/>
                      <w:color w:val="auto"/>
                    </w:rPr>
                    <w:t>西厂界</w:t>
                  </w:r>
                </w:p>
              </w:tc>
              <w:tc>
                <w:tcPr>
                  <w:tcW w:w="659" w:type="pct"/>
                  <w:vMerge w:val="restart"/>
                  <w:vAlign w:val="center"/>
                </w:tcPr>
                <w:p w14:paraId="2638FA3D">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-120.54</w:t>
                  </w:r>
                </w:p>
              </w:tc>
              <w:tc>
                <w:tcPr>
                  <w:tcW w:w="668" w:type="pct"/>
                  <w:vMerge w:val="restart"/>
                  <w:vAlign w:val="center"/>
                </w:tcPr>
                <w:p w14:paraId="485DCBDB">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-27.35</w:t>
                  </w:r>
                </w:p>
              </w:tc>
              <w:tc>
                <w:tcPr>
                  <w:tcW w:w="748" w:type="pct"/>
                  <w:vMerge w:val="restart"/>
                  <w:vAlign w:val="center"/>
                </w:tcPr>
                <w:p w14:paraId="7BD588F8">
                  <w:pPr>
                    <w:pStyle w:val="42"/>
                    <w:rPr>
                      <w:rFonts w:hint="default" w:ascii="Times New Roman" w:hAnsi="Times New Roman" w:cs="Times New Roman"/>
                      <w:color w:val="auto"/>
                    </w:rPr>
                  </w:pPr>
                  <w:r>
                    <w:rPr>
                      <w:rFonts w:hint="default" w:ascii="Times New Roman" w:hAnsi="Times New Roman" w:cs="Times New Roman"/>
                      <w:color w:val="auto"/>
                    </w:rPr>
                    <w:t>1.2</w:t>
                  </w:r>
                </w:p>
              </w:tc>
              <w:tc>
                <w:tcPr>
                  <w:tcW w:w="705" w:type="pct"/>
                  <w:vAlign w:val="center"/>
                </w:tcPr>
                <w:p w14:paraId="4BF3A28F">
                  <w:pPr>
                    <w:pStyle w:val="42"/>
                    <w:rPr>
                      <w:rFonts w:hint="default" w:ascii="Times New Roman" w:hAnsi="Times New Roman" w:cs="Times New Roman"/>
                      <w:color w:val="auto"/>
                    </w:rPr>
                  </w:pPr>
                  <w:r>
                    <w:rPr>
                      <w:rFonts w:hint="default" w:ascii="Times New Roman" w:hAnsi="Times New Roman" w:cs="Times New Roman"/>
                      <w:color w:val="auto"/>
                    </w:rPr>
                    <w:t>昼间</w:t>
                  </w:r>
                </w:p>
              </w:tc>
              <w:tc>
                <w:tcPr>
                  <w:tcW w:w="589" w:type="pct"/>
                  <w:vAlign w:val="center"/>
                </w:tcPr>
                <w:p w14:paraId="7714BB62">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r>
                    <w:rPr>
                      <w:rFonts w:hint="eastAsia" w:cs="Times New Roman"/>
                      <w:color w:val="auto"/>
                      <w:lang w:val="en-US" w:eastAsia="zh-CN"/>
                    </w:rPr>
                    <w:t>2.41</w:t>
                  </w:r>
                </w:p>
              </w:tc>
              <w:tc>
                <w:tcPr>
                  <w:tcW w:w="589" w:type="pct"/>
                  <w:vAlign w:val="center"/>
                </w:tcPr>
                <w:p w14:paraId="75176E00">
                  <w:pPr>
                    <w:pStyle w:val="42"/>
                    <w:rPr>
                      <w:rFonts w:hint="default" w:ascii="Times New Roman" w:hAnsi="Times New Roman" w:cs="Times New Roman"/>
                      <w:color w:val="auto"/>
                    </w:rPr>
                  </w:pPr>
                  <w:r>
                    <w:rPr>
                      <w:rFonts w:hint="default" w:ascii="Times New Roman" w:hAnsi="Times New Roman" w:cs="Times New Roman"/>
                      <w:color w:val="auto"/>
                    </w:rPr>
                    <w:t>60</w:t>
                  </w:r>
                </w:p>
              </w:tc>
              <w:tc>
                <w:tcPr>
                  <w:tcW w:w="495" w:type="pct"/>
                  <w:vMerge w:val="restart"/>
                  <w:vAlign w:val="center"/>
                </w:tcPr>
                <w:p w14:paraId="65155FC4">
                  <w:pPr>
                    <w:pStyle w:val="42"/>
                    <w:rPr>
                      <w:rFonts w:hint="default" w:ascii="Times New Roman" w:hAnsi="Times New Roman" w:cs="Times New Roman"/>
                      <w:color w:val="auto"/>
                    </w:rPr>
                  </w:pPr>
                  <w:r>
                    <w:rPr>
                      <w:rFonts w:hint="default" w:ascii="Times New Roman" w:hAnsi="Times New Roman" w:cs="Times New Roman"/>
                      <w:color w:val="auto"/>
                    </w:rPr>
                    <w:t>达标</w:t>
                  </w:r>
                </w:p>
              </w:tc>
            </w:tr>
            <w:tr w14:paraId="3080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43" w:type="pct"/>
                  <w:vMerge w:val="continue"/>
                  <w:vAlign w:val="center"/>
                </w:tcPr>
                <w:p w14:paraId="53642815">
                  <w:pPr>
                    <w:pStyle w:val="42"/>
                    <w:rPr>
                      <w:rFonts w:hint="default" w:ascii="Times New Roman" w:hAnsi="Times New Roman" w:cs="Times New Roman"/>
                      <w:color w:val="auto"/>
                    </w:rPr>
                  </w:pPr>
                </w:p>
              </w:tc>
              <w:tc>
                <w:tcPr>
                  <w:tcW w:w="659" w:type="pct"/>
                  <w:vMerge w:val="continue"/>
                  <w:vAlign w:val="center"/>
                </w:tcPr>
                <w:p w14:paraId="1FADC2B8">
                  <w:pPr>
                    <w:pStyle w:val="42"/>
                    <w:rPr>
                      <w:rFonts w:hint="default" w:ascii="Times New Roman" w:hAnsi="Times New Roman" w:cs="Times New Roman"/>
                      <w:color w:val="auto"/>
                    </w:rPr>
                  </w:pPr>
                </w:p>
              </w:tc>
              <w:tc>
                <w:tcPr>
                  <w:tcW w:w="668" w:type="pct"/>
                  <w:vMerge w:val="continue"/>
                  <w:vAlign w:val="center"/>
                </w:tcPr>
                <w:p w14:paraId="75C8F2AC">
                  <w:pPr>
                    <w:pStyle w:val="42"/>
                    <w:rPr>
                      <w:rFonts w:hint="default" w:ascii="Times New Roman" w:hAnsi="Times New Roman" w:cs="Times New Roman"/>
                      <w:color w:val="auto"/>
                    </w:rPr>
                  </w:pPr>
                </w:p>
              </w:tc>
              <w:tc>
                <w:tcPr>
                  <w:tcW w:w="748" w:type="pct"/>
                  <w:vMerge w:val="continue"/>
                  <w:vAlign w:val="center"/>
                </w:tcPr>
                <w:p w14:paraId="5DD06D4D">
                  <w:pPr>
                    <w:pStyle w:val="42"/>
                    <w:jc w:val="both"/>
                    <w:rPr>
                      <w:rFonts w:hint="default" w:ascii="Times New Roman" w:hAnsi="Times New Roman" w:cs="Times New Roman"/>
                      <w:color w:val="auto"/>
                    </w:rPr>
                  </w:pPr>
                </w:p>
              </w:tc>
              <w:tc>
                <w:tcPr>
                  <w:tcW w:w="705" w:type="pct"/>
                  <w:vAlign w:val="center"/>
                </w:tcPr>
                <w:p w14:paraId="0F8FE408">
                  <w:pPr>
                    <w:pStyle w:val="42"/>
                    <w:rPr>
                      <w:rFonts w:hint="default" w:ascii="Times New Roman" w:hAnsi="Times New Roman" w:cs="Times New Roman"/>
                      <w:color w:val="auto"/>
                    </w:rPr>
                  </w:pPr>
                  <w:r>
                    <w:rPr>
                      <w:rFonts w:hint="default" w:ascii="Times New Roman" w:hAnsi="Times New Roman" w:cs="Times New Roman"/>
                      <w:color w:val="auto"/>
                    </w:rPr>
                    <w:t>夜间</w:t>
                  </w:r>
                </w:p>
              </w:tc>
              <w:tc>
                <w:tcPr>
                  <w:tcW w:w="589" w:type="pct"/>
                  <w:vAlign w:val="center"/>
                </w:tcPr>
                <w:p w14:paraId="2A8955CB">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589" w:type="pct"/>
                  <w:vAlign w:val="center"/>
                </w:tcPr>
                <w:p w14:paraId="5D8B9D11">
                  <w:pPr>
                    <w:pStyle w:val="42"/>
                    <w:rPr>
                      <w:rFonts w:hint="default" w:ascii="Times New Roman" w:hAnsi="Times New Roman" w:cs="Times New Roman"/>
                      <w:color w:val="auto"/>
                    </w:rPr>
                  </w:pPr>
                  <w:r>
                    <w:rPr>
                      <w:rFonts w:hint="default" w:ascii="Times New Roman" w:hAnsi="Times New Roman" w:cs="Times New Roman"/>
                      <w:color w:val="auto"/>
                    </w:rPr>
                    <w:t>50</w:t>
                  </w:r>
                </w:p>
              </w:tc>
              <w:tc>
                <w:tcPr>
                  <w:tcW w:w="495" w:type="pct"/>
                  <w:vMerge w:val="continue"/>
                  <w:vAlign w:val="center"/>
                </w:tcPr>
                <w:p w14:paraId="60599732">
                  <w:pPr>
                    <w:pStyle w:val="42"/>
                    <w:rPr>
                      <w:rFonts w:hint="default" w:ascii="Times New Roman" w:hAnsi="Times New Roman" w:cs="Times New Roman"/>
                      <w:color w:val="auto"/>
                    </w:rPr>
                  </w:pPr>
                </w:p>
              </w:tc>
            </w:tr>
            <w:tr w14:paraId="2D9B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543" w:type="pct"/>
                  <w:vMerge w:val="restart"/>
                  <w:vAlign w:val="center"/>
                </w:tcPr>
                <w:p w14:paraId="23647373">
                  <w:pPr>
                    <w:pStyle w:val="42"/>
                    <w:rPr>
                      <w:rFonts w:hint="default" w:ascii="Times New Roman" w:hAnsi="Times New Roman" w:cs="Times New Roman"/>
                      <w:color w:val="auto"/>
                    </w:rPr>
                  </w:pPr>
                  <w:r>
                    <w:rPr>
                      <w:rFonts w:hint="default" w:ascii="Times New Roman" w:hAnsi="Times New Roman" w:cs="Times New Roman"/>
                      <w:color w:val="auto"/>
                    </w:rPr>
                    <w:t>南厂界</w:t>
                  </w:r>
                </w:p>
              </w:tc>
              <w:tc>
                <w:tcPr>
                  <w:tcW w:w="659" w:type="pct"/>
                  <w:vMerge w:val="restart"/>
                  <w:vAlign w:val="center"/>
                </w:tcPr>
                <w:p w14:paraId="155D4C3B">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76.37</w:t>
                  </w:r>
                </w:p>
              </w:tc>
              <w:tc>
                <w:tcPr>
                  <w:tcW w:w="668" w:type="pct"/>
                  <w:vMerge w:val="restart"/>
                  <w:vAlign w:val="center"/>
                </w:tcPr>
                <w:p w14:paraId="36F2A411">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-148.57</w:t>
                  </w:r>
                </w:p>
              </w:tc>
              <w:tc>
                <w:tcPr>
                  <w:tcW w:w="748" w:type="pct"/>
                  <w:vMerge w:val="restart"/>
                  <w:vAlign w:val="center"/>
                </w:tcPr>
                <w:p w14:paraId="33392C42">
                  <w:pPr>
                    <w:pStyle w:val="42"/>
                    <w:rPr>
                      <w:rFonts w:hint="default" w:ascii="Times New Roman" w:hAnsi="Times New Roman" w:cs="Times New Roman"/>
                      <w:color w:val="auto"/>
                    </w:rPr>
                  </w:pPr>
                  <w:r>
                    <w:rPr>
                      <w:rFonts w:hint="default" w:ascii="Times New Roman" w:hAnsi="Times New Roman" w:cs="Times New Roman"/>
                      <w:color w:val="auto"/>
                    </w:rPr>
                    <w:t>1.2</w:t>
                  </w:r>
                </w:p>
              </w:tc>
              <w:tc>
                <w:tcPr>
                  <w:tcW w:w="705" w:type="pct"/>
                  <w:vAlign w:val="center"/>
                </w:tcPr>
                <w:p w14:paraId="5A519293">
                  <w:pPr>
                    <w:pStyle w:val="42"/>
                    <w:rPr>
                      <w:rFonts w:hint="default" w:ascii="Times New Roman" w:hAnsi="Times New Roman" w:cs="Times New Roman"/>
                      <w:color w:val="auto"/>
                    </w:rPr>
                  </w:pPr>
                  <w:r>
                    <w:rPr>
                      <w:rFonts w:hint="default" w:ascii="Times New Roman" w:hAnsi="Times New Roman" w:cs="Times New Roman"/>
                      <w:color w:val="auto"/>
                    </w:rPr>
                    <w:t>昼间</w:t>
                  </w:r>
                </w:p>
              </w:tc>
              <w:tc>
                <w:tcPr>
                  <w:tcW w:w="589" w:type="pct"/>
                  <w:vAlign w:val="center"/>
                </w:tcPr>
                <w:p w14:paraId="56EC0EFB">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r>
                    <w:rPr>
                      <w:rFonts w:hint="eastAsia" w:cs="Times New Roman"/>
                      <w:color w:val="auto"/>
                      <w:lang w:val="en-US" w:eastAsia="zh-CN"/>
                    </w:rPr>
                    <w:t>3.77</w:t>
                  </w:r>
                </w:p>
              </w:tc>
              <w:tc>
                <w:tcPr>
                  <w:tcW w:w="589" w:type="pct"/>
                  <w:vAlign w:val="center"/>
                </w:tcPr>
                <w:p w14:paraId="753FA284">
                  <w:pPr>
                    <w:pStyle w:val="42"/>
                    <w:rPr>
                      <w:rFonts w:hint="default" w:ascii="Times New Roman" w:hAnsi="Times New Roman" w:cs="Times New Roman"/>
                      <w:color w:val="auto"/>
                    </w:rPr>
                  </w:pPr>
                  <w:r>
                    <w:rPr>
                      <w:rFonts w:hint="default" w:ascii="Times New Roman" w:hAnsi="Times New Roman" w:cs="Times New Roman"/>
                      <w:color w:val="auto"/>
                    </w:rPr>
                    <w:t>60</w:t>
                  </w:r>
                </w:p>
              </w:tc>
              <w:tc>
                <w:tcPr>
                  <w:tcW w:w="495" w:type="pct"/>
                  <w:vMerge w:val="restart"/>
                  <w:vAlign w:val="center"/>
                </w:tcPr>
                <w:p w14:paraId="4CA28FB3">
                  <w:pPr>
                    <w:pStyle w:val="42"/>
                    <w:rPr>
                      <w:rFonts w:hint="default" w:ascii="Times New Roman" w:hAnsi="Times New Roman" w:cs="Times New Roman"/>
                      <w:color w:val="auto"/>
                    </w:rPr>
                  </w:pPr>
                  <w:r>
                    <w:rPr>
                      <w:rFonts w:hint="default" w:ascii="Times New Roman" w:hAnsi="Times New Roman" w:cs="Times New Roman"/>
                      <w:color w:val="auto"/>
                    </w:rPr>
                    <w:t>达标</w:t>
                  </w:r>
                </w:p>
              </w:tc>
            </w:tr>
            <w:tr w14:paraId="6A67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pct"/>
                  <w:vMerge w:val="continue"/>
                  <w:vAlign w:val="center"/>
                </w:tcPr>
                <w:p w14:paraId="4FB81028">
                  <w:pPr>
                    <w:pStyle w:val="42"/>
                    <w:rPr>
                      <w:rFonts w:hint="default" w:ascii="Times New Roman" w:hAnsi="Times New Roman" w:cs="Times New Roman"/>
                      <w:color w:val="auto"/>
                    </w:rPr>
                  </w:pPr>
                </w:p>
              </w:tc>
              <w:tc>
                <w:tcPr>
                  <w:tcW w:w="659" w:type="pct"/>
                  <w:vMerge w:val="continue"/>
                  <w:vAlign w:val="center"/>
                </w:tcPr>
                <w:p w14:paraId="120CBA4B">
                  <w:pPr>
                    <w:pStyle w:val="42"/>
                    <w:rPr>
                      <w:rFonts w:hint="default" w:ascii="Times New Roman" w:hAnsi="Times New Roman" w:cs="Times New Roman"/>
                      <w:color w:val="auto"/>
                    </w:rPr>
                  </w:pPr>
                </w:p>
              </w:tc>
              <w:tc>
                <w:tcPr>
                  <w:tcW w:w="668" w:type="pct"/>
                  <w:vMerge w:val="continue"/>
                  <w:vAlign w:val="center"/>
                </w:tcPr>
                <w:p w14:paraId="561DB88E">
                  <w:pPr>
                    <w:pStyle w:val="42"/>
                    <w:rPr>
                      <w:rFonts w:hint="default" w:ascii="Times New Roman" w:hAnsi="Times New Roman" w:cs="Times New Roman"/>
                      <w:color w:val="auto"/>
                    </w:rPr>
                  </w:pPr>
                </w:p>
              </w:tc>
              <w:tc>
                <w:tcPr>
                  <w:tcW w:w="748" w:type="pct"/>
                  <w:vMerge w:val="continue"/>
                  <w:vAlign w:val="center"/>
                </w:tcPr>
                <w:p w14:paraId="633FC7B9">
                  <w:pPr>
                    <w:pStyle w:val="42"/>
                    <w:rPr>
                      <w:rFonts w:hint="default" w:ascii="Times New Roman" w:hAnsi="Times New Roman" w:cs="Times New Roman"/>
                      <w:color w:val="auto"/>
                    </w:rPr>
                  </w:pPr>
                </w:p>
              </w:tc>
              <w:tc>
                <w:tcPr>
                  <w:tcW w:w="705" w:type="pct"/>
                  <w:vAlign w:val="center"/>
                </w:tcPr>
                <w:p w14:paraId="6A497F4E">
                  <w:pPr>
                    <w:pStyle w:val="42"/>
                    <w:rPr>
                      <w:rFonts w:hint="default" w:ascii="Times New Roman" w:hAnsi="Times New Roman" w:cs="Times New Roman"/>
                      <w:color w:val="auto"/>
                    </w:rPr>
                  </w:pPr>
                  <w:r>
                    <w:rPr>
                      <w:rFonts w:hint="default" w:ascii="Times New Roman" w:hAnsi="Times New Roman" w:cs="Times New Roman"/>
                      <w:color w:val="auto"/>
                    </w:rPr>
                    <w:t>夜间</w:t>
                  </w:r>
                </w:p>
              </w:tc>
              <w:tc>
                <w:tcPr>
                  <w:tcW w:w="589" w:type="pct"/>
                  <w:vAlign w:val="center"/>
                </w:tcPr>
                <w:p w14:paraId="06390280">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589" w:type="pct"/>
                  <w:vAlign w:val="center"/>
                </w:tcPr>
                <w:p w14:paraId="716DAA36">
                  <w:pPr>
                    <w:pStyle w:val="42"/>
                    <w:rPr>
                      <w:rFonts w:hint="default" w:ascii="Times New Roman" w:hAnsi="Times New Roman" w:cs="Times New Roman"/>
                      <w:color w:val="auto"/>
                    </w:rPr>
                  </w:pPr>
                  <w:r>
                    <w:rPr>
                      <w:rFonts w:hint="default" w:ascii="Times New Roman" w:hAnsi="Times New Roman" w:cs="Times New Roman"/>
                      <w:color w:val="auto"/>
                    </w:rPr>
                    <w:t>50</w:t>
                  </w:r>
                </w:p>
              </w:tc>
              <w:tc>
                <w:tcPr>
                  <w:tcW w:w="495" w:type="pct"/>
                  <w:vMerge w:val="continue"/>
                  <w:vAlign w:val="center"/>
                </w:tcPr>
                <w:p w14:paraId="362E6BF3">
                  <w:pPr>
                    <w:pStyle w:val="42"/>
                    <w:rPr>
                      <w:rFonts w:hint="default" w:ascii="Times New Roman" w:hAnsi="Times New Roman" w:cs="Times New Roman"/>
                      <w:color w:val="auto"/>
                    </w:rPr>
                  </w:pPr>
                </w:p>
              </w:tc>
            </w:tr>
            <w:tr w14:paraId="4581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vMerge w:val="restart"/>
                  <w:vAlign w:val="center"/>
                </w:tcPr>
                <w:p w14:paraId="56ACE9F3">
                  <w:pPr>
                    <w:pStyle w:val="42"/>
                    <w:rPr>
                      <w:rFonts w:hint="default" w:ascii="Times New Roman" w:hAnsi="Times New Roman" w:cs="Times New Roman"/>
                      <w:color w:val="auto"/>
                    </w:rPr>
                  </w:pPr>
                  <w:r>
                    <w:rPr>
                      <w:rFonts w:hint="default" w:ascii="Times New Roman" w:hAnsi="Times New Roman" w:cs="Times New Roman"/>
                      <w:color w:val="auto"/>
                    </w:rPr>
                    <w:t>东厂界</w:t>
                  </w:r>
                </w:p>
              </w:tc>
              <w:tc>
                <w:tcPr>
                  <w:tcW w:w="659" w:type="pct"/>
                  <w:vMerge w:val="restart"/>
                  <w:vAlign w:val="center"/>
                </w:tcPr>
                <w:p w14:paraId="63913D7D">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163.11</w:t>
                  </w:r>
                </w:p>
              </w:tc>
              <w:tc>
                <w:tcPr>
                  <w:tcW w:w="668" w:type="pct"/>
                  <w:vMerge w:val="restart"/>
                  <w:vAlign w:val="center"/>
                </w:tcPr>
                <w:p w14:paraId="494986BF">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-22.19</w:t>
                  </w:r>
                </w:p>
              </w:tc>
              <w:tc>
                <w:tcPr>
                  <w:tcW w:w="748" w:type="pct"/>
                  <w:vMerge w:val="restart"/>
                  <w:vAlign w:val="center"/>
                </w:tcPr>
                <w:p w14:paraId="7AB10E91">
                  <w:pPr>
                    <w:pStyle w:val="42"/>
                    <w:rPr>
                      <w:rFonts w:hint="default" w:ascii="Times New Roman" w:hAnsi="Times New Roman" w:eastAsia="宋体" w:cs="Times New Roman"/>
                      <w:color w:val="auto"/>
                      <w:lang w:eastAsia="zh-CN"/>
                    </w:rPr>
                  </w:pPr>
                  <w:r>
                    <w:rPr>
                      <w:rFonts w:hint="default" w:ascii="Times New Roman" w:hAnsi="Times New Roman" w:cs="Times New Roman"/>
                      <w:color w:val="auto"/>
                    </w:rPr>
                    <w:t>1.2</w:t>
                  </w:r>
                </w:p>
              </w:tc>
              <w:tc>
                <w:tcPr>
                  <w:tcW w:w="705" w:type="pct"/>
                  <w:vAlign w:val="center"/>
                </w:tcPr>
                <w:p w14:paraId="7473C613">
                  <w:pPr>
                    <w:pStyle w:val="42"/>
                    <w:rPr>
                      <w:rFonts w:hint="default" w:ascii="Times New Roman" w:hAnsi="Times New Roman" w:cs="Times New Roman"/>
                      <w:color w:val="auto"/>
                    </w:rPr>
                  </w:pPr>
                  <w:r>
                    <w:rPr>
                      <w:rFonts w:hint="default" w:ascii="Times New Roman" w:hAnsi="Times New Roman" w:cs="Times New Roman"/>
                      <w:color w:val="auto"/>
                    </w:rPr>
                    <w:t>昼间</w:t>
                  </w:r>
                </w:p>
              </w:tc>
              <w:tc>
                <w:tcPr>
                  <w:tcW w:w="589" w:type="pct"/>
                  <w:vAlign w:val="center"/>
                </w:tcPr>
                <w:p w14:paraId="1D18C2F7">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44.</w:t>
                  </w:r>
                  <w:r>
                    <w:rPr>
                      <w:rFonts w:hint="eastAsia" w:cs="Times New Roman"/>
                      <w:color w:val="auto"/>
                      <w:lang w:val="en-US" w:eastAsia="zh-CN"/>
                    </w:rPr>
                    <w:t>67</w:t>
                  </w:r>
                </w:p>
              </w:tc>
              <w:tc>
                <w:tcPr>
                  <w:tcW w:w="589" w:type="pct"/>
                  <w:vAlign w:val="center"/>
                </w:tcPr>
                <w:p w14:paraId="7D8F30AB">
                  <w:pPr>
                    <w:pStyle w:val="42"/>
                    <w:rPr>
                      <w:rFonts w:hint="default" w:ascii="Times New Roman" w:hAnsi="Times New Roman" w:cs="Times New Roman"/>
                      <w:color w:val="auto"/>
                    </w:rPr>
                  </w:pPr>
                  <w:r>
                    <w:rPr>
                      <w:rFonts w:hint="default" w:ascii="Times New Roman" w:hAnsi="Times New Roman" w:cs="Times New Roman"/>
                      <w:color w:val="auto"/>
                    </w:rPr>
                    <w:t>60</w:t>
                  </w:r>
                </w:p>
              </w:tc>
              <w:tc>
                <w:tcPr>
                  <w:tcW w:w="495" w:type="pct"/>
                  <w:vMerge w:val="restart"/>
                  <w:vAlign w:val="center"/>
                </w:tcPr>
                <w:p w14:paraId="4AAC3E32">
                  <w:pPr>
                    <w:pStyle w:val="42"/>
                    <w:rPr>
                      <w:rFonts w:hint="default" w:ascii="Times New Roman" w:hAnsi="Times New Roman" w:cs="Times New Roman"/>
                      <w:color w:val="auto"/>
                    </w:rPr>
                  </w:pPr>
                  <w:r>
                    <w:rPr>
                      <w:rFonts w:hint="default" w:ascii="Times New Roman" w:hAnsi="Times New Roman" w:cs="Times New Roman"/>
                      <w:color w:val="auto"/>
                    </w:rPr>
                    <w:t>达标</w:t>
                  </w:r>
                </w:p>
              </w:tc>
            </w:tr>
            <w:tr w14:paraId="635A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vMerge w:val="continue"/>
                  <w:vAlign w:val="center"/>
                </w:tcPr>
                <w:p w14:paraId="4E32DCC4">
                  <w:pPr>
                    <w:pStyle w:val="42"/>
                    <w:rPr>
                      <w:rFonts w:hint="default" w:ascii="Times New Roman" w:hAnsi="Times New Roman" w:cs="Times New Roman"/>
                      <w:color w:val="auto"/>
                    </w:rPr>
                  </w:pPr>
                </w:p>
              </w:tc>
              <w:tc>
                <w:tcPr>
                  <w:tcW w:w="659" w:type="pct"/>
                  <w:vMerge w:val="continue"/>
                  <w:vAlign w:val="center"/>
                </w:tcPr>
                <w:p w14:paraId="722D74F3">
                  <w:pPr>
                    <w:pStyle w:val="42"/>
                    <w:rPr>
                      <w:rFonts w:hint="default" w:ascii="Times New Roman" w:hAnsi="Times New Roman" w:cs="Times New Roman"/>
                      <w:color w:val="auto"/>
                    </w:rPr>
                  </w:pPr>
                </w:p>
              </w:tc>
              <w:tc>
                <w:tcPr>
                  <w:tcW w:w="668" w:type="pct"/>
                  <w:vMerge w:val="continue"/>
                  <w:vAlign w:val="center"/>
                </w:tcPr>
                <w:p w14:paraId="1C1655C6">
                  <w:pPr>
                    <w:pStyle w:val="42"/>
                    <w:rPr>
                      <w:rFonts w:hint="default" w:ascii="Times New Roman" w:hAnsi="Times New Roman" w:cs="Times New Roman"/>
                      <w:color w:val="auto"/>
                    </w:rPr>
                  </w:pPr>
                </w:p>
              </w:tc>
              <w:tc>
                <w:tcPr>
                  <w:tcW w:w="748" w:type="pct"/>
                  <w:vMerge w:val="continue"/>
                  <w:vAlign w:val="center"/>
                </w:tcPr>
                <w:p w14:paraId="4CF5EEED">
                  <w:pPr>
                    <w:pStyle w:val="42"/>
                    <w:rPr>
                      <w:rFonts w:hint="default" w:ascii="Times New Roman" w:hAnsi="Times New Roman" w:cs="Times New Roman"/>
                      <w:color w:val="auto"/>
                    </w:rPr>
                  </w:pPr>
                </w:p>
              </w:tc>
              <w:tc>
                <w:tcPr>
                  <w:tcW w:w="705" w:type="pct"/>
                  <w:vAlign w:val="center"/>
                </w:tcPr>
                <w:p w14:paraId="14A8F709">
                  <w:pPr>
                    <w:pStyle w:val="42"/>
                    <w:rPr>
                      <w:rFonts w:hint="default" w:ascii="Times New Roman" w:hAnsi="Times New Roman" w:cs="Times New Roman"/>
                      <w:color w:val="auto"/>
                    </w:rPr>
                  </w:pPr>
                  <w:r>
                    <w:rPr>
                      <w:rFonts w:hint="default" w:ascii="Times New Roman" w:hAnsi="Times New Roman" w:cs="Times New Roman"/>
                      <w:color w:val="auto"/>
                    </w:rPr>
                    <w:t>夜间</w:t>
                  </w:r>
                </w:p>
              </w:tc>
              <w:tc>
                <w:tcPr>
                  <w:tcW w:w="589" w:type="pct"/>
                  <w:vAlign w:val="center"/>
                </w:tcPr>
                <w:p w14:paraId="42362BCF">
                  <w:pPr>
                    <w:pStyle w:val="4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589" w:type="pct"/>
                  <w:vAlign w:val="center"/>
                </w:tcPr>
                <w:p w14:paraId="1AFBB0C3">
                  <w:pPr>
                    <w:pStyle w:val="42"/>
                    <w:rPr>
                      <w:rFonts w:hint="default" w:ascii="Times New Roman" w:hAnsi="Times New Roman" w:cs="Times New Roman"/>
                      <w:color w:val="auto"/>
                    </w:rPr>
                  </w:pPr>
                  <w:r>
                    <w:rPr>
                      <w:rFonts w:hint="default" w:ascii="Times New Roman" w:hAnsi="Times New Roman" w:cs="Times New Roman"/>
                      <w:color w:val="auto"/>
                    </w:rPr>
                    <w:t>50</w:t>
                  </w:r>
                </w:p>
              </w:tc>
              <w:tc>
                <w:tcPr>
                  <w:tcW w:w="495" w:type="pct"/>
                  <w:vMerge w:val="continue"/>
                  <w:vAlign w:val="center"/>
                </w:tcPr>
                <w:p w14:paraId="0B33E6DD">
                  <w:pPr>
                    <w:pStyle w:val="42"/>
                    <w:rPr>
                      <w:rFonts w:hint="default" w:ascii="Times New Roman" w:hAnsi="Times New Roman" w:cs="Times New Roman"/>
                      <w:color w:val="auto"/>
                    </w:rPr>
                  </w:pPr>
                </w:p>
              </w:tc>
            </w:tr>
          </w:tbl>
          <w:p w14:paraId="50E18F6E">
            <w:pPr>
              <w:ind w:left="0" w:leftChars="0" w:firstLine="0" w:firstLineChars="0"/>
              <w:jc w:val="both"/>
              <w:rPr>
                <w:rFonts w:hint="default" w:ascii="Times New Roman" w:hAnsi="Times New Roman" w:cs="Times New Roman"/>
                <w:b/>
                <w:bCs/>
                <w:color w:val="auto"/>
                <w:sz w:val="21"/>
                <w:szCs w:val="21"/>
                <w:lang w:val="en-US" w:eastAsia="zh-CN"/>
              </w:rPr>
            </w:pPr>
          </w:p>
          <w:p w14:paraId="08E71340">
            <w:pPr>
              <w:ind w:left="0" w:leftChars="0" w:firstLine="0" w:firstLineChars="0"/>
              <w:jc w:val="center"/>
              <w:rPr>
                <w:rFonts w:hint="default" w:ascii="Times New Roman" w:hAnsi="Times New Roman" w:eastAsia="宋体" w:cs="Times New Roman"/>
                <w:color w:val="auto"/>
                <w:lang w:eastAsia="zh-CN"/>
              </w:rPr>
            </w:pPr>
            <w:r>
              <w:rPr>
                <w:color w:val="auto"/>
              </w:rPr>
              <w:drawing>
                <wp:inline distT="0" distB="0" distL="114300" distR="114300">
                  <wp:extent cx="4295775" cy="4086225"/>
                  <wp:effectExtent l="0" t="0" r="9525" b="952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40"/>
                          <a:stretch>
                            <a:fillRect/>
                          </a:stretch>
                        </pic:blipFill>
                        <pic:spPr>
                          <a:xfrm>
                            <a:off x="0" y="0"/>
                            <a:ext cx="4295775" cy="4086225"/>
                          </a:xfrm>
                          <a:prstGeom prst="rect">
                            <a:avLst/>
                          </a:prstGeom>
                          <a:noFill/>
                          <a:ln>
                            <a:noFill/>
                          </a:ln>
                        </pic:spPr>
                      </pic:pic>
                    </a:graphicData>
                  </a:graphic>
                </wp:inline>
              </w:drawing>
            </w:r>
          </w:p>
          <w:p w14:paraId="3BCE2792">
            <w:pPr>
              <w:pStyle w:val="27"/>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图4-3本项目噪声预测图</w:t>
            </w:r>
          </w:p>
          <w:p w14:paraId="6FE1D01B">
            <w:pPr>
              <w:ind w:left="0" w:leftChars="0" w:firstLine="0" w:firstLineChars="0"/>
              <w:jc w:val="center"/>
              <w:rPr>
                <w:rFonts w:hint="default" w:ascii="Times New Roman" w:hAnsi="Times New Roman" w:cs="Times New Roman"/>
                <w:color w:val="auto"/>
              </w:rPr>
            </w:pPr>
            <w:r>
              <w:rPr>
                <w:color w:val="auto"/>
              </w:rPr>
              <w:drawing>
                <wp:inline distT="0" distB="0" distL="114300" distR="114300">
                  <wp:extent cx="5286375" cy="1171575"/>
                  <wp:effectExtent l="0" t="0" r="9525" b="952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41"/>
                          <a:stretch>
                            <a:fillRect/>
                          </a:stretch>
                        </pic:blipFill>
                        <pic:spPr>
                          <a:xfrm>
                            <a:off x="0" y="0"/>
                            <a:ext cx="5286375" cy="1171575"/>
                          </a:xfrm>
                          <a:prstGeom prst="rect">
                            <a:avLst/>
                          </a:prstGeom>
                          <a:noFill/>
                          <a:ln>
                            <a:noFill/>
                          </a:ln>
                        </pic:spPr>
                      </pic:pic>
                    </a:graphicData>
                  </a:graphic>
                </wp:inline>
              </w:drawing>
            </w:r>
          </w:p>
          <w:p w14:paraId="1255FD38">
            <w:pPr>
              <w:pStyle w:val="37"/>
              <w:jc w:val="center"/>
              <w:rPr>
                <w:rFonts w:hint="default" w:ascii="Times New Roman" w:hAnsi="Times New Roman" w:eastAsia="微软雅黑"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图4-4</w:t>
            </w:r>
            <w:r>
              <w:rPr>
                <w:rFonts w:hint="default" w:ascii="Times New Roman" w:hAnsi="Times New Roman" w:cs="Times New Roman"/>
                <w:b/>
                <w:bCs/>
                <w:color w:val="auto"/>
                <w:sz w:val="21"/>
                <w:szCs w:val="21"/>
              </w:rPr>
              <w:t>东厂界噪声线接受点预测结果图</w:t>
            </w:r>
          </w:p>
          <w:p w14:paraId="32606E5C">
            <w:pPr>
              <w:ind w:left="0" w:leftChars="0" w:firstLine="0" w:firstLineChars="0"/>
              <w:jc w:val="center"/>
              <w:rPr>
                <w:rFonts w:hint="default" w:ascii="Times New Roman" w:hAnsi="Times New Roman" w:cs="Times New Roman"/>
                <w:color w:val="auto"/>
              </w:rPr>
            </w:pPr>
            <w:r>
              <w:rPr>
                <w:color w:val="auto"/>
              </w:rPr>
              <w:drawing>
                <wp:inline distT="0" distB="0" distL="114300" distR="114300">
                  <wp:extent cx="5200650" cy="1181100"/>
                  <wp:effectExtent l="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42"/>
                          <a:stretch>
                            <a:fillRect/>
                          </a:stretch>
                        </pic:blipFill>
                        <pic:spPr>
                          <a:xfrm>
                            <a:off x="0" y="0"/>
                            <a:ext cx="5200650" cy="1181100"/>
                          </a:xfrm>
                          <a:prstGeom prst="rect">
                            <a:avLst/>
                          </a:prstGeom>
                          <a:noFill/>
                          <a:ln>
                            <a:noFill/>
                          </a:ln>
                        </pic:spPr>
                      </pic:pic>
                    </a:graphicData>
                  </a:graphic>
                </wp:inline>
              </w:drawing>
            </w:r>
          </w:p>
          <w:p w14:paraId="7E717FDB">
            <w:pPr>
              <w:pStyle w:val="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图4-5</w:t>
            </w:r>
            <w:r>
              <w:rPr>
                <w:rFonts w:hint="default" w:ascii="Times New Roman" w:hAnsi="Times New Roman" w:cs="Times New Roman"/>
                <w:b/>
                <w:bCs/>
                <w:color w:val="auto"/>
                <w:sz w:val="21"/>
                <w:szCs w:val="21"/>
              </w:rPr>
              <w:t>南厂界噪声线接受点预测结果图</w:t>
            </w:r>
          </w:p>
          <w:p w14:paraId="078FCFA2">
            <w:pPr>
              <w:pStyle w:val="37"/>
              <w:jc w:val="center"/>
              <w:rPr>
                <w:rFonts w:hint="default" w:ascii="Times New Roman" w:hAnsi="Times New Roman" w:cs="Times New Roman"/>
                <w:color w:val="auto"/>
              </w:rPr>
            </w:pPr>
            <w:r>
              <w:rPr>
                <w:color w:val="auto"/>
              </w:rPr>
              <w:drawing>
                <wp:inline distT="0" distB="0" distL="114300" distR="114300">
                  <wp:extent cx="5229225" cy="1028700"/>
                  <wp:effectExtent l="0" t="0" r="9525"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43"/>
                          <a:stretch>
                            <a:fillRect/>
                          </a:stretch>
                        </pic:blipFill>
                        <pic:spPr>
                          <a:xfrm>
                            <a:off x="0" y="0"/>
                            <a:ext cx="5229225" cy="1028700"/>
                          </a:xfrm>
                          <a:prstGeom prst="rect">
                            <a:avLst/>
                          </a:prstGeom>
                          <a:noFill/>
                          <a:ln>
                            <a:noFill/>
                          </a:ln>
                        </pic:spPr>
                      </pic:pic>
                    </a:graphicData>
                  </a:graphic>
                </wp:inline>
              </w:drawing>
            </w:r>
          </w:p>
          <w:p w14:paraId="7B8FB942">
            <w:pPr>
              <w:pStyle w:val="37"/>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图4-6</w:t>
            </w:r>
            <w:r>
              <w:rPr>
                <w:rFonts w:hint="default" w:ascii="Times New Roman" w:hAnsi="Times New Roman" w:cs="Times New Roman"/>
                <w:b/>
                <w:bCs/>
                <w:color w:val="auto"/>
                <w:sz w:val="21"/>
                <w:szCs w:val="21"/>
              </w:rPr>
              <w:t>西厂界噪声线接受点预测结</w:t>
            </w:r>
            <w:r>
              <w:rPr>
                <w:rFonts w:hint="default" w:ascii="Times New Roman" w:hAnsi="Times New Roman" w:cs="Times New Roman"/>
                <w:b/>
                <w:bCs/>
                <w:color w:val="auto"/>
                <w:sz w:val="21"/>
                <w:szCs w:val="21"/>
                <w:lang w:val="en-US" w:eastAsia="zh-CN"/>
              </w:rPr>
              <w:t>果</w:t>
            </w:r>
          </w:p>
          <w:p w14:paraId="7FCE5116">
            <w:pPr>
              <w:pStyle w:val="37"/>
              <w:jc w:val="center"/>
              <w:rPr>
                <w:rFonts w:hint="default" w:ascii="Times New Roman" w:hAnsi="Times New Roman" w:cs="Times New Roman"/>
                <w:b/>
                <w:bCs/>
                <w:color w:val="auto"/>
                <w:sz w:val="21"/>
                <w:szCs w:val="21"/>
                <w:lang w:val="en-US" w:eastAsia="zh-CN"/>
              </w:rPr>
            </w:pPr>
            <w:r>
              <w:rPr>
                <w:color w:val="auto"/>
              </w:rPr>
              <w:drawing>
                <wp:inline distT="0" distB="0" distL="114300" distR="114300">
                  <wp:extent cx="5238750" cy="1228725"/>
                  <wp:effectExtent l="0" t="0" r="0" b="952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44"/>
                          <a:stretch>
                            <a:fillRect/>
                          </a:stretch>
                        </pic:blipFill>
                        <pic:spPr>
                          <a:xfrm>
                            <a:off x="0" y="0"/>
                            <a:ext cx="5238750" cy="1228725"/>
                          </a:xfrm>
                          <a:prstGeom prst="rect">
                            <a:avLst/>
                          </a:prstGeom>
                          <a:noFill/>
                          <a:ln>
                            <a:noFill/>
                          </a:ln>
                        </pic:spPr>
                      </pic:pic>
                    </a:graphicData>
                  </a:graphic>
                </wp:inline>
              </w:drawing>
            </w:r>
          </w:p>
          <w:p w14:paraId="4D101A7E">
            <w:pPr>
              <w:pStyle w:val="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图4-7</w:t>
            </w:r>
            <w:r>
              <w:rPr>
                <w:rFonts w:hint="default" w:ascii="Times New Roman" w:hAnsi="Times New Roman" w:cs="Times New Roman"/>
                <w:b/>
                <w:bCs/>
                <w:color w:val="auto"/>
                <w:sz w:val="21"/>
                <w:szCs w:val="21"/>
              </w:rPr>
              <w:t>北厂界噪声线接受点预测结果图</w:t>
            </w:r>
          </w:p>
          <w:p w14:paraId="5898F4D6">
            <w:pPr>
              <w:pStyle w:val="37"/>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本项目不在夜间生产，</w:t>
            </w:r>
            <w:r>
              <w:rPr>
                <w:rFonts w:hint="default" w:ascii="Times New Roman" w:hAnsi="Times New Roman" w:cs="Times New Roman"/>
                <w:color w:val="auto"/>
                <w:sz w:val="24"/>
                <w:szCs w:val="24"/>
              </w:rPr>
              <w:t>根据预测结果，厂界噪声</w:t>
            </w:r>
            <w:r>
              <w:rPr>
                <w:rFonts w:hint="default" w:ascii="Times New Roman" w:hAnsi="Times New Roman" w:cs="Times New Roman"/>
                <w:color w:val="auto"/>
                <w:sz w:val="24"/>
                <w:szCs w:val="24"/>
                <w:lang w:val="en-US" w:eastAsia="zh-CN"/>
              </w:rPr>
              <w:t>昼间</w:t>
            </w:r>
            <w:r>
              <w:rPr>
                <w:rFonts w:hint="default" w:ascii="Times New Roman" w:hAnsi="Times New Roman" w:cs="Times New Roman"/>
                <w:color w:val="auto"/>
                <w:sz w:val="24"/>
                <w:szCs w:val="24"/>
              </w:rPr>
              <w:t>贡献值在</w:t>
            </w:r>
            <w:r>
              <w:rPr>
                <w:rFonts w:hint="eastAsia" w:cs="Times New Roman"/>
                <w:color w:val="auto"/>
                <w:sz w:val="24"/>
                <w:szCs w:val="24"/>
                <w:lang w:val="en-US" w:eastAsia="zh-CN"/>
              </w:rPr>
              <w:t>42.41</w:t>
            </w:r>
            <w:r>
              <w:rPr>
                <w:rFonts w:hint="default" w:ascii="Times New Roman" w:hAnsi="Times New Roman" w:cs="Times New Roman"/>
                <w:color w:val="auto"/>
                <w:sz w:val="24"/>
                <w:szCs w:val="24"/>
              </w:rPr>
              <w:t>dB（A）～</w:t>
            </w:r>
            <w:r>
              <w:rPr>
                <w:rFonts w:hint="eastAsia" w:cs="Times New Roman"/>
                <w:color w:val="auto"/>
                <w:sz w:val="24"/>
                <w:szCs w:val="24"/>
                <w:lang w:val="en-US" w:eastAsia="zh-CN"/>
              </w:rPr>
              <w:t>51.93</w:t>
            </w:r>
            <w:r>
              <w:rPr>
                <w:rFonts w:hint="default" w:ascii="Times New Roman" w:hAnsi="Times New Roman" w:cs="Times New Roman"/>
                <w:color w:val="auto"/>
                <w:sz w:val="24"/>
                <w:szCs w:val="24"/>
              </w:rPr>
              <w:t>dB（A）之间，噪声贡献值满足GB12348-2008《工业企业厂界环境噪声排放标准》2类标准；</w:t>
            </w:r>
            <w:r>
              <w:rPr>
                <w:rFonts w:hint="default" w:ascii="Times New Roman" w:hAnsi="Times New Roman" w:cs="Times New Roman"/>
                <w:color w:val="auto"/>
                <w:sz w:val="24"/>
                <w:szCs w:val="24"/>
                <w:lang w:val="en-US" w:eastAsia="zh-CN"/>
              </w:rPr>
              <w:t>对周围环境影响不大。</w:t>
            </w:r>
          </w:p>
          <w:p w14:paraId="188FBB79">
            <w:pPr>
              <w:pStyle w:val="37"/>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4.2运营期</w:t>
            </w:r>
            <w:r>
              <w:rPr>
                <w:rFonts w:hint="default" w:ascii="Times New Roman" w:hAnsi="Times New Roman" w:cs="Times New Roman"/>
                <w:b/>
                <w:bCs/>
                <w:color w:val="auto"/>
                <w:sz w:val="24"/>
                <w:szCs w:val="24"/>
                <w:lang w:val="en-US" w:eastAsia="zh-CN"/>
              </w:rPr>
              <w:t>声环保护措施</w:t>
            </w:r>
          </w:p>
          <w:p w14:paraId="7F773EB0">
            <w:pPr>
              <w:pStyle w:val="37"/>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选用低噪设备</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筛分</w:t>
            </w:r>
            <w:r>
              <w:rPr>
                <w:rFonts w:hint="default" w:ascii="Times New Roman" w:hAnsi="Times New Roman" w:cs="Times New Roman"/>
                <w:color w:val="auto"/>
                <w:sz w:val="24"/>
                <w:szCs w:val="24"/>
              </w:rPr>
              <w:t>机</w:t>
            </w:r>
            <w:r>
              <w:rPr>
                <w:rFonts w:hint="default" w:ascii="Times New Roman" w:hAnsi="Times New Roman" w:cs="Times New Roman"/>
                <w:color w:val="auto"/>
                <w:sz w:val="24"/>
                <w:szCs w:val="24"/>
                <w:lang w:val="en-US" w:eastAsia="zh-CN"/>
              </w:rPr>
              <w:t>定期维护，安装减震垫片；加工生产线周围设置降噪围挡。</w:t>
            </w:r>
          </w:p>
          <w:p w14:paraId="6B8C0ED9">
            <w:pPr>
              <w:pStyle w:val="37"/>
              <w:ind w:firstLine="480" w:firstLineChars="200"/>
              <w:rPr>
                <w:rFonts w:hint="default" w:ascii="Times New Roman" w:hAnsi="Times New Roman" w:cs="Times New Roman"/>
                <w:color w:val="auto"/>
                <w:kern w:val="0"/>
                <w:sz w:val="24"/>
              </w:rPr>
            </w:pPr>
            <w:r>
              <w:rPr>
                <w:rFonts w:hint="default" w:ascii="Times New Roman" w:hAnsi="Times New Roman" w:eastAsia="宋体" w:cs="Times New Roman"/>
                <w:color w:val="auto"/>
                <w:sz w:val="24"/>
                <w:szCs w:val="24"/>
              </w:rPr>
              <w:t>本项目采取选择低噪声设备、隔声、减振；加强设备维护、检修等措施。严格落实环保措施后，厂界</w:t>
            </w:r>
            <w:r>
              <w:rPr>
                <w:rFonts w:hint="default" w:ascii="Times New Roman" w:hAnsi="Times New Roman" w:cs="Times New Roman"/>
                <w:color w:val="auto"/>
                <w:sz w:val="24"/>
                <w:szCs w:val="24"/>
                <w:lang w:val="en-US" w:eastAsia="zh-CN"/>
              </w:rPr>
              <w:t>四周</w:t>
            </w:r>
            <w:r>
              <w:rPr>
                <w:rFonts w:hint="default" w:ascii="Times New Roman" w:hAnsi="Times New Roman" w:eastAsia="宋体" w:cs="Times New Roman"/>
                <w:color w:val="auto"/>
                <w:sz w:val="24"/>
                <w:szCs w:val="24"/>
              </w:rPr>
              <w:t>噪声满足《工业企业厂界环境噪声排放标准》（GB12348-2008）中</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kern w:val="0"/>
                <w:sz w:val="24"/>
              </w:rPr>
              <w:t>综上，本项目建设对周围声环境影响较小。</w:t>
            </w:r>
          </w:p>
          <w:p w14:paraId="7F35AED5">
            <w:pPr>
              <w:pStyle w:val="37"/>
              <w:ind w:firstLine="480" w:firstLineChars="200"/>
              <w:rPr>
                <w:rFonts w:hint="default" w:ascii="Times New Roman" w:hAnsi="Times New Roman" w:cs="Times New Roman"/>
                <w:color w:val="auto"/>
                <w:kern w:val="0"/>
                <w:sz w:val="24"/>
                <w:lang w:val="en-US" w:eastAsia="zh-CN"/>
              </w:rPr>
            </w:pPr>
          </w:p>
          <w:p w14:paraId="09C94CDA">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环境风险影响分析</w:t>
            </w:r>
          </w:p>
          <w:p w14:paraId="7242D9F6">
            <w:pPr>
              <w:pStyle w:val="27"/>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asci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.1环境风险识别</w:t>
            </w:r>
          </w:p>
          <w:p w14:paraId="291AA716">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根据《建设项目环境风险评价技术导则》（HJ169-2018）和《危险化学品重大风险源识别》（GB18218-2018），本项目</w:t>
            </w:r>
            <w:r>
              <w:rPr>
                <w:rFonts w:hint="default" w:ascii="Times New Roman" w:hAnsi="Times New Roman" w:cs="Times New Roman"/>
                <w:b w:val="0"/>
                <w:bCs w:val="0"/>
                <w:color w:val="auto"/>
                <w:kern w:val="2"/>
                <w:sz w:val="24"/>
                <w:szCs w:val="24"/>
                <w:lang w:val="en-US" w:eastAsia="zh-CN" w:bidi="ar-SA"/>
              </w:rPr>
              <w:t>加工、</w:t>
            </w:r>
            <w:r>
              <w:rPr>
                <w:rFonts w:hint="default" w:ascii="Times New Roman" w:hAnsi="Times New Roman" w:eastAsia="宋体" w:cs="Times New Roman"/>
                <w:b w:val="0"/>
                <w:bCs w:val="0"/>
                <w:color w:val="auto"/>
                <w:kern w:val="2"/>
                <w:sz w:val="24"/>
                <w:szCs w:val="24"/>
                <w:lang w:val="en-US" w:eastAsia="zh-CN" w:bidi="ar-SA"/>
              </w:rPr>
              <w:t>运输物质为</w:t>
            </w:r>
            <w:r>
              <w:rPr>
                <w:rFonts w:hint="default" w:ascii="Times New Roman" w:hAnsi="Times New Roman" w:cs="Times New Roman"/>
                <w:b w:val="0"/>
                <w:bCs w:val="0"/>
                <w:color w:val="auto"/>
                <w:kern w:val="2"/>
                <w:sz w:val="24"/>
                <w:szCs w:val="24"/>
                <w:lang w:val="en-US" w:eastAsia="zh-CN" w:bidi="ar-SA"/>
              </w:rPr>
              <w:t>建筑用石骨料</w:t>
            </w:r>
            <w:r>
              <w:rPr>
                <w:rFonts w:hint="default" w:ascii="Times New Roman" w:hAnsi="Times New Roman" w:eastAsia="宋体" w:cs="Times New Roman"/>
                <w:b w:val="0"/>
                <w:bCs w:val="0"/>
                <w:color w:val="auto"/>
                <w:kern w:val="2"/>
                <w:sz w:val="24"/>
                <w:szCs w:val="24"/>
                <w:lang w:val="en-US" w:eastAsia="zh-CN" w:bidi="ar-SA"/>
              </w:rPr>
              <w:t>，不属于易燃、爆炸和毒性物质；故本项目环境风险源主要是</w:t>
            </w:r>
            <w:r>
              <w:rPr>
                <w:rFonts w:hint="eastAsia" w:cs="Times New Roman"/>
                <w:b w:val="0"/>
                <w:bCs w:val="0"/>
                <w:color w:val="auto"/>
                <w:kern w:val="2"/>
                <w:sz w:val="24"/>
                <w:szCs w:val="24"/>
                <w:lang w:val="en-US" w:eastAsia="zh-CN" w:bidi="ar-SA"/>
              </w:rPr>
              <w:t>废润滑油</w:t>
            </w:r>
            <w:r>
              <w:rPr>
                <w:rFonts w:hint="default" w:ascii="Times New Roman" w:hAnsi="Times New Roman" w:eastAsia="宋体" w:cs="Times New Roman"/>
                <w:b w:val="0"/>
                <w:bCs w:val="0"/>
                <w:color w:val="auto"/>
                <w:kern w:val="2"/>
                <w:sz w:val="24"/>
                <w:szCs w:val="24"/>
                <w:lang w:val="en-US" w:eastAsia="zh-CN" w:bidi="ar-SA"/>
              </w:rPr>
              <w:t>。</w:t>
            </w:r>
          </w:p>
          <w:p w14:paraId="0D3AB702">
            <w:pPr>
              <w:numPr>
                <w:ilvl w:val="0"/>
                <w:numId w:val="0"/>
              </w:numPr>
              <w:shd w:val="clear"/>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9</w:t>
            </w:r>
            <w:r>
              <w:rPr>
                <w:rFonts w:hint="default" w:ascii="Times New Roman" w:hAnsi="Times New Roman" w:eastAsia="宋体" w:cs="Times New Roman"/>
                <w:b/>
                <w:bCs/>
                <w:color w:val="auto"/>
                <w:kern w:val="2"/>
                <w:sz w:val="21"/>
                <w:szCs w:val="21"/>
                <w:lang w:val="en-US" w:eastAsia="zh-CN" w:bidi="ar-SA"/>
              </w:rPr>
              <w:t>本项目危险物质特性表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138"/>
            </w:tblGrid>
            <w:tr w14:paraId="23DB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51427092">
                  <w:pPr>
                    <w:pStyle w:val="8"/>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名称</w:t>
                  </w:r>
                </w:p>
              </w:tc>
              <w:tc>
                <w:tcPr>
                  <w:tcW w:w="4459" w:type="pct"/>
                  <w:vAlign w:val="center"/>
                </w:tcPr>
                <w:p w14:paraId="3C2715F1">
                  <w:pPr>
                    <w:pStyle w:val="8"/>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润滑油</w:t>
                  </w:r>
                </w:p>
              </w:tc>
            </w:tr>
            <w:tr w14:paraId="658F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0C4835A0">
                  <w:pPr>
                    <w:pStyle w:val="8"/>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主要组成与性状</w:t>
                  </w:r>
                </w:p>
              </w:tc>
              <w:tc>
                <w:tcPr>
                  <w:tcW w:w="4459" w:type="pct"/>
                  <w:vAlign w:val="center"/>
                </w:tcPr>
                <w:p w14:paraId="51EC30FC">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中文名称：润滑油英文名称：lubricatingoil</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br w:type="textWrapping"/>
                  </w:r>
                  <w:r>
                    <w:rPr>
                      <w:rFonts w:hint="default" w:ascii="Times New Roman" w:hAnsi="Times New Roman" w:eastAsia="宋体" w:cs="Times New Roman"/>
                      <w:b w:val="0"/>
                      <w:bCs w:val="0"/>
                      <w:color w:val="auto"/>
                      <w:sz w:val="21"/>
                      <w:szCs w:val="21"/>
                      <w:lang w:val="en-US" w:eastAsia="zh-CN"/>
                    </w:rPr>
                    <w:t>CAS号：无</w:t>
                  </w:r>
                  <w:r>
                    <w:rPr>
                      <w:rFonts w:hint="eastAsia" w:ascii="Times New Roman" w:hAnsi="Times New Roman" w:cs="Times New Roman"/>
                      <w:b w:val="0"/>
                      <w:bCs w:val="0"/>
                      <w:color w:val="auto"/>
                      <w:sz w:val="21"/>
                      <w:szCs w:val="21"/>
                      <w:lang w:val="en-US" w:eastAsia="zh-CN"/>
                    </w:rPr>
                    <w:t>；</w:t>
                  </w:r>
                </w:p>
                <w:p w14:paraId="406707D7">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危规号：无</w:t>
                  </w:r>
                  <w:r>
                    <w:rPr>
                      <w:rFonts w:hint="eastAsia" w:ascii="Times New Roman" w:hAnsi="Times New Roman" w:cs="Times New Roman"/>
                      <w:b w:val="0"/>
                      <w:bCs w:val="0"/>
                      <w:color w:val="auto"/>
                      <w:sz w:val="21"/>
                      <w:szCs w:val="21"/>
                      <w:lang w:val="en-US" w:eastAsia="zh-CN"/>
                    </w:rPr>
                    <w:t>；</w:t>
                  </w:r>
                </w:p>
                <w:p w14:paraId="3D8303B1">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UN编号：无</w:t>
                  </w:r>
                  <w:r>
                    <w:rPr>
                      <w:rFonts w:hint="eastAsia" w:ascii="Times New Roman" w:hAnsi="Times New Roman" w:cs="Times New Roman"/>
                      <w:b w:val="0"/>
                      <w:bCs w:val="0"/>
                      <w:color w:val="auto"/>
                      <w:sz w:val="21"/>
                      <w:szCs w:val="21"/>
                      <w:lang w:val="en-US" w:eastAsia="zh-CN"/>
                    </w:rPr>
                    <w:t>；</w:t>
                  </w:r>
                </w:p>
                <w:p w14:paraId="45676B1B">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分子量：230-500</w:t>
                  </w:r>
                  <w:r>
                    <w:rPr>
                      <w:rFonts w:hint="eastAsia" w:ascii="Times New Roman" w:hAnsi="Times New Roman" w:cs="Times New Roman"/>
                      <w:b w:val="0"/>
                      <w:bCs w:val="0"/>
                      <w:color w:val="auto"/>
                      <w:sz w:val="21"/>
                      <w:szCs w:val="21"/>
                      <w:lang w:val="en-US" w:eastAsia="zh-CN"/>
                    </w:rPr>
                    <w:t>；</w:t>
                  </w:r>
                </w:p>
                <w:p w14:paraId="3EFD38BD">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危险性类别：无</w:t>
                  </w:r>
                  <w:r>
                    <w:rPr>
                      <w:rFonts w:hint="eastAsia" w:ascii="Times New Roman" w:hAnsi="Times New Roman" w:cs="Times New Roman"/>
                      <w:b w:val="0"/>
                      <w:bCs w:val="0"/>
                      <w:color w:val="auto"/>
                      <w:sz w:val="21"/>
                      <w:szCs w:val="21"/>
                      <w:lang w:val="en-US" w:eastAsia="zh-CN"/>
                    </w:rPr>
                    <w:t>；</w:t>
                  </w:r>
                </w:p>
                <w:p w14:paraId="691DFB75">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外观与性状：油状液体，淡黄色至褐色，无气味或略带异味；</w:t>
                  </w:r>
                </w:p>
                <w:p w14:paraId="28097CA0">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闪点（℃）：76；</w:t>
                  </w:r>
                </w:p>
                <w:p w14:paraId="3838E2EB">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相对密度（水=1）：</w:t>
                  </w:r>
                  <w:r>
                    <w:rPr>
                      <w:rFonts w:hint="eastAsia" w:ascii="Times New Roman" w:hAnsi="Times New Roman" w:cs="Times New Roman"/>
                      <w:b w:val="0"/>
                      <w:bCs w:val="0"/>
                      <w:color w:val="auto"/>
                      <w:sz w:val="21"/>
                      <w:szCs w:val="21"/>
                      <w:lang w:val="en-US" w:eastAsia="zh-CN"/>
                    </w:rPr>
                    <w:t>＜1；</w:t>
                  </w:r>
                </w:p>
                <w:p w14:paraId="5271951E">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引燃温度（℃）：248</w:t>
                  </w:r>
                  <w:r>
                    <w:rPr>
                      <w:rFonts w:hint="eastAsia" w:ascii="Times New Roman" w:hAnsi="Times New Roman" w:cs="Times New Roman"/>
                      <w:b w:val="0"/>
                      <w:bCs w:val="0"/>
                      <w:color w:val="auto"/>
                      <w:sz w:val="21"/>
                      <w:szCs w:val="21"/>
                      <w:lang w:val="en-US" w:eastAsia="zh-CN"/>
                    </w:rPr>
                    <w:t>；</w:t>
                  </w:r>
                </w:p>
                <w:p w14:paraId="2E9640AC">
                  <w:pPr>
                    <w:pStyle w:val="8"/>
                    <w:keepNext w:val="0"/>
                    <w:keepLines w:val="0"/>
                    <w:suppressLineNumbers w:val="0"/>
                    <w:shd w:val="clear"/>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主要用途：用于机械的摩擦部分，起润滑、冷却和密封作用禁配物</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强氧化剂</w:t>
                  </w:r>
                  <w:r>
                    <w:rPr>
                      <w:rFonts w:hint="eastAsia" w:ascii="Times New Roman" w:hAnsi="Times New Roman" w:cs="Times New Roman"/>
                      <w:b w:val="0"/>
                      <w:bCs w:val="0"/>
                      <w:color w:val="auto"/>
                      <w:sz w:val="21"/>
                      <w:szCs w:val="21"/>
                      <w:lang w:val="en-US" w:eastAsia="zh-CN"/>
                    </w:rPr>
                    <w:t>。</w:t>
                  </w:r>
                </w:p>
              </w:tc>
            </w:tr>
            <w:tr w14:paraId="22CF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7FD1AD37">
                  <w:pPr>
                    <w:pStyle w:val="8"/>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危险性概述</w:t>
                  </w:r>
                </w:p>
              </w:tc>
              <w:tc>
                <w:tcPr>
                  <w:tcW w:w="4459" w:type="pct"/>
                  <w:vAlign w:val="center"/>
                </w:tcPr>
                <w:p w14:paraId="2A765066">
                  <w:pPr>
                    <w:pStyle w:val="8"/>
                    <w:keepNext w:val="0"/>
                    <w:keepLines w:val="0"/>
                    <w:suppressLineNumbers w:val="0"/>
                    <w:shd w:val="clear"/>
                    <w:spacing w:before="0" w:beforeAutospacing="0" w:after="0" w:afterAutospacing="0" w:line="240" w:lineRule="auto"/>
                    <w:ind w:left="0" w:leftChars="0" w:right="0" w:firstLine="0" w:firstLineChars="0"/>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侵入途径：</w:t>
                  </w:r>
                  <w:r>
                    <w:rPr>
                      <w:rFonts w:hint="default" w:ascii="Times New Roman" w:hAnsi="Times New Roman" w:eastAsia="宋体" w:cs="Times New Roman"/>
                      <w:bCs/>
                      <w:color w:val="auto"/>
                      <w:kern w:val="2"/>
                      <w:sz w:val="21"/>
                      <w:szCs w:val="21"/>
                      <w:lang w:val="en-US" w:eastAsia="zh-CN" w:bidi="ar-SA"/>
                    </w:rPr>
                    <w:t>急性吸入。</w:t>
                  </w:r>
                </w:p>
                <w:p w14:paraId="2D9C7B89">
                  <w:pPr>
                    <w:keepNext w:val="0"/>
                    <w:keepLines w:val="0"/>
                    <w:suppressLineNumbers w:val="0"/>
                    <w:shd w:val="clear"/>
                    <w:spacing w:before="0" w:beforeAutospacing="0" w:after="0" w:afterAutospacing="0" w:line="240" w:lineRule="auto"/>
                    <w:ind w:left="0" w:leftChars="0" w:right="0" w:firstLine="0" w:firstLineChars="0"/>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健康危害：</w:t>
                  </w:r>
                  <w:r>
                    <w:rPr>
                      <w:rFonts w:hint="default" w:ascii="Times New Roman" w:hAnsi="Times New Roman" w:eastAsia="宋体" w:cs="Times New Roman"/>
                      <w:bCs/>
                      <w:color w:val="auto"/>
                      <w:kern w:val="2"/>
                      <w:sz w:val="21"/>
                      <w:szCs w:val="21"/>
                      <w:lang w:val="en-US" w:eastAsia="zh-CN" w:bidi="ar-SA"/>
                    </w:rPr>
                    <w:t>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p w14:paraId="25C8B318">
                  <w:pPr>
                    <w:pStyle w:val="8"/>
                    <w:keepNext w:val="0"/>
                    <w:keepLines w:val="0"/>
                    <w:suppressLineNumbers w:val="0"/>
                    <w:shd w:val="clear"/>
                    <w:spacing w:before="0" w:beforeAutospacing="0" w:after="0" w:afterAutospacing="0" w:line="240" w:lineRule="auto"/>
                    <w:ind w:left="0" w:leftChars="0" w:right="0" w:firstLine="0" w:firstLineChars="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环境危害：对环境有危害，对水体和大气可造成污染。</w:t>
                  </w:r>
                </w:p>
                <w:p w14:paraId="52AD2430">
                  <w:pPr>
                    <w:pStyle w:val="7"/>
                    <w:keepNext w:val="0"/>
                    <w:keepLines w:val="0"/>
                    <w:suppressLineNumbers w:val="0"/>
                    <w:shd w:val="clear"/>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危险特性：遇明火、高热可燃。</w:t>
                  </w:r>
                </w:p>
              </w:tc>
            </w:tr>
            <w:tr w14:paraId="409A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14:paraId="3D003394">
                  <w:pPr>
                    <w:pStyle w:val="8"/>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防护措施</w:t>
                  </w:r>
                </w:p>
              </w:tc>
              <w:tc>
                <w:tcPr>
                  <w:tcW w:w="4459" w:type="pct"/>
                  <w:vAlign w:val="center"/>
                </w:tcPr>
                <w:p w14:paraId="3BE70239">
                  <w:pPr>
                    <w:pStyle w:val="8"/>
                    <w:keepNext w:val="0"/>
                    <w:keepLines w:val="0"/>
                    <w:suppressLineNumbers w:val="0"/>
                    <w:shd w:val="clear"/>
                    <w:spacing w:before="0" w:beforeAutospacing="0" w:after="0" w:afterAutospacing="0" w:line="240" w:lineRule="auto"/>
                    <w:ind w:left="0" w:leftChars="0" w:right="0" w:firstLine="0" w:firstLineChars="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①配备相应的灭火器（</w:t>
                  </w:r>
                  <w:r>
                    <w:rPr>
                      <w:rFonts w:hint="default" w:ascii="Times New Roman" w:hAnsi="Times New Roman" w:eastAsia="宋体" w:cs="Times New Roman"/>
                      <w:bCs/>
                      <w:color w:val="auto"/>
                      <w:kern w:val="2"/>
                      <w:sz w:val="21"/>
                      <w:szCs w:val="21"/>
                      <w:lang w:val="en-US" w:eastAsia="zh-CN" w:bidi="ar-SA"/>
                    </w:rPr>
                    <w:t>雾状水、泡沫、干粉、二氧化碳、</w:t>
                  </w:r>
                  <w:r>
                    <w:rPr>
                      <w:rFonts w:hint="default" w:ascii="Times New Roman" w:hAnsi="Times New Roman" w:eastAsia="宋体" w:cs="Times New Roman"/>
                      <w:b w:val="0"/>
                      <w:bCs w:val="0"/>
                      <w:color w:val="auto"/>
                      <w:sz w:val="21"/>
                      <w:szCs w:val="21"/>
                      <w:lang w:val="en-US" w:eastAsia="zh-CN"/>
                    </w:rPr>
                    <w:t>）和砂土。</w:t>
                  </w:r>
                </w:p>
                <w:p w14:paraId="43F3BBC3">
                  <w:pPr>
                    <w:keepNext w:val="0"/>
                    <w:keepLines w:val="0"/>
                    <w:suppressLineNumbers w:val="0"/>
                    <w:shd w:val="clear"/>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②注意通风。</w:t>
                  </w:r>
                </w:p>
              </w:tc>
            </w:tr>
          </w:tbl>
          <w:p w14:paraId="6A0EFAEF">
            <w:pPr>
              <w:numPr>
                <w:ilvl w:val="0"/>
                <w:numId w:val="0"/>
              </w:numP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2.</w:t>
            </w:r>
            <w:r>
              <w:rPr>
                <w:rFonts w:hint="eastAsia"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.2环境风险分析</w:t>
            </w:r>
          </w:p>
          <w:p w14:paraId="537DE07F">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（1）评价依据</w:t>
            </w:r>
          </w:p>
          <w:p w14:paraId="34745A65">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①环境风险潜势初判</w:t>
            </w:r>
          </w:p>
          <w:p w14:paraId="42D342ED">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A、危险物质数量与临界值比值（Q）</w:t>
            </w:r>
          </w:p>
          <w:p w14:paraId="31593773">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本项目根据风险调查需要分析计算的危险物质临界值可按照《环境风险评价 技术导则》</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HJ169—2018</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表B.2中推荐值选取，本项目推荐临界量为2500t，计算危险物质数量与临界量比值（Q），即</w:t>
            </w:r>
          </w:p>
          <w:p w14:paraId="08E73748">
            <w:pPr>
              <w:numPr>
                <w:ilvl w:val="0"/>
                <w:numId w:val="0"/>
              </w:numPr>
              <w:ind w:firstLine="480" w:firstLineChars="20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drawing>
                <wp:inline distT="0" distB="0" distL="114300" distR="114300">
                  <wp:extent cx="2505075" cy="571500"/>
                  <wp:effectExtent l="0" t="0" r="9525" b="0"/>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45"/>
                          <a:stretch>
                            <a:fillRect/>
                          </a:stretch>
                        </pic:blipFill>
                        <pic:spPr>
                          <a:xfrm>
                            <a:off x="0" y="0"/>
                            <a:ext cx="2505075" cy="571500"/>
                          </a:xfrm>
                          <a:prstGeom prst="rect">
                            <a:avLst/>
                          </a:prstGeom>
                          <a:noFill/>
                          <a:ln>
                            <a:noFill/>
                          </a:ln>
                        </pic:spPr>
                      </pic:pic>
                    </a:graphicData>
                  </a:graphic>
                </wp:inline>
              </w:drawing>
            </w:r>
          </w:p>
          <w:p w14:paraId="1EF22EE5">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式中：q1，q2，qn——每种危险物质的最大存在总量，t；</w:t>
            </w:r>
          </w:p>
          <w:p w14:paraId="429A0AE1">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Q1，Q2，Qn——每种危险物质的临界量，t；</w:t>
            </w:r>
          </w:p>
          <w:p w14:paraId="131A5AB9">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当Q&lt;1，该项目环境潜在风险势为I。</w:t>
            </w:r>
          </w:p>
          <w:p w14:paraId="64C74CB3">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当Q≥1，将Q值划分为：1≤Q＜10；10≤Q＜100；Q大于等于100。</w:t>
            </w:r>
          </w:p>
          <w:p w14:paraId="18AED38F">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因此，本项目</w:t>
            </w:r>
            <w:r>
              <w:rPr>
                <w:rFonts w:hint="eastAsia" w:cs="Times New Roman"/>
                <w:b w:val="0"/>
                <w:bCs w:val="0"/>
                <w:color w:val="auto"/>
                <w:kern w:val="2"/>
                <w:sz w:val="24"/>
                <w:szCs w:val="24"/>
                <w:lang w:val="en-US" w:eastAsia="zh-CN" w:bidi="ar-SA"/>
              </w:rPr>
              <w:t>润滑油最大储量</w:t>
            </w:r>
            <w:r>
              <w:rPr>
                <w:rFonts w:hint="default" w:ascii="Times New Roman" w:hAnsi="Times New Roman" w:eastAsia="宋体" w:cs="Times New Roman"/>
                <w:b w:val="0"/>
                <w:bCs w:val="0"/>
                <w:color w:val="auto"/>
                <w:kern w:val="2"/>
                <w:sz w:val="24"/>
                <w:szCs w:val="24"/>
                <w:lang w:val="en-US" w:eastAsia="zh-CN" w:bidi="ar-SA"/>
              </w:rPr>
              <w:t>约为</w:t>
            </w:r>
            <w:r>
              <w:rPr>
                <w:rFonts w:hint="default" w:ascii="Times New Roman" w:hAnsi="Times New Roman" w:cs="Times New Roman"/>
                <w:b w:val="0"/>
                <w:bCs w:val="0"/>
                <w:color w:val="auto"/>
                <w:kern w:val="2"/>
                <w:sz w:val="24"/>
                <w:szCs w:val="24"/>
                <w:lang w:val="en-US" w:eastAsia="zh-CN" w:bidi="ar-SA"/>
              </w:rPr>
              <w:t>0.</w:t>
            </w:r>
            <w:r>
              <w:rPr>
                <w:rFonts w:hint="eastAsia" w:cs="Times New Roman"/>
                <w:b w:val="0"/>
                <w:bCs w:val="0"/>
                <w:color w:val="auto"/>
                <w:kern w:val="2"/>
                <w:sz w:val="24"/>
                <w:szCs w:val="24"/>
                <w:lang w:val="en-US" w:eastAsia="zh-CN" w:bidi="ar-SA"/>
              </w:rPr>
              <w:t>03</w:t>
            </w:r>
            <w:r>
              <w:rPr>
                <w:rFonts w:hint="default" w:ascii="Times New Roman" w:hAnsi="Times New Roman" w:cs="Times New Roman"/>
                <w:b w:val="0"/>
                <w:bCs w:val="0"/>
                <w:color w:val="auto"/>
                <w:kern w:val="2"/>
                <w:sz w:val="24"/>
                <w:szCs w:val="24"/>
                <w:lang w:val="en-US" w:eastAsia="zh-CN" w:bidi="ar-SA"/>
              </w:rPr>
              <w:t>1</w:t>
            </w:r>
            <w:r>
              <w:rPr>
                <w:rFonts w:hint="default" w:ascii="Times New Roman" w:hAnsi="Times New Roman" w:eastAsia="宋体" w:cs="Times New Roman"/>
                <w:b w:val="0"/>
                <w:bCs w:val="0"/>
                <w:color w:val="auto"/>
                <w:kern w:val="2"/>
                <w:sz w:val="24"/>
                <w:szCs w:val="24"/>
                <w:lang w:val="en-US" w:eastAsia="zh-CN" w:bidi="ar-SA"/>
              </w:rPr>
              <w:t>t/a，推荐临界量为2500t，Q等于</w:t>
            </w:r>
            <w:r>
              <w:rPr>
                <w:rFonts w:hint="default" w:ascii="Times New Roman" w:hAnsi="Times New Roman" w:cs="Times New Roman"/>
                <w:b w:val="0"/>
                <w:bCs w:val="0"/>
                <w:color w:val="auto"/>
                <w:kern w:val="2"/>
                <w:sz w:val="24"/>
                <w:szCs w:val="24"/>
                <w:lang w:val="en-US" w:eastAsia="zh-CN" w:bidi="ar-SA"/>
              </w:rPr>
              <w:t>0.000</w:t>
            </w:r>
            <w:r>
              <w:rPr>
                <w:rFonts w:hint="eastAsia" w:cs="Times New Roman"/>
                <w:b w:val="0"/>
                <w:bCs w:val="0"/>
                <w:color w:val="auto"/>
                <w:kern w:val="2"/>
                <w:sz w:val="24"/>
                <w:szCs w:val="24"/>
                <w:lang w:val="en-US" w:eastAsia="zh-CN" w:bidi="ar-SA"/>
              </w:rPr>
              <w:t>12</w:t>
            </w:r>
            <w:r>
              <w:rPr>
                <w:rFonts w:hint="default" w:ascii="Times New Roman" w:hAnsi="Times New Roman"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0.000</w:t>
            </w:r>
            <w:r>
              <w:rPr>
                <w:rFonts w:hint="eastAsia" w:cs="Times New Roman"/>
                <w:b w:val="0"/>
                <w:bCs w:val="0"/>
                <w:color w:val="auto"/>
                <w:kern w:val="2"/>
                <w:sz w:val="24"/>
                <w:szCs w:val="24"/>
                <w:lang w:val="en-US" w:eastAsia="zh-CN" w:bidi="ar-SA"/>
              </w:rPr>
              <w:t>012</w:t>
            </w:r>
            <w:r>
              <w:rPr>
                <w:rFonts w:hint="default" w:ascii="Times New Roman" w:hAnsi="Times New Roman" w:cs="Times New Roman"/>
                <w:b w:val="0"/>
                <w:bCs w:val="0"/>
                <w:color w:val="auto"/>
                <w:kern w:val="2"/>
                <w:sz w:val="24"/>
                <w:szCs w:val="24"/>
                <w:lang w:val="en-US" w:eastAsia="zh-CN" w:bidi="ar-SA"/>
              </w:rPr>
              <w:t>4＜1，</w:t>
            </w:r>
            <w:r>
              <w:rPr>
                <w:rFonts w:hint="default" w:ascii="Times New Roman" w:hAnsi="Times New Roman" w:eastAsia="宋体" w:cs="Times New Roman"/>
                <w:b w:val="0"/>
                <w:bCs w:val="0"/>
                <w:color w:val="auto"/>
                <w:kern w:val="2"/>
                <w:sz w:val="24"/>
                <w:szCs w:val="24"/>
                <w:lang w:val="en-US" w:eastAsia="zh-CN" w:bidi="ar-SA"/>
              </w:rPr>
              <w:t>该项目环境潜在风险势为I。</w:t>
            </w:r>
          </w:p>
          <w:p w14:paraId="542F7BAA">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②评价等级</w:t>
            </w:r>
          </w:p>
          <w:p w14:paraId="60A8C5C6">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划分环境风险评价等级划分为一级、二级、三级。根据建设项目确定的环境风险潜势，按照表确定评价工作等级。</w:t>
            </w:r>
          </w:p>
          <w:p w14:paraId="2449440C">
            <w:pPr>
              <w:numPr>
                <w:ilvl w:val="0"/>
                <w:numId w:val="0"/>
              </w:numPr>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default" w:ascii="Times New Roman" w:hAnsi="Times New Roman" w:cs="Times New Roman"/>
                <w:b/>
                <w:bCs/>
                <w:color w:val="auto"/>
                <w:kern w:val="2"/>
                <w:sz w:val="21"/>
                <w:szCs w:val="21"/>
                <w:lang w:val="en-US" w:eastAsia="zh-CN" w:bidi="ar-SA"/>
              </w:rPr>
              <w:t>1</w:t>
            </w:r>
            <w:r>
              <w:rPr>
                <w:rFonts w:hint="eastAsia" w:cs="Times New Roman"/>
                <w:b/>
                <w:bCs/>
                <w:color w:val="auto"/>
                <w:kern w:val="2"/>
                <w:sz w:val="21"/>
                <w:szCs w:val="21"/>
                <w:lang w:val="en-US" w:eastAsia="zh-CN" w:bidi="ar-SA"/>
              </w:rPr>
              <w:t>0</w:t>
            </w:r>
            <w:r>
              <w:rPr>
                <w:rFonts w:hint="default" w:ascii="Times New Roman" w:hAnsi="Times New Roman" w:eastAsia="宋体" w:cs="Times New Roman"/>
                <w:b/>
                <w:bCs/>
                <w:color w:val="auto"/>
                <w:kern w:val="2"/>
                <w:sz w:val="21"/>
                <w:szCs w:val="21"/>
                <w:lang w:val="en-US" w:eastAsia="zh-CN" w:bidi="ar-SA"/>
              </w:rPr>
              <w:t>评价工作等级划分</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823"/>
              <w:gridCol w:w="1826"/>
              <w:gridCol w:w="1826"/>
              <w:gridCol w:w="1826"/>
            </w:tblGrid>
            <w:tr w14:paraId="5595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4846FF1C">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环境风险潜势</w:t>
                  </w:r>
                </w:p>
              </w:tc>
              <w:tc>
                <w:tcPr>
                  <w:tcW w:w="999" w:type="pct"/>
                  <w:vAlign w:val="center"/>
                </w:tcPr>
                <w:p w14:paraId="1480519B">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IV、IV+</w:t>
                  </w:r>
                </w:p>
              </w:tc>
              <w:tc>
                <w:tcPr>
                  <w:tcW w:w="1000" w:type="pct"/>
                  <w:vAlign w:val="center"/>
                </w:tcPr>
                <w:p w14:paraId="30F1890A">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III</w:t>
                  </w:r>
                </w:p>
              </w:tc>
              <w:tc>
                <w:tcPr>
                  <w:tcW w:w="1000" w:type="pct"/>
                  <w:vAlign w:val="center"/>
                </w:tcPr>
                <w:p w14:paraId="210F3BFC">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II</w:t>
                  </w:r>
                </w:p>
              </w:tc>
              <w:tc>
                <w:tcPr>
                  <w:tcW w:w="1000" w:type="pct"/>
                  <w:vAlign w:val="center"/>
                </w:tcPr>
                <w:p w14:paraId="7DDFA16E">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I</w:t>
                  </w:r>
                </w:p>
              </w:tc>
            </w:tr>
            <w:tr w14:paraId="734D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609E6B3F">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评价工作等级</w:t>
                  </w:r>
                </w:p>
              </w:tc>
              <w:tc>
                <w:tcPr>
                  <w:tcW w:w="999" w:type="pct"/>
                  <w:vAlign w:val="center"/>
                </w:tcPr>
                <w:p w14:paraId="40F5D43A">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一</w:t>
                  </w:r>
                </w:p>
              </w:tc>
              <w:tc>
                <w:tcPr>
                  <w:tcW w:w="1000" w:type="pct"/>
                  <w:vAlign w:val="center"/>
                </w:tcPr>
                <w:p w14:paraId="1C4A2967">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二</w:t>
                  </w:r>
                </w:p>
              </w:tc>
              <w:tc>
                <w:tcPr>
                  <w:tcW w:w="1000" w:type="pct"/>
                  <w:vAlign w:val="center"/>
                </w:tcPr>
                <w:p w14:paraId="319A290F">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三</w:t>
                  </w:r>
                </w:p>
              </w:tc>
              <w:tc>
                <w:tcPr>
                  <w:tcW w:w="1000" w:type="pct"/>
                  <w:vAlign w:val="center"/>
                </w:tcPr>
                <w:p w14:paraId="3B015F4D">
                  <w:pPr>
                    <w:numPr>
                      <w:ilvl w:val="0"/>
                      <w:numId w:val="0"/>
                    </w:num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简单分析</w:t>
                  </w:r>
                </w:p>
              </w:tc>
            </w:tr>
          </w:tbl>
          <w:p w14:paraId="34673BF7">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确定本项目环境风险评价等级为I级，可做简单分析。</w:t>
            </w:r>
          </w:p>
          <w:p w14:paraId="1E448F05">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（2）环境风险分析</w:t>
            </w:r>
          </w:p>
          <w:p w14:paraId="2F1EE61A">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①泄漏事故</w:t>
            </w:r>
          </w:p>
          <w:p w14:paraId="40503EE4">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根据项目营运特征，识别本项目环境风险类型为</w:t>
            </w:r>
            <w:r>
              <w:rPr>
                <w:rFonts w:hint="default" w:ascii="Times New Roman" w:hAnsi="Times New Roman" w:cs="Times New Roman"/>
                <w:b w:val="0"/>
                <w:bCs w:val="0"/>
                <w:color w:val="auto"/>
                <w:kern w:val="2"/>
                <w:sz w:val="24"/>
                <w:szCs w:val="24"/>
                <w:lang w:val="en-US" w:eastAsia="zh-CN" w:bidi="ar-SA"/>
              </w:rPr>
              <w:t>危废暂存间防渗不到位</w:t>
            </w:r>
            <w:r>
              <w:rPr>
                <w:rFonts w:hint="default" w:ascii="Times New Roman" w:hAnsi="Times New Roman" w:eastAsia="宋体" w:cs="Times New Roman"/>
                <w:b w:val="0"/>
                <w:bCs w:val="0"/>
                <w:color w:val="auto"/>
                <w:kern w:val="2"/>
                <w:sz w:val="24"/>
                <w:szCs w:val="24"/>
                <w:lang w:val="en-US" w:eastAsia="zh-CN" w:bidi="ar-SA"/>
              </w:rPr>
              <w:t>导致</w:t>
            </w:r>
            <w:r>
              <w:rPr>
                <w:rFonts w:hint="eastAsia" w:cs="Times New Roman"/>
                <w:b w:val="0"/>
                <w:bCs w:val="0"/>
                <w:color w:val="auto"/>
                <w:kern w:val="2"/>
                <w:sz w:val="24"/>
                <w:szCs w:val="24"/>
                <w:lang w:val="en-US" w:eastAsia="zh-CN" w:bidi="ar-SA"/>
              </w:rPr>
              <w:t>废润滑油</w:t>
            </w:r>
            <w:r>
              <w:rPr>
                <w:rFonts w:hint="default" w:ascii="Times New Roman" w:hAnsi="Times New Roman" w:eastAsia="宋体" w:cs="Times New Roman"/>
                <w:b w:val="0"/>
                <w:bCs w:val="0"/>
                <w:color w:val="auto"/>
                <w:kern w:val="2"/>
                <w:sz w:val="24"/>
                <w:szCs w:val="24"/>
                <w:lang w:val="en-US" w:eastAsia="zh-CN" w:bidi="ar-SA"/>
              </w:rPr>
              <w:t>泄漏，不考虑自然灾害如地震、雷电、风雨等所引起的事故风险；</w:t>
            </w:r>
          </w:p>
          <w:p w14:paraId="2F35DA82">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②火灾爆炸事故</w:t>
            </w:r>
          </w:p>
          <w:p w14:paraId="6119CA49">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本项目燃油泄漏发生泄漏，并在环境温度高于其沸点时急剧气化，如果遇到火源就会发生剧烈的燃烧，产生巨大的火球，形成强烈的热辐射，引起爆炸事故。</w:t>
            </w:r>
          </w:p>
          <w:p w14:paraId="73010D65">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cs="Times New Roman"/>
                <w:b w:val="0"/>
                <w:bCs w:val="0"/>
                <w:color w:val="auto"/>
                <w:kern w:val="2"/>
                <w:sz w:val="24"/>
                <w:szCs w:val="24"/>
                <w:lang w:val="en-US" w:eastAsia="zh-CN" w:bidi="ar-SA"/>
              </w:rPr>
              <w:t>③</w:t>
            </w:r>
            <w:r>
              <w:rPr>
                <w:rFonts w:hint="default" w:ascii="Times New Roman" w:hAnsi="Times New Roman" w:eastAsia="宋体" w:cs="Times New Roman"/>
                <w:b w:val="0"/>
                <w:bCs w:val="0"/>
                <w:color w:val="auto"/>
                <w:kern w:val="2"/>
                <w:sz w:val="24"/>
                <w:szCs w:val="24"/>
                <w:lang w:val="en-US" w:eastAsia="zh-CN" w:bidi="ar-SA"/>
              </w:rPr>
              <w:t>危险废物泄漏事故</w:t>
            </w:r>
          </w:p>
          <w:p w14:paraId="3CAF1A09">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危险废物储存容器、储罐因长期使用，遭受腐蚀、磨损，或因设计、制造缺陷，出现破裂、泄漏等事故。</w:t>
            </w:r>
          </w:p>
          <w:p w14:paraId="601BC49A">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上述最可信事故发生概率均很小，但建设单位仍然要从生产、储运等环节采取积极防范措施，杜绝环境风险事故发生。</w:t>
            </w:r>
          </w:p>
          <w:p w14:paraId="4AEB9473">
            <w:pPr>
              <w:numPr>
                <w:ilvl w:val="0"/>
                <w:numId w:val="0"/>
              </w:numPr>
              <w:ind w:firstLine="480" w:firstLineChars="200"/>
              <w:rPr>
                <w:rFonts w:hint="default" w:ascii="Times New Roman" w:hAnsi="Times New Roman" w:cs="Times New Roman"/>
                <w:b w:val="0"/>
                <w:bCs w:val="0"/>
                <w:color w:val="auto"/>
                <w:lang w:val="en-US" w:eastAsia="zh-CN"/>
              </w:rPr>
            </w:pPr>
            <w:r>
              <w:rPr>
                <w:rFonts w:hint="default" w:ascii="Times New Roman" w:hAnsi="Times New Roman" w:eastAsia="宋体" w:cs="Times New Roman"/>
                <w:b w:val="0"/>
                <w:bCs w:val="0"/>
                <w:color w:val="auto"/>
                <w:kern w:val="2"/>
                <w:sz w:val="24"/>
                <w:szCs w:val="24"/>
                <w:lang w:val="en-US" w:eastAsia="zh-CN" w:bidi="ar-SA"/>
              </w:rPr>
              <w:t>（3）</w:t>
            </w:r>
            <w:r>
              <w:rPr>
                <w:rFonts w:hint="default" w:ascii="Times New Roman" w:hAnsi="Times New Roman" w:cs="Times New Roman"/>
                <w:b w:val="0"/>
                <w:bCs w:val="0"/>
                <w:color w:val="auto"/>
                <w:lang w:val="en-US" w:eastAsia="zh-CN"/>
              </w:rPr>
              <w:t>风险防范措施</w:t>
            </w:r>
          </w:p>
          <w:p w14:paraId="4AD05C42">
            <w:pPr>
              <w:numPr>
                <w:ilvl w:val="0"/>
                <w:numId w:val="0"/>
              </w:numPr>
              <w:ind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①按照危险废物贮存污染控制指标要求，各种危险废物采用专用的容器存放，收集后置于危废间内，防止风吹雨淋和日晒。</w:t>
            </w:r>
          </w:p>
          <w:p w14:paraId="6D1C7137">
            <w:pPr>
              <w:numPr>
                <w:ilvl w:val="0"/>
                <w:numId w:val="0"/>
              </w:numPr>
              <w:ind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②危险废物暂存场所设置堵截泄漏的裙脚，地面进行防渗处理，危废暂存场所危废暂存间地面做防渗，防渗层为至少</w:t>
            </w:r>
            <w:r>
              <w:rPr>
                <w:rFonts w:ascii="TimesNewRomanPSMT" w:hAnsi="TimesNewRomanPSMT" w:eastAsia="TimesNewRomanPSMT" w:cs="TimesNewRomanPSMT"/>
                <w:b w:val="0"/>
                <w:bCs w:val="0"/>
                <w:color w:val="auto"/>
                <w:sz w:val="24"/>
                <w:szCs w:val="24"/>
              </w:rPr>
              <w:t>1m</w:t>
            </w:r>
            <w:r>
              <w:rPr>
                <w:rFonts w:ascii="宋体" w:hAnsi="宋体" w:eastAsia="宋体" w:cs="宋体"/>
                <w:b w:val="0"/>
                <w:bCs w:val="0"/>
                <w:color w:val="auto"/>
                <w:sz w:val="24"/>
                <w:szCs w:val="24"/>
              </w:rPr>
              <w:t>厚粘土层（渗透系数</w:t>
            </w:r>
            <w:r>
              <w:rPr>
                <w:rFonts w:hint="default" w:ascii="TimesNewRomanPSMT" w:hAnsi="TimesNewRomanPSMT" w:eastAsia="TimesNewRomanPSMT" w:cs="TimesNewRomanPSMT"/>
                <w:b w:val="0"/>
                <w:bCs w:val="0"/>
                <w:color w:val="auto"/>
                <w:sz w:val="24"/>
                <w:szCs w:val="24"/>
              </w:rPr>
              <w:t>≤10</w:t>
            </w:r>
            <w:r>
              <w:rPr>
                <w:rFonts w:hint="eastAsia" w:ascii="TimesNewRomanPSMT" w:hAnsi="TimesNewRomanPSMT" w:eastAsia="宋体" w:cs="TimesNewRomanPSMT"/>
                <w:b w:val="0"/>
                <w:bCs w:val="0"/>
                <w:color w:val="auto"/>
                <w:sz w:val="24"/>
                <w:szCs w:val="24"/>
                <w:vertAlign w:val="superscript"/>
                <w:lang w:val="en-US" w:eastAsia="zh-CN"/>
              </w:rPr>
              <w:t>-7</w:t>
            </w:r>
            <w:r>
              <w:rPr>
                <w:rFonts w:hint="default" w:ascii="TimesNewRomanPSMT" w:hAnsi="TimesNewRomanPSMT" w:eastAsia="TimesNewRomanPSMT" w:cs="TimesNewRomanPSMT"/>
                <w:b w:val="0"/>
                <w:bCs w:val="0"/>
                <w:color w:val="auto"/>
                <w:sz w:val="24"/>
                <w:szCs w:val="24"/>
              </w:rPr>
              <w:t>cm/s</w:t>
            </w:r>
            <w:r>
              <w:rPr>
                <w:rFonts w:ascii="宋体" w:hAnsi="宋体" w:eastAsia="宋体" w:cs="宋体"/>
                <w:b w:val="0"/>
                <w:bCs w:val="0"/>
                <w:color w:val="auto"/>
                <w:sz w:val="24"/>
                <w:szCs w:val="24"/>
              </w:rPr>
              <w:t>），或</w:t>
            </w:r>
            <w:r>
              <w:rPr>
                <w:rFonts w:hint="default" w:ascii="TimesNewRomanPSMT" w:hAnsi="TimesNewRomanPSMT" w:eastAsia="TimesNewRomanPSMT" w:cs="TimesNewRomanPSMT"/>
                <w:b w:val="0"/>
                <w:bCs w:val="0"/>
                <w:color w:val="auto"/>
                <w:sz w:val="24"/>
                <w:szCs w:val="24"/>
              </w:rPr>
              <w:t>2mm</w:t>
            </w:r>
            <w:r>
              <w:rPr>
                <w:rFonts w:ascii="宋体" w:hAnsi="宋体" w:eastAsia="宋体" w:cs="宋体"/>
                <w:b w:val="0"/>
                <w:bCs w:val="0"/>
                <w:color w:val="auto"/>
                <w:sz w:val="24"/>
                <w:szCs w:val="24"/>
              </w:rPr>
              <w:t>厚高密度聚乙烯，或至少</w:t>
            </w:r>
            <w:r>
              <w:rPr>
                <w:rFonts w:hint="default" w:ascii="TimesNewRomanPSMT" w:hAnsi="TimesNewRomanPSMT" w:eastAsia="TimesNewRomanPSMT" w:cs="TimesNewRomanPSMT"/>
                <w:b w:val="0"/>
                <w:bCs w:val="0"/>
                <w:color w:val="auto"/>
                <w:sz w:val="24"/>
                <w:szCs w:val="24"/>
              </w:rPr>
              <w:t>2mm</w:t>
            </w:r>
            <w:r>
              <w:rPr>
                <w:rFonts w:ascii="宋体" w:hAnsi="宋体" w:eastAsia="宋体" w:cs="宋体"/>
                <w:b w:val="0"/>
                <w:bCs w:val="0"/>
                <w:color w:val="auto"/>
                <w:sz w:val="24"/>
                <w:szCs w:val="24"/>
              </w:rPr>
              <w:t>厚的其它人工材料，渗透系数</w:t>
            </w:r>
            <w:r>
              <w:rPr>
                <w:rFonts w:hint="default" w:ascii="TimesNewRomanPSMT" w:hAnsi="TimesNewRomanPSMT" w:eastAsia="TimesNewRomanPSMT" w:cs="TimesNewRomanPSMT"/>
                <w:b w:val="0"/>
                <w:bCs w:val="0"/>
                <w:color w:val="auto"/>
                <w:sz w:val="24"/>
                <w:szCs w:val="24"/>
              </w:rPr>
              <w:t>≤1</w:t>
            </w:r>
            <w:r>
              <w:rPr>
                <w:rFonts w:hint="eastAsia" w:ascii="TimesNewRomanPSMT" w:hAnsi="TimesNewRomanPSMT" w:eastAsia="宋体" w:cs="TimesNewRomanPSMT"/>
                <w:b w:val="0"/>
                <w:bCs w:val="0"/>
                <w:color w:val="auto"/>
                <w:sz w:val="24"/>
                <w:szCs w:val="24"/>
                <w:lang w:val="en-US" w:eastAsia="zh-CN"/>
              </w:rPr>
              <w:t>0</w:t>
            </w:r>
            <w:r>
              <w:rPr>
                <w:rFonts w:hint="eastAsia" w:ascii="TimesNewRomanPSMT" w:hAnsi="TimesNewRomanPSMT" w:cs="TimesNewRomanPSMT"/>
                <w:b w:val="0"/>
                <w:bCs w:val="0"/>
                <w:color w:val="auto"/>
                <w:sz w:val="24"/>
                <w:szCs w:val="24"/>
                <w:vertAlign w:val="superscript"/>
                <w:lang w:val="en-US" w:eastAsia="zh-CN"/>
              </w:rPr>
              <w:t>-10</w:t>
            </w:r>
            <w:r>
              <w:rPr>
                <w:rFonts w:hint="default" w:ascii="TimesNewRomanPSMT" w:hAnsi="TimesNewRomanPSMT" w:eastAsia="TimesNewRomanPSMT" w:cs="TimesNewRomanPSMT"/>
                <w:b w:val="0"/>
                <w:bCs w:val="0"/>
                <w:color w:val="auto"/>
                <w:sz w:val="24"/>
                <w:szCs w:val="24"/>
              </w:rPr>
              <w:t>cm/s</w:t>
            </w:r>
            <w:r>
              <w:rPr>
                <w:rFonts w:ascii="宋体" w:hAnsi="宋体" w:eastAsia="宋体" w:cs="宋体"/>
                <w:b w:val="0"/>
                <w:bCs w:val="0"/>
                <w:color w:val="auto"/>
                <w:sz w:val="24"/>
                <w:szCs w:val="24"/>
              </w:rPr>
              <w:t>。</w:t>
            </w:r>
          </w:p>
          <w:p w14:paraId="4F1749B5">
            <w:pPr>
              <w:numPr>
                <w:ilvl w:val="0"/>
                <w:numId w:val="0"/>
              </w:numPr>
              <w:ind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③对装有危废的容器进行定期检查，容器泄漏损坏时必须立即处理，并将危废装入完好容器内。同时危险废物储存区设置警示标牌。</w:t>
            </w:r>
          </w:p>
          <w:p w14:paraId="5AC5CF74">
            <w:pPr>
              <w:numPr>
                <w:ilvl w:val="0"/>
                <w:numId w:val="0"/>
              </w:numPr>
              <w:ind w:firstLine="480" w:firstLineChars="200"/>
              <w:rPr>
                <w:rFonts w:ascii="宋体" w:hAnsi="宋体" w:eastAsia="宋体" w:cs="宋体"/>
                <w:b w:val="0"/>
                <w:bCs w:val="0"/>
                <w:color w:val="auto"/>
                <w:sz w:val="24"/>
                <w:szCs w:val="24"/>
              </w:rPr>
            </w:pPr>
            <w:r>
              <w:rPr>
                <w:rFonts w:ascii="宋体" w:hAnsi="宋体" w:eastAsia="宋体" w:cs="宋体"/>
                <w:b w:val="0"/>
                <w:bCs w:val="0"/>
                <w:color w:val="auto"/>
                <w:sz w:val="24"/>
                <w:szCs w:val="24"/>
              </w:rPr>
              <w:t>④所有包装袋、桶必须贴上危险废物标签，危险废物标签上文字字体为黑体、底色为醒目的桔黄色，稳妥贴附在包装袋、桶适当位置，使其清晰易读。</w:t>
            </w:r>
          </w:p>
          <w:p w14:paraId="2522C0BD">
            <w:pPr>
              <w:numPr>
                <w:ilvl w:val="0"/>
                <w:numId w:val="0"/>
              </w:numPr>
              <w:ind w:firstLine="480" w:firstLineChars="200"/>
              <w:rPr>
                <w:rFonts w:hint="default" w:ascii="Times New Roman" w:hAnsi="Times New Roman" w:cs="Times New Roman"/>
                <w:color w:val="auto"/>
              </w:rPr>
            </w:pPr>
            <w:r>
              <w:rPr>
                <w:rFonts w:hint="eastAsia" w:cs="Times New Roman"/>
                <w:color w:val="auto"/>
                <w:lang w:val="en-US" w:eastAsia="zh-CN"/>
              </w:rPr>
              <w:t>⑤</w:t>
            </w:r>
            <w:r>
              <w:rPr>
                <w:rFonts w:hint="default" w:ascii="Times New Roman" w:hAnsi="Times New Roman" w:cs="Times New Roman"/>
                <w:color w:val="auto"/>
              </w:rPr>
              <w:t>火灾、爆炸事故风险防范措施</w:t>
            </w:r>
          </w:p>
          <w:p w14:paraId="408BAE98">
            <w:pPr>
              <w:ind w:firstLine="480"/>
              <w:rPr>
                <w:rFonts w:hint="default" w:ascii="Times New Roman" w:hAnsi="Times New Roman" w:cs="Times New Roman"/>
                <w:color w:val="auto"/>
              </w:rPr>
            </w:pPr>
            <w:r>
              <w:rPr>
                <w:rFonts w:hint="default" w:ascii="Times New Roman" w:hAnsi="Times New Roman" w:cs="Times New Roman"/>
                <w:color w:val="auto"/>
              </w:rPr>
              <w:t>项目加强危废间的贮存管理，加强相关隔离措施，厂区应设置“严禁烟火”的警示牌。按照应急预案的要求落实防火安全责任制及消防安全规章制度，加强员工的消防知识培训，消防安全管理人员持证上岗。设置安全疏散通道。灭火器应布置在明显处便于取用。</w:t>
            </w:r>
          </w:p>
          <w:p w14:paraId="5659E296">
            <w:pPr>
              <w:ind w:firstLine="480"/>
              <w:rPr>
                <w:rFonts w:hint="default" w:ascii="Times New Roman" w:hAnsi="Times New Roman" w:cs="Times New Roman"/>
                <w:color w:val="auto"/>
              </w:rPr>
            </w:pPr>
            <w:r>
              <w:rPr>
                <w:rFonts w:hint="default" w:ascii="Times New Roman" w:hAnsi="Times New Roman" w:cs="Times New Roman"/>
                <w:color w:val="auto"/>
              </w:rPr>
              <w:t>综上所述，本项目环境风险物质为</w:t>
            </w:r>
            <w:r>
              <w:rPr>
                <w:rFonts w:hint="eastAsia" w:cs="Times New Roman"/>
                <w:color w:val="auto"/>
                <w:lang w:val="en-US" w:eastAsia="zh-CN"/>
              </w:rPr>
              <w:t>废润滑油</w:t>
            </w:r>
            <w:r>
              <w:rPr>
                <w:rFonts w:hint="default" w:ascii="Times New Roman" w:hAnsi="Times New Roman" w:cs="Times New Roman"/>
                <w:color w:val="auto"/>
              </w:rPr>
              <w:t>，环境类型为泄漏、火灾、爆炸等。废矿物油依托</w:t>
            </w:r>
            <w:r>
              <w:rPr>
                <w:rFonts w:hint="default" w:ascii="Times New Roman" w:hAnsi="Times New Roman" w:cs="Times New Roman"/>
                <w:color w:val="auto"/>
                <w:lang w:val="en-US" w:eastAsia="zh-CN"/>
              </w:rPr>
              <w:t>新建</w:t>
            </w:r>
            <w:r>
              <w:rPr>
                <w:rFonts w:hint="default" w:ascii="Times New Roman" w:hAnsi="Times New Roman" w:cs="Times New Roman"/>
                <w:color w:val="auto"/>
              </w:rPr>
              <w:t>危废暂存间暂存，在严格落实有关防范措施后，本项目产生的废矿物油环境风险在可防控范围内。</w:t>
            </w:r>
          </w:p>
          <w:p w14:paraId="1FB04F62">
            <w:pPr>
              <w:numPr>
                <w:ilvl w:val="0"/>
                <w:numId w:val="0"/>
              </w:numPr>
              <w:spacing w:line="360" w:lineRule="auto"/>
              <w:ind w:firstLine="480" w:firstLineChars="200"/>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kern w:val="2"/>
                <w:sz w:val="24"/>
                <w:szCs w:val="24"/>
                <w:lang w:val="en-US" w:eastAsia="zh-CN" w:bidi="ar-SA"/>
              </w:rPr>
              <w:t>（4）</w:t>
            </w:r>
            <w:r>
              <w:rPr>
                <w:rFonts w:hint="default" w:ascii="Times New Roman" w:hAnsi="Times New Roman" w:cs="Times New Roman"/>
                <w:b w:val="0"/>
                <w:bCs w:val="0"/>
                <w:color w:val="auto"/>
                <w:lang w:val="en-US" w:eastAsia="zh-CN"/>
              </w:rPr>
              <w:t>风险防范应急措施</w:t>
            </w:r>
          </w:p>
          <w:p w14:paraId="253025A1">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cs="Times New Roman"/>
                <w:b w:val="0"/>
                <w:bCs w:val="0"/>
                <w:i w:val="0"/>
                <w:iCs w:val="0"/>
                <w:caps w:val="0"/>
                <w:color w:val="auto"/>
                <w:spacing w:val="0"/>
                <w:sz w:val="24"/>
                <w:szCs w:val="24"/>
                <w:shd w:val="clear" w:fill="FFFFFF"/>
                <w:lang w:eastAsia="zh-CN"/>
              </w:rPr>
            </w:pPr>
            <w:r>
              <w:rPr>
                <w:rStyle w:val="21"/>
                <w:rFonts w:hint="default" w:ascii="Times New Roman" w:hAnsi="Times New Roman" w:cs="Times New Roman"/>
                <w:b w:val="0"/>
                <w:bCs w:val="0"/>
                <w:i w:val="0"/>
                <w:iCs w:val="0"/>
                <w:caps w:val="0"/>
                <w:color w:val="auto"/>
                <w:spacing w:val="0"/>
                <w:sz w:val="24"/>
                <w:szCs w:val="24"/>
                <w:shd w:val="clear" w:fill="FFFFFF"/>
                <w:lang w:val="en-US" w:eastAsia="zh-CN"/>
              </w:rPr>
              <w:t>①</w:t>
            </w:r>
            <w:r>
              <w:rPr>
                <w:rStyle w:val="21"/>
                <w:rFonts w:hint="default" w:ascii="Times New Roman" w:hAnsi="Times New Roman" w:cs="Times New Roman"/>
                <w:b w:val="0"/>
                <w:bCs w:val="0"/>
                <w:i w:val="0"/>
                <w:iCs w:val="0"/>
                <w:caps w:val="0"/>
                <w:color w:val="auto"/>
                <w:spacing w:val="0"/>
                <w:sz w:val="24"/>
                <w:szCs w:val="24"/>
                <w:shd w:val="clear" w:fill="FFFFFF"/>
              </w:rPr>
              <w:t>事故报警</w:t>
            </w:r>
            <w:r>
              <w:rPr>
                <w:rFonts w:hint="default" w:ascii="Times New Roman" w:hAnsi="Times New Roman" w:cs="Times New Roman"/>
                <w:b w:val="0"/>
                <w:bCs w:val="0"/>
                <w:i w:val="0"/>
                <w:iCs w:val="0"/>
                <w:caps w:val="0"/>
                <w:color w:val="auto"/>
                <w:spacing w:val="0"/>
                <w:sz w:val="24"/>
                <w:szCs w:val="24"/>
                <w:shd w:val="clear" w:fill="FFFFFF"/>
              </w:rPr>
              <w:t>：在岗人员发现</w:t>
            </w:r>
            <w:r>
              <w:rPr>
                <w:rFonts w:hint="eastAsia" w:cs="Times New Roman"/>
                <w:b w:val="0"/>
                <w:bCs w:val="0"/>
                <w:i w:val="0"/>
                <w:iCs w:val="0"/>
                <w:caps w:val="0"/>
                <w:color w:val="auto"/>
                <w:spacing w:val="0"/>
                <w:sz w:val="24"/>
                <w:szCs w:val="24"/>
                <w:shd w:val="clear" w:fill="FFFFFF"/>
                <w:lang w:eastAsia="zh-CN"/>
              </w:rPr>
              <w:t>废润滑油</w:t>
            </w:r>
            <w:r>
              <w:rPr>
                <w:rFonts w:hint="default" w:ascii="Times New Roman" w:hAnsi="Times New Roman" w:cs="Times New Roman"/>
                <w:b w:val="0"/>
                <w:bCs w:val="0"/>
                <w:i w:val="0"/>
                <w:iCs w:val="0"/>
                <w:caps w:val="0"/>
                <w:color w:val="auto"/>
                <w:spacing w:val="0"/>
                <w:sz w:val="24"/>
                <w:szCs w:val="24"/>
                <w:shd w:val="clear" w:fill="FFFFFF"/>
              </w:rPr>
              <w:t>存放场所异常，应立即向负责人报告，负责人对事故作出判断，并向本单位安技科或集团公司安环部报告</w:t>
            </w:r>
            <w:r>
              <w:rPr>
                <w:rFonts w:hint="default" w:ascii="Times New Roman" w:hAnsi="Times New Roman" w:cs="Times New Roman"/>
                <w:b w:val="0"/>
                <w:bCs w:val="0"/>
                <w:i w:val="0"/>
                <w:iCs w:val="0"/>
                <w:caps w:val="0"/>
                <w:color w:val="auto"/>
                <w:spacing w:val="0"/>
                <w:sz w:val="24"/>
                <w:szCs w:val="24"/>
                <w:shd w:val="clear" w:fill="FFFFFF"/>
                <w:lang w:eastAsia="zh-CN"/>
              </w:rPr>
              <w:t>。</w:t>
            </w:r>
          </w:p>
          <w:p w14:paraId="26F37968">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cs="Times New Roman"/>
                <w:b w:val="0"/>
                <w:bCs w:val="0"/>
                <w:i w:val="0"/>
                <w:iCs w:val="0"/>
                <w:caps w:val="0"/>
                <w:color w:val="auto"/>
                <w:spacing w:val="0"/>
                <w:sz w:val="24"/>
                <w:szCs w:val="24"/>
                <w:shd w:val="clear" w:fill="FFFFFF"/>
                <w:lang w:eastAsia="zh-CN"/>
              </w:rPr>
            </w:pPr>
            <w:r>
              <w:rPr>
                <w:rStyle w:val="21"/>
                <w:rFonts w:hint="default" w:ascii="Times New Roman" w:hAnsi="Times New Roman" w:cs="Times New Roman"/>
                <w:b w:val="0"/>
                <w:bCs w:val="0"/>
                <w:i w:val="0"/>
                <w:iCs w:val="0"/>
                <w:caps w:val="0"/>
                <w:color w:val="auto"/>
                <w:spacing w:val="0"/>
                <w:sz w:val="24"/>
                <w:szCs w:val="24"/>
                <w:shd w:val="clear" w:fill="FFFFFF"/>
                <w:lang w:val="en-US" w:eastAsia="zh-CN"/>
              </w:rPr>
              <w:t>②</w:t>
            </w:r>
            <w:r>
              <w:rPr>
                <w:rStyle w:val="21"/>
                <w:rFonts w:hint="default" w:ascii="Times New Roman" w:hAnsi="Times New Roman" w:cs="Times New Roman"/>
                <w:b w:val="0"/>
                <w:bCs w:val="0"/>
                <w:i w:val="0"/>
                <w:iCs w:val="0"/>
                <w:caps w:val="0"/>
                <w:color w:val="auto"/>
                <w:spacing w:val="0"/>
                <w:sz w:val="24"/>
                <w:szCs w:val="24"/>
                <w:shd w:val="clear" w:fill="FFFFFF"/>
              </w:rPr>
              <w:t>现场应急处置</w:t>
            </w:r>
            <w:r>
              <w:rPr>
                <w:rFonts w:hint="default" w:ascii="Times New Roman" w:hAnsi="Times New Roman" w:cs="Times New Roman"/>
                <w:b w:val="0"/>
                <w:bCs w:val="0"/>
                <w:i w:val="0"/>
                <w:iCs w:val="0"/>
                <w:caps w:val="0"/>
                <w:color w:val="auto"/>
                <w:spacing w:val="0"/>
                <w:sz w:val="24"/>
                <w:szCs w:val="24"/>
                <w:shd w:val="clear" w:fill="FFFFFF"/>
              </w:rPr>
              <w:t>：负责人迅速组织事故区人员撤离，设置警戒。通知相邻班组停止作业，及时组织在岗人员穿戴好个人防护用品、进行抢险救援</w:t>
            </w:r>
            <w:r>
              <w:rPr>
                <w:rFonts w:hint="default" w:ascii="Times New Roman" w:hAnsi="Times New Roman" w:cs="Times New Roman"/>
                <w:b w:val="0"/>
                <w:bCs w:val="0"/>
                <w:i w:val="0"/>
                <w:iCs w:val="0"/>
                <w:caps w:val="0"/>
                <w:color w:val="auto"/>
                <w:spacing w:val="0"/>
                <w:sz w:val="24"/>
                <w:szCs w:val="24"/>
                <w:shd w:val="clear" w:fill="FFFFFF"/>
                <w:lang w:eastAsia="zh-CN"/>
              </w:rPr>
              <w:t>。</w:t>
            </w:r>
          </w:p>
          <w:p w14:paraId="0816AA94">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cs="Times New Roman"/>
                <w:b w:val="0"/>
                <w:bCs w:val="0"/>
                <w:i w:val="0"/>
                <w:iCs w:val="0"/>
                <w:caps w:val="0"/>
                <w:color w:val="auto"/>
                <w:spacing w:val="0"/>
                <w:sz w:val="24"/>
                <w:szCs w:val="24"/>
                <w:shd w:val="clear" w:fill="FFFFFF"/>
                <w:lang w:eastAsia="zh-CN"/>
              </w:rPr>
            </w:pPr>
            <w:r>
              <w:rPr>
                <w:rStyle w:val="21"/>
                <w:rFonts w:hint="default" w:ascii="Times New Roman" w:hAnsi="Times New Roman" w:cs="Times New Roman"/>
                <w:b w:val="0"/>
                <w:bCs w:val="0"/>
                <w:i w:val="0"/>
                <w:iCs w:val="0"/>
                <w:caps w:val="0"/>
                <w:color w:val="auto"/>
                <w:spacing w:val="0"/>
                <w:sz w:val="24"/>
                <w:szCs w:val="24"/>
                <w:shd w:val="clear" w:fill="FFFFFF"/>
                <w:lang w:val="en-US" w:eastAsia="zh-CN"/>
              </w:rPr>
              <w:t>③泄漏</w:t>
            </w:r>
            <w:r>
              <w:rPr>
                <w:rFonts w:hint="default" w:ascii="Times New Roman" w:hAnsi="Times New Roman" w:cs="Times New Roman"/>
                <w:b w:val="0"/>
                <w:bCs w:val="0"/>
                <w:i w:val="0"/>
                <w:iCs w:val="0"/>
                <w:caps w:val="0"/>
                <w:color w:val="auto"/>
                <w:spacing w:val="0"/>
                <w:sz w:val="24"/>
                <w:szCs w:val="24"/>
                <w:shd w:val="clear" w:fill="FFFFFF"/>
              </w:rPr>
              <w:t>：少量溢出时先进行溢流的围堵，避免污染面积扩散，用沙或泥土吸收溢出的液体，然后移至安全地区，以待日后处理。较大面积泄漏时，需使用围油栏对油污进行控制，防止扩散，并使用收油机、油拖网、吸油毡、浮式储油罐进行吸附、收集</w:t>
            </w:r>
            <w:r>
              <w:rPr>
                <w:rFonts w:hint="default" w:ascii="Times New Roman" w:hAnsi="Times New Roman" w:cs="Times New Roman"/>
                <w:b w:val="0"/>
                <w:bCs w:val="0"/>
                <w:i w:val="0"/>
                <w:iCs w:val="0"/>
                <w:caps w:val="0"/>
                <w:color w:val="auto"/>
                <w:spacing w:val="0"/>
                <w:sz w:val="24"/>
                <w:szCs w:val="24"/>
                <w:shd w:val="clear" w:fill="FFFFFF"/>
                <w:lang w:eastAsia="zh-CN"/>
              </w:rPr>
              <w:t>。</w:t>
            </w:r>
          </w:p>
          <w:p w14:paraId="1F940DDF">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cs="Times New Roman"/>
                <w:b w:val="0"/>
                <w:bCs w:val="0"/>
                <w:i w:val="0"/>
                <w:iCs w:val="0"/>
                <w:caps w:val="0"/>
                <w:color w:val="auto"/>
                <w:spacing w:val="0"/>
                <w:sz w:val="24"/>
                <w:szCs w:val="24"/>
                <w:shd w:val="clear" w:fill="FFFFFF"/>
                <w:lang w:eastAsia="zh-CN"/>
              </w:rPr>
            </w:pPr>
            <w:r>
              <w:rPr>
                <w:rStyle w:val="21"/>
                <w:rFonts w:hint="default" w:ascii="Times New Roman" w:hAnsi="Times New Roman" w:cs="Times New Roman"/>
                <w:b w:val="0"/>
                <w:bCs w:val="0"/>
                <w:i w:val="0"/>
                <w:iCs w:val="0"/>
                <w:caps w:val="0"/>
                <w:color w:val="auto"/>
                <w:spacing w:val="0"/>
                <w:sz w:val="24"/>
                <w:szCs w:val="24"/>
                <w:shd w:val="clear" w:fill="FFFFFF"/>
                <w:lang w:val="en-US" w:eastAsia="zh-CN"/>
              </w:rPr>
              <w:t>④</w:t>
            </w:r>
            <w:r>
              <w:rPr>
                <w:rStyle w:val="21"/>
                <w:rFonts w:hint="default" w:ascii="Times New Roman" w:hAnsi="Times New Roman" w:cs="Times New Roman"/>
                <w:b w:val="0"/>
                <w:bCs w:val="0"/>
                <w:i w:val="0"/>
                <w:iCs w:val="0"/>
                <w:caps w:val="0"/>
                <w:color w:val="auto"/>
                <w:spacing w:val="0"/>
                <w:sz w:val="24"/>
                <w:szCs w:val="24"/>
                <w:shd w:val="clear" w:fill="FFFFFF"/>
              </w:rPr>
              <w:t>火灾</w:t>
            </w:r>
            <w:r>
              <w:rPr>
                <w:rFonts w:hint="default" w:ascii="Times New Roman" w:hAnsi="Times New Roman" w:cs="Times New Roman"/>
                <w:b w:val="0"/>
                <w:bCs w:val="0"/>
                <w:i w:val="0"/>
                <w:iCs w:val="0"/>
                <w:caps w:val="0"/>
                <w:color w:val="auto"/>
                <w:spacing w:val="0"/>
                <w:sz w:val="24"/>
                <w:szCs w:val="24"/>
                <w:shd w:val="clear" w:fill="FFFFFF"/>
              </w:rPr>
              <w:t>：小型火灾时立刻用储区附近备用的灭火器灭火，如其有迅速扩大之势，应避免靠近，须立即打开消火栓降低着火点及附近油漆的温度，控制火势，避免发生爆炸，待火焰减低后再用灭火器灭之。大型火灾时应立刻开启消火栓降温，控制火势，避免爆炸，等待救援</w:t>
            </w:r>
            <w:r>
              <w:rPr>
                <w:rFonts w:hint="default" w:ascii="Times New Roman" w:hAnsi="Times New Roman" w:cs="Times New Roman"/>
                <w:b w:val="0"/>
                <w:bCs w:val="0"/>
                <w:i w:val="0"/>
                <w:iCs w:val="0"/>
                <w:caps w:val="0"/>
                <w:color w:val="auto"/>
                <w:spacing w:val="0"/>
                <w:sz w:val="24"/>
                <w:szCs w:val="24"/>
                <w:shd w:val="clear" w:fill="FFFFFF"/>
                <w:lang w:eastAsia="zh-CN"/>
              </w:rPr>
              <w:t>。</w:t>
            </w:r>
          </w:p>
          <w:p w14:paraId="2B1AC6E9">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cs="Times New Roman"/>
                <w:i w:val="0"/>
                <w:iCs w:val="0"/>
                <w:caps w:val="0"/>
                <w:color w:val="auto"/>
                <w:spacing w:val="0"/>
                <w:sz w:val="24"/>
                <w:szCs w:val="24"/>
                <w:shd w:val="clear" w:fill="FFFFFF"/>
                <w:lang w:eastAsia="zh-CN"/>
              </w:rPr>
            </w:pPr>
            <w:r>
              <w:rPr>
                <w:rStyle w:val="21"/>
                <w:rFonts w:hint="default" w:ascii="Times New Roman" w:hAnsi="Times New Roman" w:cs="Times New Roman"/>
                <w:b w:val="0"/>
                <w:bCs w:val="0"/>
                <w:i w:val="0"/>
                <w:iCs w:val="0"/>
                <w:caps w:val="0"/>
                <w:color w:val="auto"/>
                <w:spacing w:val="0"/>
                <w:sz w:val="24"/>
                <w:szCs w:val="24"/>
                <w:shd w:val="clear" w:fill="FFFFFF"/>
                <w:lang w:val="en-US" w:eastAsia="zh-CN"/>
              </w:rPr>
              <w:t>⑤</w:t>
            </w:r>
            <w:r>
              <w:rPr>
                <w:rStyle w:val="21"/>
                <w:rFonts w:hint="default" w:ascii="Times New Roman" w:hAnsi="Times New Roman" w:cs="Times New Roman"/>
                <w:b w:val="0"/>
                <w:bCs w:val="0"/>
                <w:i w:val="0"/>
                <w:iCs w:val="0"/>
                <w:caps w:val="0"/>
                <w:color w:val="auto"/>
                <w:spacing w:val="0"/>
                <w:sz w:val="24"/>
                <w:szCs w:val="24"/>
                <w:shd w:val="clear" w:fill="FFFFFF"/>
              </w:rPr>
              <w:t>善后处理</w:t>
            </w:r>
            <w:r>
              <w:rPr>
                <w:rFonts w:hint="default" w:ascii="Times New Roman" w:hAnsi="Times New Roman" w:cs="Times New Roman"/>
                <w:b w:val="0"/>
                <w:bCs w:val="0"/>
                <w:i w:val="0"/>
                <w:iCs w:val="0"/>
                <w:caps w:val="0"/>
                <w:color w:val="auto"/>
                <w:spacing w:val="0"/>
                <w:sz w:val="24"/>
                <w:szCs w:val="24"/>
                <w:shd w:val="clear" w:fill="FFFFFF"/>
              </w:rPr>
              <w:t>：火灾</w:t>
            </w:r>
            <w:r>
              <w:rPr>
                <w:rFonts w:hint="default" w:ascii="Times New Roman" w:hAnsi="Times New Roman" w:cs="Times New Roman"/>
                <w:i w:val="0"/>
                <w:iCs w:val="0"/>
                <w:caps w:val="0"/>
                <w:color w:val="auto"/>
                <w:spacing w:val="0"/>
                <w:sz w:val="24"/>
                <w:szCs w:val="24"/>
                <w:shd w:val="clear" w:fill="FFFFFF"/>
              </w:rPr>
              <w:t>现场处置后，需派人监护现场，防止复燃等次生事故，同时保护好现场，配合有关部门的调查处理工作，做好伤亡人员的善后处理，燃烧产生的废渣、吸附的废油、被侵蚀沙土等废物统一集中，并委托有资质的备案处置单位进行处置转移</w:t>
            </w:r>
            <w:r>
              <w:rPr>
                <w:rFonts w:hint="default" w:ascii="Times New Roman" w:hAnsi="Times New Roman" w:cs="Times New Roman"/>
                <w:i w:val="0"/>
                <w:iCs w:val="0"/>
                <w:caps w:val="0"/>
                <w:color w:val="auto"/>
                <w:spacing w:val="0"/>
                <w:sz w:val="24"/>
                <w:szCs w:val="24"/>
                <w:shd w:val="clear" w:fill="FFFFFF"/>
                <w:lang w:eastAsia="zh-CN"/>
              </w:rPr>
              <w:t>。</w:t>
            </w:r>
          </w:p>
          <w:p w14:paraId="30565AFF">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cs="Times New Roman"/>
                <w:i w:val="0"/>
                <w:iCs w:val="0"/>
                <w:caps w:val="0"/>
                <w:color w:val="auto"/>
                <w:spacing w:val="0"/>
                <w:sz w:val="24"/>
                <w:szCs w:val="24"/>
                <w:shd w:val="clear" w:fill="FFFFFF"/>
                <w:lang w:val="en-US" w:eastAsia="zh-CN"/>
              </w:rPr>
            </w:pPr>
          </w:p>
          <w:p w14:paraId="282ADE6E">
            <w:pPr>
              <w:pStyle w:val="7"/>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环境风险防范措施</w:t>
            </w:r>
          </w:p>
          <w:p w14:paraId="5A89EAFA">
            <w:pPr>
              <w:pStyle w:val="8"/>
              <w:keepNext w:val="0"/>
              <w:keepLines w:val="0"/>
              <w:numPr>
                <w:ilvl w:val="0"/>
                <w:numId w:val="0"/>
              </w:numPr>
              <w:suppressLineNumbers w:val="0"/>
              <w:spacing w:before="0" w:beforeAutospacing="0" w:after="0" w:afterAutospacing="0"/>
              <w:ind w:left="0" w:right="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（1）</w:t>
            </w:r>
            <w:r>
              <w:rPr>
                <w:rFonts w:hint="default" w:ascii="Times New Roman" w:hAnsi="Times New Roman" w:cs="Times New Roman"/>
                <w:b w:val="0"/>
                <w:bCs w:val="0"/>
                <w:color w:val="auto"/>
                <w:sz w:val="24"/>
                <w:szCs w:val="24"/>
                <w:lang w:val="en-US" w:eastAsia="zh-CN"/>
              </w:rPr>
              <w:t>定期检修设备，确保</w:t>
            </w:r>
            <w:r>
              <w:rPr>
                <w:rFonts w:hint="eastAsia" w:ascii="Times New Roman" w:hAnsi="Times New Roman" w:cs="Times New Roman"/>
                <w:b w:val="0"/>
                <w:bCs w:val="0"/>
                <w:color w:val="auto"/>
                <w:sz w:val="24"/>
                <w:szCs w:val="24"/>
                <w:lang w:val="en-US" w:eastAsia="zh-CN"/>
              </w:rPr>
              <w:t>设备</w:t>
            </w:r>
            <w:r>
              <w:rPr>
                <w:rFonts w:hint="default" w:ascii="Times New Roman" w:hAnsi="Times New Roman" w:cs="Times New Roman"/>
                <w:b w:val="0"/>
                <w:bCs w:val="0"/>
                <w:color w:val="auto"/>
                <w:sz w:val="24"/>
                <w:szCs w:val="24"/>
                <w:lang w:val="en-US" w:eastAsia="zh-CN"/>
              </w:rPr>
              <w:t>在合格状态下进行运作；</w:t>
            </w:r>
          </w:p>
          <w:p w14:paraId="7B6056C8">
            <w:pPr>
              <w:keepNext w:val="0"/>
              <w:keepLines w:val="0"/>
              <w:numPr>
                <w:ilvl w:val="0"/>
                <w:numId w:val="0"/>
              </w:numPr>
              <w:suppressLineNumbers w:val="0"/>
              <w:spacing w:before="0" w:beforeAutospacing="0" w:after="0" w:afterAutospacing="0"/>
              <w:ind w:left="0" w:right="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cs="Times New Roman"/>
                <w:color w:val="auto"/>
                <w:lang w:val="en-US" w:eastAsia="zh-CN"/>
              </w:rPr>
              <w:t>（2）</w:t>
            </w:r>
            <w:r>
              <w:rPr>
                <w:rFonts w:hint="default" w:ascii="Times New Roman" w:hAnsi="Times New Roman" w:cs="Times New Roman"/>
                <w:b w:val="0"/>
                <w:bCs w:val="0"/>
                <w:color w:val="auto"/>
                <w:sz w:val="24"/>
                <w:szCs w:val="24"/>
                <w:lang w:val="en-US" w:eastAsia="zh-CN"/>
              </w:rPr>
              <w:t>生产设备</w:t>
            </w:r>
            <w:r>
              <w:rPr>
                <w:rFonts w:hint="default" w:ascii="Times New Roman" w:hAnsi="Times New Roman" w:eastAsia="宋体" w:cs="Times New Roman"/>
                <w:b w:val="0"/>
                <w:bCs w:val="0"/>
                <w:color w:val="auto"/>
                <w:sz w:val="24"/>
                <w:szCs w:val="24"/>
              </w:rPr>
              <w:t>需配备必要的应急处理器材和防护用品，如灭火器、吸油毡等设备。</w:t>
            </w:r>
          </w:p>
          <w:p w14:paraId="5C53FEA5">
            <w:pPr>
              <w:pStyle w:val="8"/>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废润滑油</w:t>
            </w:r>
            <w:r>
              <w:rPr>
                <w:rFonts w:hint="default" w:ascii="Times New Roman" w:hAnsi="Times New Roman" w:eastAsia="宋体" w:cs="Times New Roman"/>
                <w:b w:val="0"/>
                <w:bCs w:val="0"/>
                <w:color w:val="auto"/>
                <w:sz w:val="24"/>
                <w:szCs w:val="24"/>
                <w:lang w:val="en-US" w:eastAsia="zh-CN"/>
              </w:rPr>
              <w:t>，由检修人员统一收集，放置危废暂存间，依托有资质的单位处理。</w:t>
            </w:r>
          </w:p>
          <w:p w14:paraId="34000E4E">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（4）若发生事故，</w:t>
            </w:r>
            <w:r>
              <w:rPr>
                <w:rFonts w:hint="default" w:ascii="Times New Roman" w:hAnsi="Times New Roman" w:cs="Times New Roman"/>
                <w:b w:val="0"/>
                <w:bCs w:val="0"/>
                <w:color w:val="auto"/>
                <w:sz w:val="24"/>
                <w:szCs w:val="24"/>
                <w:lang w:val="en-US" w:eastAsia="zh-CN"/>
              </w:rPr>
              <w:t>采取相应的措施，并</w:t>
            </w:r>
            <w:r>
              <w:rPr>
                <w:rFonts w:hint="default" w:ascii="Times New Roman" w:hAnsi="Times New Roman" w:eastAsia="宋体" w:cs="Times New Roman"/>
                <w:b w:val="0"/>
                <w:bCs w:val="0"/>
                <w:color w:val="auto"/>
                <w:sz w:val="24"/>
                <w:szCs w:val="24"/>
                <w:lang w:val="en-US" w:eastAsia="zh-CN"/>
              </w:rPr>
              <w:t>及时报</w:t>
            </w:r>
            <w:r>
              <w:rPr>
                <w:rFonts w:hint="default" w:ascii="Times New Roman" w:hAnsi="Times New Roman" w:cs="Times New Roman"/>
                <w:b w:val="0"/>
                <w:bCs w:val="0"/>
                <w:color w:val="auto"/>
                <w:sz w:val="24"/>
                <w:szCs w:val="24"/>
                <w:lang w:val="en-US" w:eastAsia="zh-CN"/>
              </w:rPr>
              <w:t>告</w:t>
            </w:r>
            <w:r>
              <w:rPr>
                <w:rFonts w:hint="default" w:ascii="Times New Roman" w:hAnsi="Times New Roman" w:eastAsia="宋体" w:cs="Times New Roman"/>
                <w:b w:val="0"/>
                <w:bCs w:val="0"/>
                <w:color w:val="auto"/>
                <w:sz w:val="24"/>
                <w:szCs w:val="24"/>
                <w:lang w:val="en-US" w:eastAsia="zh-CN"/>
              </w:rPr>
              <w:t>公司领导。</w:t>
            </w:r>
          </w:p>
          <w:p w14:paraId="4B4167BC">
            <w:pPr>
              <w:keepNext w:val="0"/>
              <w:keepLines w:val="0"/>
              <w:suppressLineNumbers w:val="0"/>
              <w:spacing w:before="0" w:beforeAutospacing="0" w:after="0" w:afterAutospacing="0"/>
              <w:ind w:left="0" w:right="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（5）选用符合标准的危险废物储存容器，并安排专业人员定期检查。</w:t>
            </w:r>
          </w:p>
          <w:p w14:paraId="0E6A8F20">
            <w:pPr>
              <w:keepNext w:val="0"/>
              <w:keepLines w:val="0"/>
              <w:suppressLineNumbers w:val="0"/>
              <w:spacing w:before="0" w:beforeAutospacing="0" w:after="0" w:afterAutospacing="0"/>
              <w:ind w:left="0" w:right="0"/>
              <w:rPr>
                <w:rFonts w:hint="default" w:ascii="Times New Roman" w:hAnsi="Times New Roman" w:cs="Times New Roman"/>
                <w:b w:val="0"/>
                <w:bCs w:val="0"/>
                <w:color w:val="auto"/>
                <w:sz w:val="24"/>
                <w:szCs w:val="24"/>
                <w:lang w:val="en-US" w:eastAsia="zh-CN"/>
              </w:rPr>
            </w:pPr>
          </w:p>
          <w:p w14:paraId="68B4451D">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7</w:t>
            </w:r>
            <w:r>
              <w:rPr>
                <w:rFonts w:hint="default" w:ascii="Times New Roman" w:hAnsi="Times New Roman" w:cs="Times New Roman"/>
                <w:b/>
                <w:bCs/>
                <w:color w:val="auto"/>
                <w:sz w:val="24"/>
                <w:szCs w:val="24"/>
                <w:lang w:val="en-US" w:eastAsia="zh-CN"/>
              </w:rPr>
              <w:t>应急预案</w:t>
            </w:r>
          </w:p>
          <w:p w14:paraId="28944726">
            <w:pPr>
              <w:ind w:firstLine="480"/>
              <w:rPr>
                <w:rFonts w:hint="default" w:ascii="Times New Roman" w:hAnsi="Times New Roman" w:cs="Times New Roman"/>
                <w:color w:val="auto"/>
              </w:rPr>
            </w:pPr>
            <w:r>
              <w:rPr>
                <w:rFonts w:hint="default" w:ascii="Times New Roman" w:hAnsi="Times New Roman" w:cs="Times New Roman"/>
                <w:color w:val="auto"/>
              </w:rPr>
              <w:t>根据国家相关规定的要求，项目建设完成后需编制事故环境风险应急预案，并按要求报相关环保部门备案。项目方应制定环境风险应急预案，并且配备必要的设施。应急预案的主要内容可参见表</w:t>
            </w:r>
            <w:r>
              <w:rPr>
                <w:rFonts w:hint="default" w:ascii="Times New Roman" w:hAnsi="Times New Roman" w:cs="Times New Roman"/>
                <w:color w:val="auto"/>
                <w:lang w:val="en-US" w:eastAsia="zh-CN"/>
              </w:rPr>
              <w:t>4-1</w:t>
            </w:r>
            <w:r>
              <w:rPr>
                <w:rFonts w:hint="eastAsia" w:cs="Times New Roman"/>
                <w:color w:val="auto"/>
                <w:lang w:val="en-US" w:eastAsia="zh-CN"/>
              </w:rPr>
              <w:t>1</w:t>
            </w:r>
            <w:r>
              <w:rPr>
                <w:rFonts w:hint="default" w:ascii="Times New Roman" w:hAnsi="Times New Roman" w:cs="Times New Roman"/>
                <w:color w:val="auto"/>
              </w:rPr>
              <w:t>。</w:t>
            </w:r>
          </w:p>
          <w:p w14:paraId="2FD811D4">
            <w:pPr>
              <w:pStyle w:val="35"/>
              <w:tabs>
                <w:tab w:val="left" w:pos="1276"/>
              </w:tabs>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4-1</w:t>
            </w:r>
            <w:r>
              <w:rPr>
                <w:rFonts w:hint="eastAsia" w:cs="Times New Roman"/>
                <w:color w:val="auto"/>
                <w:lang w:val="en-US" w:eastAsia="zh-CN"/>
              </w:rPr>
              <w:t>1</w:t>
            </w:r>
            <w:r>
              <w:rPr>
                <w:rFonts w:hint="default" w:ascii="Times New Roman" w:hAnsi="Times New Roman" w:cs="Times New Roman"/>
                <w:color w:val="auto"/>
              </w:rPr>
              <w:t>应急预案内容</w:t>
            </w:r>
          </w:p>
          <w:tbl>
            <w:tblPr>
              <w:tblStyle w:val="16"/>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300"/>
              <w:gridCol w:w="5944"/>
            </w:tblGrid>
            <w:tr w14:paraId="4E74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16D26776">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60" w:type="pct"/>
                  <w:tcBorders>
                    <w:tl2br w:val="nil"/>
                    <w:tr2bl w:val="nil"/>
                  </w:tcBorders>
                  <w:noWrap w:val="0"/>
                  <w:vAlign w:val="center"/>
                </w:tcPr>
                <w:p w14:paraId="20DB829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3256" w:type="pct"/>
                  <w:tcBorders>
                    <w:tl2br w:val="nil"/>
                    <w:tr2bl w:val="nil"/>
                  </w:tcBorders>
                  <w:noWrap w:val="0"/>
                  <w:vAlign w:val="center"/>
                </w:tcPr>
                <w:p w14:paraId="2FF2AA7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内容及要求</w:t>
                  </w:r>
                </w:p>
              </w:tc>
            </w:tr>
            <w:tr w14:paraId="4D37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392F2ED5">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60" w:type="pct"/>
                  <w:tcBorders>
                    <w:tl2br w:val="nil"/>
                    <w:tr2bl w:val="nil"/>
                  </w:tcBorders>
                  <w:noWrap w:val="0"/>
                  <w:vAlign w:val="center"/>
                </w:tcPr>
                <w:p w14:paraId="00B8263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应急计划区</w:t>
                  </w:r>
                </w:p>
              </w:tc>
              <w:tc>
                <w:tcPr>
                  <w:tcW w:w="3256" w:type="pct"/>
                  <w:tcBorders>
                    <w:tl2br w:val="nil"/>
                    <w:tr2bl w:val="nil"/>
                  </w:tcBorders>
                  <w:noWrap w:val="0"/>
                  <w:vAlign w:val="center"/>
                </w:tcPr>
                <w:p w14:paraId="5EDE6522">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危险目标：装置区、储存区环境保护目标</w:t>
                  </w:r>
                </w:p>
              </w:tc>
            </w:tr>
            <w:tr w14:paraId="4562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26E3900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60" w:type="pct"/>
                  <w:tcBorders>
                    <w:tl2br w:val="nil"/>
                    <w:tr2bl w:val="nil"/>
                  </w:tcBorders>
                  <w:noWrap w:val="0"/>
                  <w:vAlign w:val="center"/>
                </w:tcPr>
                <w:p w14:paraId="661287F9">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应急组织机构、人员</w:t>
                  </w:r>
                </w:p>
              </w:tc>
              <w:tc>
                <w:tcPr>
                  <w:tcW w:w="3256" w:type="pct"/>
                  <w:tcBorders>
                    <w:tl2br w:val="nil"/>
                    <w:tr2bl w:val="nil"/>
                  </w:tcBorders>
                  <w:noWrap w:val="0"/>
                  <w:vAlign w:val="center"/>
                </w:tcPr>
                <w:p w14:paraId="19CFA6F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工厂、地区应急组织机构、人员</w:t>
                  </w:r>
                </w:p>
              </w:tc>
            </w:tr>
            <w:tr w14:paraId="266D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492C74DC">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60" w:type="pct"/>
                  <w:tcBorders>
                    <w:tl2br w:val="nil"/>
                    <w:tr2bl w:val="nil"/>
                  </w:tcBorders>
                  <w:noWrap w:val="0"/>
                  <w:vAlign w:val="center"/>
                </w:tcPr>
                <w:p w14:paraId="63DF7D42">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预案分级响应条件</w:t>
                  </w:r>
                </w:p>
              </w:tc>
              <w:tc>
                <w:tcPr>
                  <w:tcW w:w="3256" w:type="pct"/>
                  <w:tcBorders>
                    <w:tl2br w:val="nil"/>
                    <w:tr2bl w:val="nil"/>
                  </w:tcBorders>
                  <w:noWrap w:val="0"/>
                  <w:vAlign w:val="center"/>
                </w:tcPr>
                <w:p w14:paraId="60FA9EA3">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规定预案的级别及分级相应程序</w:t>
                  </w:r>
                </w:p>
              </w:tc>
            </w:tr>
            <w:tr w14:paraId="26F2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113F021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60" w:type="pct"/>
                  <w:tcBorders>
                    <w:tl2br w:val="nil"/>
                    <w:tr2bl w:val="nil"/>
                  </w:tcBorders>
                  <w:noWrap w:val="0"/>
                  <w:vAlign w:val="center"/>
                </w:tcPr>
                <w:p w14:paraId="153DE133">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应急救援保障</w:t>
                  </w:r>
                </w:p>
              </w:tc>
              <w:tc>
                <w:tcPr>
                  <w:tcW w:w="3256" w:type="pct"/>
                  <w:tcBorders>
                    <w:tl2br w:val="nil"/>
                    <w:tr2bl w:val="nil"/>
                  </w:tcBorders>
                  <w:noWrap w:val="0"/>
                  <w:vAlign w:val="center"/>
                </w:tcPr>
                <w:p w14:paraId="32287CBF">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应急设施，设备与器材等</w:t>
                  </w:r>
                </w:p>
              </w:tc>
            </w:tr>
            <w:tr w14:paraId="4BB5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54E963FE">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60" w:type="pct"/>
                  <w:tcBorders>
                    <w:tl2br w:val="nil"/>
                    <w:tr2bl w:val="nil"/>
                  </w:tcBorders>
                  <w:noWrap w:val="0"/>
                  <w:vAlign w:val="center"/>
                </w:tcPr>
                <w:p w14:paraId="1F700D40">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报警、通讯联络方式</w:t>
                  </w:r>
                </w:p>
              </w:tc>
              <w:tc>
                <w:tcPr>
                  <w:tcW w:w="3256" w:type="pct"/>
                  <w:tcBorders>
                    <w:tl2br w:val="nil"/>
                    <w:tr2bl w:val="nil"/>
                  </w:tcBorders>
                  <w:noWrap w:val="0"/>
                  <w:vAlign w:val="center"/>
                </w:tcPr>
                <w:p w14:paraId="4023CC6F">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规定应急状态下的报警通讯方式、通知方式和交通保障、管制</w:t>
                  </w:r>
                </w:p>
              </w:tc>
            </w:tr>
            <w:tr w14:paraId="53ED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3BE0264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60" w:type="pct"/>
                  <w:tcBorders>
                    <w:tl2br w:val="nil"/>
                    <w:tr2bl w:val="nil"/>
                  </w:tcBorders>
                  <w:noWrap w:val="0"/>
                  <w:vAlign w:val="center"/>
                </w:tcPr>
                <w:p w14:paraId="111ED21A">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应急环境监测、抢险、救援及控制措施</w:t>
                  </w:r>
                </w:p>
              </w:tc>
              <w:tc>
                <w:tcPr>
                  <w:tcW w:w="3256" w:type="pct"/>
                  <w:tcBorders>
                    <w:tl2br w:val="nil"/>
                    <w:tr2bl w:val="nil"/>
                  </w:tcBorders>
                  <w:noWrap w:val="0"/>
                  <w:vAlign w:val="center"/>
                </w:tcPr>
                <w:p w14:paraId="030A966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由专业队伍负责对事故现场进行侦察监测，对事故性质、参数与后果进行评估，为指挥部门提供决策依据</w:t>
                  </w:r>
                </w:p>
              </w:tc>
            </w:tr>
            <w:tr w14:paraId="7026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2071ECDD">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60" w:type="pct"/>
                  <w:tcBorders>
                    <w:tl2br w:val="nil"/>
                    <w:tr2bl w:val="nil"/>
                  </w:tcBorders>
                  <w:noWrap w:val="0"/>
                  <w:vAlign w:val="center"/>
                </w:tcPr>
                <w:p w14:paraId="18CED895">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应急检测、防护措施、清除泄漏措施和器材</w:t>
                  </w:r>
                </w:p>
              </w:tc>
              <w:tc>
                <w:tcPr>
                  <w:tcW w:w="3256" w:type="pct"/>
                  <w:tcBorders>
                    <w:tl2br w:val="nil"/>
                    <w:tr2bl w:val="nil"/>
                  </w:tcBorders>
                  <w:noWrap w:val="0"/>
                  <w:vAlign w:val="center"/>
                </w:tcPr>
                <w:p w14:paraId="1319AC7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事故现场、邻近区域、控制防火区域，控制和清除污染措施及相应设备</w:t>
                  </w:r>
                </w:p>
              </w:tc>
            </w:tr>
            <w:tr w14:paraId="60DF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340C60CB">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60" w:type="pct"/>
                  <w:tcBorders>
                    <w:tl2br w:val="nil"/>
                    <w:tr2bl w:val="nil"/>
                  </w:tcBorders>
                  <w:noWrap w:val="0"/>
                  <w:vAlign w:val="center"/>
                </w:tcPr>
                <w:p w14:paraId="1599D9C7">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人员紧急撤离、疏散，应急剂量控制、撤离组织计划</w:t>
                  </w:r>
                </w:p>
              </w:tc>
              <w:tc>
                <w:tcPr>
                  <w:tcW w:w="3256" w:type="pct"/>
                  <w:tcBorders>
                    <w:tl2br w:val="nil"/>
                    <w:tr2bl w:val="nil"/>
                  </w:tcBorders>
                  <w:noWrap w:val="0"/>
                  <w:vAlign w:val="center"/>
                </w:tcPr>
                <w:p w14:paraId="239E26C5">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事故现场、工厂邻近区、受事故影响的区域人员及公众对毒物应急剂量控制规定，撤离组织计划及救护，医疗救护与公众健康</w:t>
                  </w:r>
                </w:p>
              </w:tc>
            </w:tr>
            <w:tr w14:paraId="48B5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46B547EE">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60" w:type="pct"/>
                  <w:tcBorders>
                    <w:tl2br w:val="nil"/>
                    <w:tr2bl w:val="nil"/>
                  </w:tcBorders>
                  <w:noWrap w:val="0"/>
                  <w:vAlign w:val="center"/>
                </w:tcPr>
                <w:p w14:paraId="17B60D5E">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事故应急救援关闭程序与恢复措施</w:t>
                  </w:r>
                </w:p>
              </w:tc>
              <w:tc>
                <w:tcPr>
                  <w:tcW w:w="3256" w:type="pct"/>
                  <w:tcBorders>
                    <w:tl2br w:val="nil"/>
                    <w:tr2bl w:val="nil"/>
                  </w:tcBorders>
                  <w:noWrap w:val="0"/>
                  <w:vAlign w:val="center"/>
                </w:tcPr>
                <w:p w14:paraId="4F151169">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规定应急状态终止程序；事故现场善后处理，恢复措施；邻近区域解除事故警戒及善后恢复措施。</w:t>
                  </w:r>
                </w:p>
              </w:tc>
            </w:tr>
            <w:tr w14:paraId="225F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096DD600">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60" w:type="pct"/>
                  <w:tcBorders>
                    <w:tl2br w:val="nil"/>
                    <w:tr2bl w:val="nil"/>
                  </w:tcBorders>
                  <w:noWrap w:val="0"/>
                  <w:vAlign w:val="center"/>
                </w:tcPr>
                <w:p w14:paraId="7ED6F27B">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应急培训计划</w:t>
                  </w:r>
                </w:p>
              </w:tc>
              <w:tc>
                <w:tcPr>
                  <w:tcW w:w="3256" w:type="pct"/>
                  <w:tcBorders>
                    <w:tl2br w:val="nil"/>
                    <w:tr2bl w:val="nil"/>
                  </w:tcBorders>
                  <w:noWrap w:val="0"/>
                  <w:vAlign w:val="center"/>
                </w:tcPr>
                <w:p w14:paraId="3B6B117A">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应急计划制定后，平时安排人员培训与演练</w:t>
                  </w:r>
                </w:p>
              </w:tc>
            </w:tr>
            <w:tr w14:paraId="0598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657333B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60" w:type="pct"/>
                  <w:tcBorders>
                    <w:tl2br w:val="nil"/>
                    <w:tr2bl w:val="nil"/>
                  </w:tcBorders>
                  <w:noWrap w:val="0"/>
                  <w:vAlign w:val="center"/>
                </w:tcPr>
                <w:p w14:paraId="373CD16A">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公众教育和信息</w:t>
                  </w:r>
                </w:p>
              </w:tc>
              <w:tc>
                <w:tcPr>
                  <w:tcW w:w="3256" w:type="pct"/>
                  <w:tcBorders>
                    <w:tl2br w:val="nil"/>
                    <w:tr2bl w:val="nil"/>
                  </w:tcBorders>
                  <w:noWrap w:val="0"/>
                  <w:vAlign w:val="center"/>
                </w:tcPr>
                <w:p w14:paraId="7599A391">
                  <w:pPr>
                    <w:pStyle w:val="4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对邻近地区开展公众教育、培训和发布有关信息</w:t>
                  </w:r>
                </w:p>
              </w:tc>
            </w:tr>
            <w:tr w14:paraId="5299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Borders>
                    <w:tl2br w:val="nil"/>
                    <w:tr2bl w:val="nil"/>
                  </w:tcBorders>
                  <w:noWrap w:val="0"/>
                  <w:vAlign w:val="center"/>
                </w:tcPr>
                <w:p w14:paraId="04E3F143">
                  <w:pPr>
                    <w:pStyle w:val="42"/>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1260" w:type="pct"/>
                  <w:tcBorders>
                    <w:tl2br w:val="nil"/>
                    <w:tr2bl w:val="nil"/>
                  </w:tcBorders>
                  <w:noWrap w:val="0"/>
                  <w:vAlign w:val="center"/>
                </w:tcPr>
                <w:p w14:paraId="768FFA37">
                  <w:pPr>
                    <w:pStyle w:val="42"/>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危废暂存间</w:t>
                  </w:r>
                </w:p>
              </w:tc>
              <w:tc>
                <w:tcPr>
                  <w:tcW w:w="3256" w:type="pct"/>
                  <w:tcBorders>
                    <w:tl2br w:val="nil"/>
                    <w:tr2bl w:val="nil"/>
                  </w:tcBorders>
                  <w:noWrap w:val="0"/>
                  <w:vAlign w:val="center"/>
                </w:tcPr>
                <w:p w14:paraId="00A5807D">
                  <w:pPr>
                    <w:pStyle w:val="42"/>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对产生的</w:t>
                  </w:r>
                  <w:r>
                    <w:rPr>
                      <w:rFonts w:hint="eastAsia" w:cs="Times New Roman"/>
                      <w:color w:val="auto"/>
                      <w:sz w:val="21"/>
                      <w:szCs w:val="21"/>
                      <w:lang w:val="en-US" w:eastAsia="zh-CN"/>
                    </w:rPr>
                    <w:t>废润滑油</w:t>
                  </w:r>
                  <w:r>
                    <w:rPr>
                      <w:rFonts w:hint="default" w:ascii="Times New Roman" w:hAnsi="Times New Roman" w:cs="Times New Roman"/>
                      <w:color w:val="auto"/>
                      <w:sz w:val="21"/>
                      <w:szCs w:val="21"/>
                      <w:lang w:val="en-US" w:eastAsia="zh-CN"/>
                    </w:rPr>
                    <w:t>用桶密封包装存入危废暂存间后托付</w:t>
                  </w:r>
                  <w:r>
                    <w:rPr>
                      <w:rFonts w:hint="eastAsia" w:cs="Times New Roman"/>
                      <w:color w:val="auto"/>
                      <w:sz w:val="21"/>
                      <w:szCs w:val="21"/>
                      <w:lang w:val="en-US" w:eastAsia="zh-CN"/>
                    </w:rPr>
                    <w:t>有资质单位处置。</w:t>
                  </w:r>
                </w:p>
              </w:tc>
            </w:tr>
          </w:tbl>
          <w:p w14:paraId="78BE4E48">
            <w:pPr>
              <w:pStyle w:val="37"/>
              <w:keepNext w:val="0"/>
              <w:keepLines w:val="0"/>
              <w:widowControl w:val="0"/>
              <w:suppressLineNumbers w:val="0"/>
              <w:bidi w:val="0"/>
              <w:spacing w:before="0" w:beforeAutospacing="0" w:after="0" w:afterAutospacing="0" w:line="360" w:lineRule="auto"/>
              <w:ind w:left="0" w:right="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2.8环境管理</w:t>
            </w:r>
          </w:p>
          <w:p w14:paraId="2E03ACFD">
            <w:pPr>
              <w:pStyle w:val="37"/>
              <w:keepNext w:val="0"/>
              <w:keepLines w:val="0"/>
              <w:widowControl w:val="0"/>
              <w:suppressLineNumbers w:val="0"/>
              <w:bidi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2.8.1</w:t>
            </w:r>
            <w:r>
              <w:rPr>
                <w:rFonts w:hint="default" w:ascii="Times New Roman" w:hAnsi="Times New Roman" w:cs="Times New Roman"/>
                <w:b/>
                <w:bCs/>
                <w:color w:val="auto"/>
                <w:sz w:val="24"/>
                <w:szCs w:val="24"/>
              </w:rPr>
              <w:t>环境管理机构</w:t>
            </w:r>
          </w:p>
          <w:p w14:paraId="76B8FFC2">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建设单位或运行单位在管理机构内配备必要的专职或兼职人员，负责环境保护管理工作。</w:t>
            </w:r>
          </w:p>
          <w:p w14:paraId="1DF371CD">
            <w:pPr>
              <w:keepNext w:val="0"/>
              <w:keepLines w:val="0"/>
              <w:suppressLineNumbers w:val="0"/>
              <w:bidi w:val="0"/>
              <w:spacing w:before="0" w:beforeAutospacing="0" w:after="0" w:afterAutospacing="0"/>
              <w:ind w:left="0" w:leftChars="0" w:right="0"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2.8.2</w:t>
            </w:r>
            <w:r>
              <w:rPr>
                <w:rFonts w:hint="default" w:ascii="Times New Roman" w:hAnsi="Times New Roman" w:cs="Times New Roman"/>
                <w:b/>
                <w:bCs/>
                <w:color w:val="auto"/>
                <w:sz w:val="24"/>
                <w:szCs w:val="24"/>
              </w:rPr>
              <w:t>施工期环境管理</w:t>
            </w:r>
          </w:p>
          <w:p w14:paraId="694984F9">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根据《中华人民共和国环境保护法》和《建设项目环境保护管理条例》，建设单位必须把环境保护工作纳入计划，建立环境保护责任制度，采取有效措施，防治环境破坏。</w:t>
            </w:r>
          </w:p>
          <w:p w14:paraId="11E89DAD">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贯彻执行国家、地方的各项环境保护方针、政策、法规和各项规章制度。</w:t>
            </w:r>
          </w:p>
          <w:p w14:paraId="08932271">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制定本工程施工中的环境保护计划，负责工程施工过程中各项环境保护措施实施的日常管理。</w:t>
            </w:r>
          </w:p>
          <w:p w14:paraId="6629D89A">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收集、整理、推广和实施工程建设中各项环境保护的先进工作经验和技术。</w:t>
            </w:r>
          </w:p>
          <w:p w14:paraId="371E1360">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组织和开展对施工人员进行施工活动中应遵循的环保法规、知识的培训，提高全体员工文明施工的认识。</w:t>
            </w:r>
          </w:p>
          <w:p w14:paraId="7ACF801C">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）监督施工单位，使设计、施工过程的各项环境保护措施与主体工程同步实施。</w:t>
            </w:r>
          </w:p>
          <w:p w14:paraId="6B85D022">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在施工过程中要根据建设进度检查本工程实际建设规模、地点或者防治污染、防止生态破坏的措施与环评文件、批复文件或环境保护设施设计要求的一致性，发生变动的，建设单位应在变动前开展环境影响分析情况，重大变动的需及时重新报批环评文件。</w:t>
            </w:r>
          </w:p>
          <w:p w14:paraId="4707D472">
            <w:pPr>
              <w:pStyle w:val="37"/>
              <w:keepNext w:val="0"/>
              <w:keepLines w:val="0"/>
              <w:widowControl w:val="0"/>
              <w:suppressLineNumbers w:val="0"/>
              <w:bidi w:val="0"/>
              <w:spacing w:before="0" w:beforeAutospacing="0" w:after="0" w:afterAutospacing="0"/>
              <w:ind w:left="0" w:right="0"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2.8.3</w:t>
            </w:r>
            <w:r>
              <w:rPr>
                <w:rFonts w:hint="default" w:ascii="Times New Roman" w:hAnsi="Times New Roman" w:cs="Times New Roman"/>
                <w:b/>
                <w:bCs/>
                <w:color w:val="auto"/>
                <w:sz w:val="24"/>
                <w:szCs w:val="24"/>
              </w:rPr>
              <w:t>运行期环境管理</w:t>
            </w:r>
          </w:p>
          <w:p w14:paraId="58AF342A">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管理人员应在各自的岗位责任制中明确所负的环保责任。监督国家法规、条例的贯彻执行情况，制定和贯彻环保管理制度，监控本工程主要污染源，对各部门、操作岗位进行环境保护监督和考核。环境管理的职能为：</w:t>
            </w:r>
          </w:p>
          <w:p w14:paraId="384E1565">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①制定和实施各项环境管理计划。</w:t>
            </w:r>
          </w:p>
          <w:p w14:paraId="427F4618">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掌握项目所在地周围的环境特征，做好记录、建档工作。</w:t>
            </w:r>
          </w:p>
          <w:p w14:paraId="6C81192E">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检查污染防治设施运行情况，及时处理出现的问题，保证治理设施正常运行。</w:t>
            </w:r>
          </w:p>
          <w:p w14:paraId="4F8F7D1D">
            <w:pPr>
              <w:pStyle w:val="37"/>
              <w:keepNext w:val="0"/>
              <w:keepLines w:val="0"/>
              <w:widowControl w:val="0"/>
              <w:suppressLineNumbers w:val="0"/>
              <w:bidi w:val="0"/>
              <w:spacing w:before="0" w:beforeAutospacing="0" w:after="0" w:afterAutospacing="0"/>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④</w:t>
            </w:r>
            <w:r>
              <w:rPr>
                <w:rFonts w:hint="default" w:ascii="Times New Roman" w:hAnsi="Times New Roman" w:cs="Times New Roman"/>
                <w:b w:val="0"/>
                <w:bCs/>
                <w:color w:val="auto"/>
                <w:sz w:val="24"/>
                <w:szCs w:val="24"/>
              </w:rPr>
              <w:t>协调配合上级环保主管部门所进行的环境调查，生态调查等活动。</w:t>
            </w:r>
          </w:p>
          <w:p w14:paraId="5049B780">
            <w:pPr>
              <w:pStyle w:val="37"/>
              <w:keepNext w:val="0"/>
              <w:keepLines w:val="0"/>
              <w:widowControl w:val="0"/>
              <w:suppressLineNumbers w:val="0"/>
              <w:bidi w:val="0"/>
              <w:spacing w:before="0" w:beforeAutospacing="0" w:after="0" w:afterAutospacing="0"/>
              <w:ind w:left="0" w:right="0" w:firstLine="482" w:firstLineChars="200"/>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2.8.4</w:t>
            </w:r>
            <w:r>
              <w:rPr>
                <w:rFonts w:hint="default" w:ascii="Times New Roman" w:hAnsi="Times New Roman" w:cs="Times New Roman"/>
                <w:b/>
                <w:bCs/>
                <w:color w:val="auto"/>
                <w:sz w:val="24"/>
                <w:szCs w:val="24"/>
                <w:lang w:val="en-US" w:eastAsia="zh-CN"/>
              </w:rPr>
              <w:t>环境监测</w:t>
            </w:r>
          </w:p>
          <w:p w14:paraId="37BB0508">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工程投入运行后，应及时委托有资质的单位进行废气和环境噪声环境监测工作。</w:t>
            </w:r>
          </w:p>
          <w:p w14:paraId="30791967">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（1）环境监测任务</w:t>
            </w:r>
          </w:p>
          <w:p w14:paraId="08F7881D">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①制定监测计划，监测工程施工期和运行期环境要素及评价因子的变化。</w:t>
            </w:r>
          </w:p>
          <w:p w14:paraId="6AF3E442">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②对工程突发的环境事件进行跟踪监测调查。</w:t>
            </w:r>
          </w:p>
          <w:p w14:paraId="3CBD9217">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（2）监测点位布设</w:t>
            </w:r>
          </w:p>
          <w:p w14:paraId="69EBD79C">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监测点位布设应符合《建设项目竣工环境保护验收技术规范 </w:t>
            </w:r>
            <w:r>
              <w:rPr>
                <w:rFonts w:hint="default" w:ascii="Times New Roman" w:hAnsi="Times New Roman" w:cs="Times New Roman"/>
                <w:color w:val="auto"/>
                <w:sz w:val="24"/>
                <w:szCs w:val="24"/>
                <w:lang w:val="en-US" w:eastAsia="zh-CN"/>
              </w:rPr>
              <w:t>污染影响类</w:t>
            </w:r>
            <w:r>
              <w:rPr>
                <w:rFonts w:hint="default" w:ascii="Times New Roman" w:hAnsi="Times New Roman" w:cs="Times New Roman"/>
                <w:color w:val="auto"/>
                <w:sz w:val="24"/>
                <w:szCs w:val="24"/>
              </w:rPr>
              <w:t>》（HJ</w:t>
            </w:r>
            <w:r>
              <w:rPr>
                <w:rFonts w:hint="default" w:ascii="Times New Roman" w:hAnsi="Times New Roman" w:cs="Times New Roman"/>
                <w:color w:val="auto"/>
                <w:sz w:val="24"/>
                <w:szCs w:val="24"/>
                <w:lang w:val="en-US" w:eastAsia="zh-CN"/>
              </w:rPr>
              <w:t>394</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）的要求，具体可参考本环评筛选的典型环境敏感点。</w:t>
            </w:r>
          </w:p>
          <w:p w14:paraId="228A79B4">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（3）监测因子及频次</w:t>
            </w:r>
          </w:p>
          <w:p w14:paraId="6C234D68">
            <w:pPr>
              <w:ind w:firstLine="48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4"/>
                <w:szCs w:val="24"/>
              </w:rPr>
              <w:t>本项目工程量小、施工期短，施工期间噪声、扬尘等对周边居民点影响轻微，运营后废水、固废能妥善处置，设备噪声对周围环境影响较小，故本次评价不制订施工期环境监测计划，仅制订运营期噪声、</w:t>
            </w:r>
            <w:r>
              <w:rPr>
                <w:rFonts w:hint="default" w:ascii="Times New Roman" w:hAnsi="Times New Roman" w:cs="Times New Roman"/>
                <w:color w:val="auto"/>
                <w:sz w:val="24"/>
                <w:szCs w:val="24"/>
                <w:lang w:val="en-US" w:eastAsia="zh-CN"/>
              </w:rPr>
              <w:t>废气监测</w:t>
            </w:r>
            <w:r>
              <w:rPr>
                <w:rFonts w:hint="default" w:ascii="Times New Roman" w:hAnsi="Times New Roman" w:cs="Times New Roman"/>
                <w:color w:val="auto"/>
                <w:sz w:val="24"/>
                <w:szCs w:val="24"/>
              </w:rPr>
              <w:t>计划。</w:t>
            </w:r>
          </w:p>
          <w:p w14:paraId="606DF575">
            <w:pPr>
              <w:ind w:left="0" w:leftChars="0" w:firstLine="0" w:firstLineChars="0"/>
              <w:jc w:val="center"/>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sz w:val="21"/>
                <w:szCs w:val="21"/>
                <w:lang w:val="en-US" w:eastAsia="zh-CN"/>
              </w:rPr>
              <w:t>表</w:t>
            </w:r>
            <w:r>
              <w:rPr>
                <w:rFonts w:hint="eastAsia" w:cs="Times New Roman"/>
                <w:b/>
                <w:bCs/>
                <w:color w:val="auto"/>
                <w:sz w:val="21"/>
                <w:szCs w:val="21"/>
                <w:lang w:val="en-US" w:eastAsia="zh-CN"/>
              </w:rPr>
              <w:t>4-12</w:t>
            </w:r>
            <w:r>
              <w:rPr>
                <w:rFonts w:hint="default" w:ascii="Times New Roman" w:hAnsi="Times New Roman" w:cs="Times New Roman"/>
                <w:b/>
                <w:bCs/>
                <w:color w:val="auto"/>
                <w:sz w:val="21"/>
                <w:szCs w:val="21"/>
                <w:lang w:val="en-US" w:eastAsia="zh-CN"/>
              </w:rPr>
              <w:t>项目</w:t>
            </w:r>
            <w:r>
              <w:rPr>
                <w:rFonts w:hint="eastAsia" w:cs="Times New Roman"/>
                <w:b/>
                <w:bCs/>
                <w:color w:val="auto"/>
                <w:sz w:val="21"/>
                <w:szCs w:val="21"/>
                <w:lang w:val="en-US" w:eastAsia="zh-CN"/>
              </w:rPr>
              <w:t>自行</w:t>
            </w:r>
            <w:r>
              <w:rPr>
                <w:rFonts w:hint="default" w:ascii="Times New Roman" w:hAnsi="Times New Roman" w:cs="Times New Roman"/>
                <w:b/>
                <w:bCs/>
                <w:color w:val="auto"/>
                <w:sz w:val="21"/>
                <w:szCs w:val="21"/>
                <w:lang w:val="en-US" w:eastAsia="zh-CN"/>
              </w:rPr>
              <w:t>监测计划表</w:t>
            </w:r>
          </w:p>
          <w:tbl>
            <w:tblPr>
              <w:tblStyle w:val="17"/>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9"/>
              <w:gridCol w:w="1745"/>
              <w:gridCol w:w="1732"/>
              <w:gridCol w:w="2190"/>
              <w:gridCol w:w="1732"/>
            </w:tblGrid>
            <w:tr w14:paraId="43FB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vAlign w:val="center"/>
                </w:tcPr>
                <w:p w14:paraId="6FB22C0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监测项目</w:t>
                  </w:r>
                </w:p>
              </w:tc>
              <w:tc>
                <w:tcPr>
                  <w:tcW w:w="1823" w:type="dxa"/>
                  <w:vAlign w:val="center"/>
                </w:tcPr>
                <w:p w14:paraId="5594290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监测点位</w:t>
                  </w:r>
                </w:p>
              </w:tc>
              <w:tc>
                <w:tcPr>
                  <w:tcW w:w="1823" w:type="dxa"/>
                  <w:vAlign w:val="center"/>
                </w:tcPr>
                <w:p w14:paraId="599011A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监测因子</w:t>
                  </w:r>
                </w:p>
              </w:tc>
              <w:tc>
                <w:tcPr>
                  <w:tcW w:w="1838" w:type="dxa"/>
                  <w:vAlign w:val="center"/>
                </w:tcPr>
                <w:p w14:paraId="758DAF7B">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执行标准</w:t>
                  </w:r>
                </w:p>
              </w:tc>
              <w:tc>
                <w:tcPr>
                  <w:tcW w:w="1823" w:type="dxa"/>
                  <w:vAlign w:val="center"/>
                </w:tcPr>
                <w:p w14:paraId="552E5BA6">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监测频率</w:t>
                  </w:r>
                </w:p>
              </w:tc>
            </w:tr>
            <w:tr w14:paraId="2FC6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1" w:type="dxa"/>
                  <w:vAlign w:val="center"/>
                </w:tcPr>
                <w:p w14:paraId="482E9EB5">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1823" w:type="dxa"/>
                  <w:vAlign w:val="center"/>
                </w:tcPr>
                <w:p w14:paraId="00B86701">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厂界上风向设置1个监测点位，下风向设置3个监测点位</w:t>
                  </w:r>
                </w:p>
              </w:tc>
              <w:tc>
                <w:tcPr>
                  <w:tcW w:w="1823" w:type="dxa"/>
                  <w:vAlign w:val="center"/>
                </w:tcPr>
                <w:p w14:paraId="30000FB0">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1838" w:type="dxa"/>
                  <w:vAlign w:val="center"/>
                </w:tcPr>
                <w:p w14:paraId="59182A5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rPr>
                    <w:t>《大气污染物排放综合标准》（GB16297-1996）</w:t>
                  </w:r>
                </w:p>
              </w:tc>
              <w:tc>
                <w:tcPr>
                  <w:tcW w:w="1823" w:type="dxa"/>
                  <w:vAlign w:val="center"/>
                </w:tcPr>
                <w:p w14:paraId="719D6B1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一次/年</w:t>
                  </w:r>
                </w:p>
              </w:tc>
            </w:tr>
            <w:tr w14:paraId="01A9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vAlign w:val="center"/>
                </w:tcPr>
                <w:p w14:paraId="1F3FB04C">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噪声</w:t>
                  </w:r>
                </w:p>
              </w:tc>
              <w:tc>
                <w:tcPr>
                  <w:tcW w:w="1823" w:type="dxa"/>
                  <w:vAlign w:val="center"/>
                </w:tcPr>
                <w:p w14:paraId="09AA6AC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厂区4个拐点处</w:t>
                  </w:r>
                </w:p>
              </w:tc>
              <w:tc>
                <w:tcPr>
                  <w:tcW w:w="1823" w:type="dxa"/>
                  <w:vAlign w:val="center"/>
                </w:tcPr>
                <w:p w14:paraId="32E7582E">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噪声</w:t>
                  </w:r>
                </w:p>
              </w:tc>
              <w:tc>
                <w:tcPr>
                  <w:tcW w:w="1838" w:type="dxa"/>
                  <w:vAlign w:val="center"/>
                </w:tcPr>
                <w:p w14:paraId="553DE4D2">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GB12348-2008《工业企业厂界环境噪声排放标准》2类标准</w:t>
                  </w:r>
                </w:p>
              </w:tc>
              <w:tc>
                <w:tcPr>
                  <w:tcW w:w="1823" w:type="dxa"/>
                  <w:vAlign w:val="center"/>
                </w:tcPr>
                <w:p w14:paraId="6C3DD077">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一次/季度</w:t>
                  </w:r>
                </w:p>
              </w:tc>
            </w:tr>
          </w:tbl>
          <w:p w14:paraId="3E050916">
            <w:pPr>
              <w:keepNext w:val="0"/>
              <w:keepLines w:val="0"/>
              <w:suppressLineNumbers w:val="0"/>
              <w:bidi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w:t>
            </w:r>
            <w:r>
              <w:rPr>
                <w:rFonts w:hint="default" w:ascii="Times New Roman" w:hAnsi="Times New Roman" w:eastAsia="Times New Roman" w:cs="Times New Roman"/>
                <w:b w:val="0"/>
                <w:bCs w:val="0"/>
                <w:color w:val="auto"/>
                <w:spacing w:val="-2"/>
                <w:sz w:val="24"/>
                <w:szCs w:val="24"/>
              </w:rPr>
              <w:t>4</w:t>
            </w:r>
            <w:r>
              <w:rPr>
                <w:rFonts w:hint="default" w:ascii="Times New Roman" w:hAnsi="Times New Roman" w:cs="Times New Roman"/>
                <w:color w:val="auto"/>
                <w:spacing w:val="-2"/>
                <w:sz w:val="24"/>
                <w:szCs w:val="24"/>
              </w:rPr>
              <w:t>）监测技术要求</w:t>
            </w:r>
          </w:p>
          <w:p w14:paraId="7AA9FA22">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①监测范围应与工程影响区域相符</w:t>
            </w:r>
            <w:r>
              <w:rPr>
                <w:rFonts w:hint="eastAsia" w:cs="Times New Roman"/>
                <w:color w:val="auto"/>
                <w:lang w:eastAsia="zh-CN"/>
              </w:rPr>
              <w:t>；</w:t>
            </w:r>
          </w:p>
          <w:p w14:paraId="49B21738">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②监测位置与频次应根据监测数据的代表性、生态环境质量的特征、变化和环境影响评价、工程竣工环境保护验收的要求确定</w:t>
            </w:r>
            <w:r>
              <w:rPr>
                <w:rFonts w:hint="eastAsia" w:cs="Times New Roman"/>
                <w:color w:val="auto"/>
                <w:lang w:eastAsia="zh-CN"/>
              </w:rPr>
              <w:t>；</w:t>
            </w:r>
          </w:p>
          <w:p w14:paraId="410348AD">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③监测方法与技术要求应符合国家现行的有关环境监测技术规范和环境监测标准分析方法</w:t>
            </w:r>
            <w:r>
              <w:rPr>
                <w:rFonts w:hint="eastAsia" w:cs="Times New Roman"/>
                <w:color w:val="auto"/>
                <w:lang w:eastAsia="zh-CN"/>
              </w:rPr>
              <w:t>；</w:t>
            </w:r>
          </w:p>
          <w:p w14:paraId="5426815C">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④监测成果应在原始数据基础上进行审查、校核、综合分析后整理编印</w:t>
            </w:r>
            <w:r>
              <w:rPr>
                <w:rFonts w:hint="eastAsia" w:cs="Times New Roman"/>
                <w:color w:val="auto"/>
                <w:lang w:eastAsia="zh-CN"/>
              </w:rPr>
              <w:t>；</w:t>
            </w:r>
          </w:p>
          <w:p w14:paraId="41841D02">
            <w:pPr>
              <w:ind w:left="0"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⑤应对监测提出质量保证要求。</w:t>
            </w:r>
          </w:p>
          <w:p w14:paraId="000B3C6D">
            <w:pPr>
              <w:ind w:left="0" w:leftChars="0" w:firstLine="480" w:firstLineChars="200"/>
              <w:rPr>
                <w:rFonts w:hint="default" w:ascii="Times New Roman" w:hAnsi="Times New Roman" w:cs="Times New Roman"/>
                <w:color w:val="auto"/>
                <w:sz w:val="24"/>
                <w:szCs w:val="24"/>
              </w:rPr>
            </w:pPr>
          </w:p>
          <w:p w14:paraId="559C6E9F">
            <w:pPr>
              <w:ind w:left="0" w:leftChars="0" w:firstLine="0" w:firstLineChars="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2.9竣工环境保护验收</w:t>
            </w:r>
          </w:p>
          <w:p w14:paraId="75AA831A">
            <w:pPr>
              <w:ind w:left="0"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有环保设施均应与主体工程“三同时”，工程完工后建设单位或者其委托的技术机构应当依照国家有关法律法规、建设项目竣工环境保护验收技术规范、建设项目环境影响报告书（表）和审批决定等要求，如实查验、监测、记载建设项目环境保护设施的建设和调试情况，同时还应如实记载其他环境保护对策措施“三同时”落实情况，编制竣工环境保护验收报告。</w:t>
            </w:r>
          </w:p>
          <w:p w14:paraId="7CE9BBB5">
            <w:pPr>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验收报告编制完成后，建设单位应组织成立验收工作组，验收工作组由建设单位、设计单位、施工单位、环境影响报告书（表）编制机构、验收报告编制机构等单位代表和专业技术专家组成，建设单位应当对验收工作组提出的问题进行整改，合格后方可出具验收合格的意见，并报生态环境部门备案。建设项目配套建设的环境保护设施经竣</w:t>
            </w:r>
            <w:r>
              <w:rPr>
                <w:rFonts w:hint="eastAsia" w:cs="Times New Roman"/>
                <w:color w:val="auto"/>
                <w:sz w:val="24"/>
                <w:szCs w:val="24"/>
                <w:lang w:val="en-US" w:eastAsia="zh-CN"/>
              </w:rPr>
              <w:t>工</w:t>
            </w:r>
            <w:r>
              <w:rPr>
                <w:rFonts w:hint="default" w:ascii="Times New Roman" w:hAnsi="Times New Roman" w:cs="Times New Roman"/>
                <w:color w:val="auto"/>
                <w:sz w:val="24"/>
                <w:szCs w:val="24"/>
              </w:rPr>
              <w:t>验收通过后方可正式投产。本项目环保验收内容详见表 4-1</w:t>
            </w:r>
            <w:r>
              <w:rPr>
                <w:rFonts w:hint="eastAsia" w:cs="Times New Roman"/>
                <w:color w:val="auto"/>
                <w:sz w:val="24"/>
                <w:szCs w:val="24"/>
                <w:lang w:val="en-US" w:eastAsia="zh-CN"/>
              </w:rPr>
              <w:t>3。</w:t>
            </w:r>
          </w:p>
          <w:p w14:paraId="72FDC131">
            <w:pPr>
              <w:ind w:left="0" w:leftChars="0" w:firstLine="0" w:firstLineChars="0"/>
              <w:jc w:val="center"/>
              <w:rPr>
                <w:rFonts w:hint="default" w:ascii="Times New Roman" w:hAnsi="Times New Roman" w:cs="Times New Roman"/>
                <w:b/>
                <w:bCs/>
                <w:color w:val="auto"/>
                <w:sz w:val="21"/>
                <w:szCs w:val="21"/>
              </w:rPr>
            </w:pPr>
          </w:p>
          <w:p w14:paraId="0CE853A9">
            <w:pPr>
              <w:ind w:left="0" w:leftChars="0" w:firstLine="0" w:firstLineChars="0"/>
              <w:jc w:val="center"/>
              <w:rPr>
                <w:rFonts w:hint="default" w:ascii="Times New Roman" w:hAnsi="Times New Roman" w:cs="Times New Roman"/>
                <w:b/>
                <w:bCs/>
                <w:color w:val="auto"/>
                <w:sz w:val="21"/>
                <w:szCs w:val="21"/>
              </w:rPr>
            </w:pPr>
          </w:p>
          <w:p w14:paraId="67FC02C5">
            <w:pPr>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 4-1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项目环境保护竣工验收一览表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1298"/>
              <w:gridCol w:w="4128"/>
              <w:gridCol w:w="3047"/>
            </w:tblGrid>
            <w:tr w14:paraId="688F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96" w:type="dxa"/>
                  <w:noWrap w:val="0"/>
                  <w:vAlign w:val="center"/>
                </w:tcPr>
                <w:p w14:paraId="5D2C4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298" w:type="dxa"/>
                  <w:noWrap w:val="0"/>
                  <w:vAlign w:val="center"/>
                </w:tcPr>
                <w:p w14:paraId="726579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处理对象</w:t>
                  </w:r>
                </w:p>
              </w:tc>
              <w:tc>
                <w:tcPr>
                  <w:tcW w:w="4128" w:type="dxa"/>
                  <w:noWrap w:val="0"/>
                  <w:vAlign w:val="center"/>
                </w:tcPr>
                <w:p w14:paraId="205C9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处置措施</w:t>
                  </w:r>
                </w:p>
              </w:tc>
              <w:tc>
                <w:tcPr>
                  <w:tcW w:w="3047" w:type="dxa"/>
                  <w:noWrap w:val="0"/>
                  <w:vAlign w:val="center"/>
                </w:tcPr>
                <w:p w14:paraId="23295C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处理效果</w:t>
                  </w:r>
                </w:p>
              </w:tc>
            </w:tr>
            <w:tr w14:paraId="6094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96" w:type="dxa"/>
                  <w:vMerge w:val="restart"/>
                  <w:noWrap w:val="0"/>
                  <w:vAlign w:val="center"/>
                </w:tcPr>
                <w:p w14:paraId="3B1FD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废</w:t>
                  </w:r>
                  <w:r>
                    <w:rPr>
                      <w:rFonts w:hint="eastAsia" w:ascii="Times New Roman" w:hAnsi="Times New Roman" w:cs="Times New Roman"/>
                      <w:bCs/>
                      <w:color w:val="auto"/>
                      <w:sz w:val="21"/>
                      <w:szCs w:val="21"/>
                      <w:highlight w:val="none"/>
                      <w:lang w:eastAsia="zh-CN"/>
                    </w:rPr>
                    <w:t>水</w:t>
                  </w:r>
                </w:p>
              </w:tc>
              <w:tc>
                <w:tcPr>
                  <w:tcW w:w="1298" w:type="dxa"/>
                  <w:tcBorders>
                    <w:bottom w:val="single" w:color="000000" w:sz="4" w:space="0"/>
                  </w:tcBorders>
                  <w:shd w:val="clear" w:color="auto" w:fill="auto"/>
                  <w:noWrap w:val="0"/>
                  <w:vAlign w:val="center"/>
                </w:tcPr>
                <w:p w14:paraId="791177C4">
                  <w:pPr>
                    <w:pStyle w:val="42"/>
                    <w:numPr>
                      <w:ilvl w:val="0"/>
                      <w:numId w:val="0"/>
                    </w:numPr>
                    <w:spacing w:line="240" w:lineRule="auto"/>
                    <w:ind w:left="0" w:leftChars="0" w:firstLine="0" w:firstLineChars="0"/>
                    <w:jc w:val="center"/>
                    <w:rPr>
                      <w:rFonts w:hint="eastAsia"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生活污水</w:t>
                  </w:r>
                </w:p>
              </w:tc>
              <w:tc>
                <w:tcPr>
                  <w:tcW w:w="4128" w:type="dxa"/>
                  <w:tcBorders>
                    <w:bottom w:val="single" w:color="000000" w:sz="4" w:space="0"/>
                  </w:tcBorders>
                  <w:shd w:val="clear" w:color="auto" w:fill="auto"/>
                  <w:noWrap w:val="0"/>
                  <w:vAlign w:val="center"/>
                </w:tcPr>
                <w:p w14:paraId="6F22F7E6">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新建一个</w:t>
                  </w:r>
                  <w:r>
                    <w:rPr>
                      <w:rFonts w:hint="default" w:ascii="Times New Roman" w:hAnsi="Times New Roman" w:cs="Times New Roman"/>
                      <w:color w:val="auto"/>
                      <w:sz w:val="21"/>
                      <w:szCs w:val="21"/>
                    </w:rPr>
                    <w:t>隔油池</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食堂废水排入隔油池处理后，排入</w:t>
                  </w:r>
                  <w:r>
                    <w:rPr>
                      <w:rFonts w:hint="default" w:ascii="Times New Roman" w:hAnsi="Times New Roman" w:cs="Times New Roman"/>
                      <w:color w:val="auto"/>
                      <w:sz w:val="21"/>
                      <w:szCs w:val="21"/>
                    </w:rPr>
                    <w:t>化粪池</w:t>
                  </w:r>
                  <w:r>
                    <w:rPr>
                      <w:rFonts w:hint="default" w:ascii="Times New Roman" w:hAnsi="Times New Roman" w:cs="Times New Roman"/>
                      <w:color w:val="auto"/>
                      <w:sz w:val="21"/>
                      <w:szCs w:val="21"/>
                      <w:lang w:val="en-US" w:eastAsia="zh-CN"/>
                    </w:rPr>
                    <w:t>中，其他生活污水直接排入原法果红砖厂化粪池中（3.0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vertAlign w:val="baseline"/>
                      <w:lang w:val="en-US" w:eastAsia="zh-CN"/>
                    </w:rPr>
                    <w:t>定期使用吸粪车清运</w:t>
                  </w:r>
                  <w:r>
                    <w:rPr>
                      <w:rFonts w:hint="eastAsia" w:cs="Times New Roman"/>
                      <w:color w:val="auto"/>
                      <w:sz w:val="21"/>
                      <w:szCs w:val="21"/>
                      <w:vertAlign w:val="baseline"/>
                      <w:lang w:val="en-US" w:eastAsia="zh-CN"/>
                    </w:rPr>
                    <w:t>至华宁县污水处理厂处理</w:t>
                  </w:r>
                  <w:r>
                    <w:rPr>
                      <w:rFonts w:hint="default" w:ascii="Times New Roman" w:hAnsi="Times New Roman" w:cs="Times New Roman"/>
                      <w:color w:val="auto"/>
                      <w:sz w:val="21"/>
                      <w:szCs w:val="21"/>
                      <w:vertAlign w:val="baseline"/>
                      <w:lang w:val="en-US" w:eastAsia="zh-CN"/>
                    </w:rPr>
                    <w:t>。</w:t>
                  </w:r>
                </w:p>
              </w:tc>
              <w:tc>
                <w:tcPr>
                  <w:tcW w:w="3047" w:type="dxa"/>
                  <w:noWrap w:val="0"/>
                  <w:vAlign w:val="center"/>
                </w:tcPr>
                <w:p w14:paraId="307079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满足</w:t>
                  </w:r>
                  <w:r>
                    <w:rPr>
                      <w:rFonts w:hint="default" w:ascii="Times New Roman" w:hAnsi="Times New Roman" w:eastAsia="宋体" w:cs="Times New Roman"/>
                      <w:bCs/>
                      <w:color w:val="auto"/>
                      <w:sz w:val="21"/>
                      <w:szCs w:val="21"/>
                      <w:highlight w:val="none"/>
                      <w:lang w:val="en-US" w:eastAsia="zh-CN"/>
                    </w:rPr>
                    <w:t xml:space="preserve">《污水排入城镇下水道水质标准》（GB/T 31962-2015）中 </w:t>
                  </w:r>
                  <w:r>
                    <w:rPr>
                      <w:rFonts w:hint="eastAsia" w:cs="Times New Roman"/>
                      <w:bCs/>
                      <w:color w:val="auto"/>
                      <w:sz w:val="21"/>
                      <w:szCs w:val="21"/>
                      <w:highlight w:val="none"/>
                      <w:lang w:val="en-US" w:eastAsia="zh-CN"/>
                    </w:rPr>
                    <w:t>B</w:t>
                  </w:r>
                  <w:r>
                    <w:rPr>
                      <w:rFonts w:hint="default" w:ascii="Times New Roman" w:hAnsi="Times New Roman" w:eastAsia="宋体" w:cs="Times New Roman"/>
                      <w:bCs/>
                      <w:color w:val="auto"/>
                      <w:sz w:val="21"/>
                      <w:szCs w:val="21"/>
                      <w:highlight w:val="none"/>
                      <w:lang w:val="en-US" w:eastAsia="zh-CN"/>
                    </w:rPr>
                    <w:t xml:space="preserve"> 级标准及《污水综合排放标准》（GB8978-1996）中的三级标准</w:t>
                  </w:r>
                </w:p>
              </w:tc>
            </w:tr>
            <w:tr w14:paraId="0B75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96" w:type="dxa"/>
                  <w:vMerge w:val="continue"/>
                  <w:noWrap w:val="0"/>
                  <w:vAlign w:val="center"/>
                </w:tcPr>
                <w:p w14:paraId="06A7E649">
                  <w:pPr>
                    <w:adjustRightInd w:val="0"/>
                    <w:snapToGrid w:val="0"/>
                    <w:spacing w:line="240" w:lineRule="auto"/>
                    <w:jc w:val="center"/>
                    <w:rPr>
                      <w:rFonts w:hint="default" w:ascii="Times New Roman" w:hAnsi="Times New Roman" w:cs="Times New Roman"/>
                      <w:bCs/>
                      <w:color w:val="auto"/>
                      <w:sz w:val="21"/>
                      <w:szCs w:val="21"/>
                      <w:highlight w:val="none"/>
                    </w:rPr>
                  </w:pPr>
                </w:p>
              </w:tc>
              <w:tc>
                <w:tcPr>
                  <w:tcW w:w="1298" w:type="dxa"/>
                  <w:tcBorders>
                    <w:top w:val="single" w:color="000000" w:sz="4" w:space="0"/>
                    <w:bottom w:val="single" w:color="auto" w:sz="4" w:space="0"/>
                  </w:tcBorders>
                  <w:shd w:val="clear" w:color="auto" w:fill="auto"/>
                  <w:noWrap w:val="0"/>
                  <w:vAlign w:val="center"/>
                </w:tcPr>
                <w:p w14:paraId="3EC77076">
                  <w:pPr>
                    <w:pStyle w:val="42"/>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车辆清洗废水</w:t>
                  </w:r>
                </w:p>
              </w:tc>
              <w:tc>
                <w:tcPr>
                  <w:tcW w:w="4128" w:type="dxa"/>
                  <w:tcBorders>
                    <w:top w:val="single" w:color="000000" w:sz="4" w:space="0"/>
                    <w:bottom w:val="single" w:color="auto" w:sz="4" w:space="0"/>
                  </w:tcBorders>
                  <w:shd w:val="clear" w:color="auto" w:fill="auto"/>
                  <w:noWrap w:val="0"/>
                  <w:vAlign w:val="center"/>
                </w:tcPr>
                <w:p w14:paraId="3DAFEC93">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eastAsia="宋体" w:cs="Times New Roman"/>
                      <w:b w:val="0"/>
                      <w:color w:val="auto"/>
                      <w:kern w:val="2"/>
                      <w:sz w:val="21"/>
                      <w:szCs w:val="21"/>
                      <w:lang w:val="en-US" w:eastAsia="zh-CN" w:bidi="ar-SA"/>
                    </w:rPr>
                  </w:pPr>
                  <w:r>
                    <w:rPr>
                      <w:rFonts w:hint="eastAsia" w:cs="Times New Roman"/>
                      <w:color w:val="auto"/>
                      <w:sz w:val="21"/>
                      <w:szCs w:val="21"/>
                      <w:lang w:val="en-US" w:eastAsia="zh-CN"/>
                    </w:rPr>
                    <w:t>出场车辆清洗废水，经沉淀（5m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）后，回用于车辆清洗。</w:t>
                  </w:r>
                </w:p>
              </w:tc>
              <w:tc>
                <w:tcPr>
                  <w:tcW w:w="3047" w:type="dxa"/>
                  <w:vMerge w:val="restart"/>
                  <w:noWrap w:val="0"/>
                  <w:vAlign w:val="center"/>
                </w:tcPr>
                <w:p w14:paraId="31F170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不外排</w:t>
                  </w:r>
                </w:p>
              </w:tc>
            </w:tr>
            <w:tr w14:paraId="1F17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96" w:type="dxa"/>
                  <w:vMerge w:val="continue"/>
                  <w:noWrap w:val="0"/>
                  <w:vAlign w:val="center"/>
                </w:tcPr>
                <w:p w14:paraId="5B872536">
                  <w:pPr>
                    <w:adjustRightInd w:val="0"/>
                    <w:snapToGrid w:val="0"/>
                    <w:spacing w:line="240" w:lineRule="auto"/>
                    <w:jc w:val="center"/>
                    <w:rPr>
                      <w:rFonts w:hint="default" w:ascii="Times New Roman" w:hAnsi="Times New Roman" w:cs="Times New Roman"/>
                      <w:bCs/>
                      <w:color w:val="auto"/>
                      <w:sz w:val="21"/>
                      <w:szCs w:val="21"/>
                      <w:highlight w:val="none"/>
                    </w:rPr>
                  </w:pPr>
                </w:p>
              </w:tc>
              <w:tc>
                <w:tcPr>
                  <w:tcW w:w="1298" w:type="dxa"/>
                  <w:tcBorders>
                    <w:top w:val="single" w:color="auto" w:sz="4" w:space="0"/>
                  </w:tcBorders>
                  <w:shd w:val="clear" w:color="auto" w:fill="auto"/>
                  <w:noWrap w:val="0"/>
                  <w:vAlign w:val="center"/>
                </w:tcPr>
                <w:p w14:paraId="32F77019">
                  <w:pPr>
                    <w:pStyle w:val="42"/>
                    <w:numPr>
                      <w:ilvl w:val="0"/>
                      <w:numId w:val="0"/>
                    </w:numPr>
                    <w:spacing w:line="240" w:lineRule="auto"/>
                    <w:ind w:left="0" w:leftChars="0" w:firstLine="0" w:firstLineChars="0"/>
                    <w:jc w:val="center"/>
                    <w:rPr>
                      <w:rFonts w:hint="default"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生产废水</w:t>
                  </w:r>
                </w:p>
              </w:tc>
              <w:tc>
                <w:tcPr>
                  <w:tcW w:w="4128" w:type="dxa"/>
                  <w:tcBorders>
                    <w:top w:val="single" w:color="auto" w:sz="4" w:space="0"/>
                  </w:tcBorders>
                  <w:shd w:val="clear" w:color="auto" w:fill="auto"/>
                  <w:noWrap w:val="0"/>
                  <w:vAlign w:val="center"/>
                </w:tcPr>
                <w:p w14:paraId="6C39AAEB">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进入沉淀池（120m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），沉淀后上清液进入清水循环池（240m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），回用于洗砂。</w:t>
                  </w:r>
                </w:p>
              </w:tc>
              <w:tc>
                <w:tcPr>
                  <w:tcW w:w="3047" w:type="dxa"/>
                  <w:vMerge w:val="continue"/>
                  <w:noWrap w:val="0"/>
                  <w:vAlign w:val="center"/>
                </w:tcPr>
                <w:p w14:paraId="6E551E1E">
                  <w:pPr>
                    <w:adjustRightInd w:val="0"/>
                    <w:snapToGrid w:val="0"/>
                    <w:spacing w:line="240" w:lineRule="auto"/>
                    <w:jc w:val="center"/>
                    <w:rPr>
                      <w:rFonts w:hint="default" w:ascii="Times New Roman" w:hAnsi="Times New Roman" w:cs="Times New Roman"/>
                      <w:bCs/>
                      <w:color w:val="auto"/>
                      <w:sz w:val="21"/>
                      <w:szCs w:val="21"/>
                      <w:highlight w:val="none"/>
                    </w:rPr>
                  </w:pPr>
                </w:p>
              </w:tc>
            </w:tr>
            <w:tr w14:paraId="3324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596" w:type="dxa"/>
                  <w:vMerge w:val="restart"/>
                  <w:noWrap w:val="0"/>
                  <w:vAlign w:val="center"/>
                </w:tcPr>
                <w:p w14:paraId="4BEF4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eastAsia="zh-CN"/>
                    </w:rPr>
                    <w:t>废气</w:t>
                  </w:r>
                </w:p>
              </w:tc>
              <w:tc>
                <w:tcPr>
                  <w:tcW w:w="1298" w:type="dxa"/>
                  <w:shd w:val="clear" w:color="auto" w:fill="auto"/>
                  <w:noWrap w:val="0"/>
                  <w:vAlign w:val="center"/>
                </w:tcPr>
                <w:p w14:paraId="5EA1FCBD">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原料装卸</w:t>
                  </w:r>
                </w:p>
                <w:p w14:paraId="022ECB97">
                  <w:pPr>
                    <w:pStyle w:val="42"/>
                    <w:numPr>
                      <w:ilvl w:val="0"/>
                      <w:numId w:val="0"/>
                    </w:numPr>
                    <w:spacing w:line="240" w:lineRule="auto"/>
                    <w:ind w:left="0" w:leftChars="0" w:firstLine="0" w:firstLineChars="0"/>
                    <w:jc w:val="center"/>
                    <w:rPr>
                      <w:rFonts w:hint="eastAsia"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、堆存</w:t>
                  </w:r>
                </w:p>
              </w:tc>
              <w:tc>
                <w:tcPr>
                  <w:tcW w:w="4128" w:type="dxa"/>
                  <w:shd w:val="clear" w:color="auto" w:fill="auto"/>
                  <w:noWrap w:val="0"/>
                  <w:vAlign w:val="center"/>
                </w:tcPr>
                <w:p w14:paraId="02BE3B09">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搭建彩钢瓦大棚堆存，占地面积为</w:t>
                  </w:r>
                  <w:r>
                    <w:rPr>
                      <w:rFonts w:hint="eastAsia" w:ascii="Times New Roman" w:hAnsi="Times New Roman" w:cs="Times New Roman"/>
                      <w:b w:val="0"/>
                      <w:bCs w:val="0"/>
                      <w:color w:val="auto"/>
                      <w:sz w:val="21"/>
                      <w:szCs w:val="21"/>
                      <w:vertAlign w:val="baseline"/>
                      <w:lang w:val="en-US" w:eastAsia="zh-CN"/>
                    </w:rPr>
                    <w:t>4</w:t>
                  </w:r>
                  <w:r>
                    <w:rPr>
                      <w:rFonts w:hint="default" w:ascii="Times New Roman" w:hAnsi="Times New Roman" w:cs="Times New Roman"/>
                      <w:b w:val="0"/>
                      <w:bCs w:val="0"/>
                      <w:color w:val="auto"/>
                      <w:sz w:val="21"/>
                      <w:szCs w:val="21"/>
                      <w:vertAlign w:val="baseline"/>
                      <w:lang w:val="en-US" w:eastAsia="zh-CN"/>
                    </w:rPr>
                    <w:t>00m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，并设置三面围挡且洒水降尘</w:t>
                  </w:r>
                  <w:r>
                    <w:rPr>
                      <w:rFonts w:hint="eastAsia" w:ascii="Times New Roman" w:hAnsi="Times New Roman" w:cs="Times New Roman"/>
                      <w:b w:val="0"/>
                      <w:bCs w:val="0"/>
                      <w:color w:val="auto"/>
                      <w:sz w:val="21"/>
                      <w:szCs w:val="21"/>
                      <w:vertAlign w:val="baseline"/>
                      <w:lang w:val="en-US" w:eastAsia="zh-CN"/>
                    </w:rPr>
                    <w:t>，卸装采取湿式作业</w:t>
                  </w:r>
                  <w:r>
                    <w:rPr>
                      <w:rFonts w:hint="default" w:ascii="Times New Roman" w:hAnsi="Times New Roman" w:cs="Times New Roman"/>
                      <w:b w:val="0"/>
                      <w:bCs w:val="0"/>
                      <w:color w:val="auto"/>
                      <w:sz w:val="21"/>
                      <w:szCs w:val="21"/>
                      <w:vertAlign w:val="baseline"/>
                      <w:lang w:val="en-US" w:eastAsia="zh-CN"/>
                    </w:rPr>
                    <w:t>。</w:t>
                  </w:r>
                </w:p>
              </w:tc>
              <w:tc>
                <w:tcPr>
                  <w:tcW w:w="3047" w:type="dxa"/>
                  <w:vMerge w:val="restart"/>
                  <w:noWrap w:val="0"/>
                  <w:vAlign w:val="center"/>
                </w:tcPr>
                <w:p w14:paraId="02880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《大气污染物综合排放标准》（GB16297-1996）中表2新污染源大气污染物排放限值的相关无组织标准</w:t>
                  </w:r>
                </w:p>
              </w:tc>
            </w:tr>
            <w:tr w14:paraId="54EC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96" w:type="dxa"/>
                  <w:vMerge w:val="continue"/>
                  <w:noWrap w:val="0"/>
                  <w:vAlign w:val="center"/>
                </w:tcPr>
                <w:p w14:paraId="7128A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olor w:val="auto"/>
                      <w:sz w:val="21"/>
                      <w:szCs w:val="21"/>
                      <w:highlight w:val="none"/>
                      <w:lang w:eastAsia="zh-CN"/>
                    </w:rPr>
                  </w:pPr>
                </w:p>
              </w:tc>
              <w:tc>
                <w:tcPr>
                  <w:tcW w:w="1298" w:type="dxa"/>
                  <w:shd w:val="clear" w:color="auto" w:fill="auto"/>
                  <w:noWrap w:val="0"/>
                  <w:vAlign w:val="center"/>
                </w:tcPr>
                <w:p w14:paraId="20DFE4E3">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成品装卸</w:t>
                  </w:r>
                </w:p>
                <w:p w14:paraId="5077D4C2">
                  <w:pPr>
                    <w:pStyle w:val="42"/>
                    <w:numPr>
                      <w:ilvl w:val="0"/>
                      <w:numId w:val="0"/>
                    </w:numPr>
                    <w:spacing w:line="240" w:lineRule="auto"/>
                    <w:ind w:left="0" w:leftChars="0" w:firstLine="0" w:firstLineChars="0"/>
                    <w:jc w:val="center"/>
                    <w:rPr>
                      <w:rFonts w:hint="eastAsia"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堆存</w:t>
                  </w:r>
                </w:p>
              </w:tc>
              <w:tc>
                <w:tcPr>
                  <w:tcW w:w="4128" w:type="dxa"/>
                  <w:shd w:val="clear" w:color="auto" w:fill="auto"/>
                  <w:noWrap w:val="0"/>
                  <w:vAlign w:val="center"/>
                </w:tcPr>
                <w:p w14:paraId="0DC61A21">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搭建彩钢瓦大棚堆存，占地面积为</w:t>
                  </w:r>
                  <w:r>
                    <w:rPr>
                      <w:rFonts w:hint="eastAsia" w:ascii="Times New Roman" w:hAnsi="Times New Roman" w:cs="Times New Roman"/>
                      <w:b w:val="0"/>
                      <w:bCs w:val="0"/>
                      <w:color w:val="auto"/>
                      <w:sz w:val="21"/>
                      <w:szCs w:val="21"/>
                      <w:vertAlign w:val="baseline"/>
                      <w:lang w:val="en-US" w:eastAsia="zh-CN"/>
                    </w:rPr>
                    <w:t>5</w:t>
                  </w:r>
                  <w:r>
                    <w:rPr>
                      <w:rFonts w:hint="default" w:ascii="Times New Roman" w:hAnsi="Times New Roman" w:cs="Times New Roman"/>
                      <w:b w:val="0"/>
                      <w:bCs w:val="0"/>
                      <w:color w:val="auto"/>
                      <w:sz w:val="21"/>
                      <w:szCs w:val="21"/>
                      <w:vertAlign w:val="baseline"/>
                      <w:lang w:val="en-US" w:eastAsia="zh-CN"/>
                    </w:rPr>
                    <w:t>00m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，并设置三面围挡且洒水降尘。</w:t>
                  </w:r>
                </w:p>
              </w:tc>
              <w:tc>
                <w:tcPr>
                  <w:tcW w:w="3047" w:type="dxa"/>
                  <w:vMerge w:val="continue"/>
                  <w:shd w:val="clear" w:color="auto" w:fill="auto"/>
                  <w:noWrap w:val="0"/>
                  <w:vAlign w:val="center"/>
                </w:tcPr>
                <w:p w14:paraId="28A8AD61">
                  <w:pPr>
                    <w:pStyle w:val="4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p>
              </w:tc>
            </w:tr>
            <w:tr w14:paraId="483F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96" w:type="dxa"/>
                  <w:vMerge w:val="continue"/>
                  <w:noWrap w:val="0"/>
                  <w:vAlign w:val="center"/>
                </w:tcPr>
                <w:p w14:paraId="7B98D7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Cs/>
                      <w:color w:val="auto"/>
                      <w:sz w:val="21"/>
                      <w:szCs w:val="21"/>
                      <w:highlight w:val="none"/>
                      <w:lang w:eastAsia="zh-CN"/>
                    </w:rPr>
                  </w:pPr>
                </w:p>
              </w:tc>
              <w:tc>
                <w:tcPr>
                  <w:tcW w:w="1298" w:type="dxa"/>
                  <w:shd w:val="clear" w:color="auto" w:fill="auto"/>
                  <w:noWrap w:val="0"/>
                  <w:vAlign w:val="center"/>
                </w:tcPr>
                <w:p w14:paraId="5BF18D48">
                  <w:pPr>
                    <w:pStyle w:val="42"/>
                    <w:numPr>
                      <w:ilvl w:val="0"/>
                      <w:numId w:val="0"/>
                    </w:numPr>
                    <w:spacing w:line="240" w:lineRule="auto"/>
                    <w:ind w:left="0" w:leftChars="0" w:firstLine="0" w:firstLineChars="0"/>
                    <w:jc w:val="center"/>
                    <w:rPr>
                      <w:rFonts w:hint="eastAsia"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物料运输</w:t>
                  </w:r>
                </w:p>
              </w:tc>
              <w:tc>
                <w:tcPr>
                  <w:tcW w:w="4128" w:type="dxa"/>
                  <w:shd w:val="clear" w:color="auto" w:fill="auto"/>
                  <w:noWrap w:val="0"/>
                  <w:vAlign w:val="center"/>
                </w:tcPr>
                <w:p w14:paraId="1D109459">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b w:val="0"/>
                      <w:bCs w:val="0"/>
                      <w:color w:val="auto"/>
                      <w:kern w:val="0"/>
                      <w:sz w:val="21"/>
                      <w:szCs w:val="21"/>
                      <w:lang w:eastAsia="zh-CN"/>
                    </w:rPr>
                  </w:pPr>
                  <w:r>
                    <w:rPr>
                      <w:rFonts w:hint="default" w:ascii="Times New Roman" w:hAnsi="Times New Roman" w:cs="Times New Roman"/>
                      <w:b w:val="0"/>
                      <w:bCs w:val="0"/>
                      <w:color w:val="auto"/>
                      <w:kern w:val="0"/>
                      <w:sz w:val="21"/>
                      <w:szCs w:val="21"/>
                      <w:lang w:val="en-US" w:eastAsia="zh-CN"/>
                    </w:rPr>
                    <w:t>厂外道路运输：</w:t>
                  </w:r>
                  <w:r>
                    <w:rPr>
                      <w:rFonts w:hint="default" w:ascii="Times New Roman" w:hAnsi="Times New Roman" w:eastAsia="宋体" w:cs="Times New Roman"/>
                      <w:b w:val="0"/>
                      <w:bCs w:val="0"/>
                      <w:color w:val="auto"/>
                      <w:kern w:val="0"/>
                      <w:sz w:val="21"/>
                      <w:szCs w:val="21"/>
                    </w:rPr>
                    <w:t>运输车辆加盖苫布、控制车速</w:t>
                  </w:r>
                  <w:r>
                    <w:rPr>
                      <w:rFonts w:hint="eastAsia" w:ascii="Times New Roman" w:hAnsi="Times New Roman" w:cs="Times New Roman"/>
                      <w:b w:val="0"/>
                      <w:bCs w:val="0"/>
                      <w:color w:val="auto"/>
                      <w:kern w:val="0"/>
                      <w:sz w:val="21"/>
                      <w:szCs w:val="21"/>
                      <w:lang w:val="en-US" w:eastAsia="zh-CN"/>
                    </w:rPr>
                    <w:t>定期清扫洒水</w:t>
                  </w:r>
                  <w:r>
                    <w:rPr>
                      <w:rFonts w:hint="eastAsia" w:cs="Times New Roman"/>
                      <w:b w:val="0"/>
                      <w:bCs w:val="0"/>
                      <w:color w:val="auto"/>
                      <w:kern w:val="0"/>
                      <w:sz w:val="21"/>
                      <w:szCs w:val="21"/>
                      <w:lang w:val="en-US" w:eastAsia="zh-CN"/>
                    </w:rPr>
                    <w:t>、对出场车辆进行清洗，定期使用洒水车降尘</w:t>
                  </w:r>
                  <w:r>
                    <w:rPr>
                      <w:rFonts w:hint="default" w:ascii="Times New Roman" w:hAnsi="Times New Roman" w:cs="Times New Roman"/>
                      <w:b w:val="0"/>
                      <w:bCs w:val="0"/>
                      <w:color w:val="auto"/>
                      <w:kern w:val="0"/>
                      <w:sz w:val="21"/>
                      <w:szCs w:val="21"/>
                      <w:lang w:eastAsia="zh-CN"/>
                    </w:rPr>
                    <w:t>。</w:t>
                  </w:r>
                </w:p>
                <w:p w14:paraId="727FFE8C">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厂内道路运输：</w:t>
                  </w:r>
                  <w:r>
                    <w:rPr>
                      <w:rFonts w:hint="default" w:ascii="Times New Roman" w:hAnsi="Times New Roman" w:eastAsia="宋体" w:cs="Times New Roman"/>
                      <w:b w:val="0"/>
                      <w:bCs w:val="0"/>
                      <w:color w:val="auto"/>
                      <w:kern w:val="0"/>
                      <w:sz w:val="21"/>
                      <w:szCs w:val="21"/>
                    </w:rPr>
                    <w:t>道路洒水抑尘</w:t>
                  </w:r>
                  <w:r>
                    <w:rPr>
                      <w:rFonts w:hint="default" w:ascii="Times New Roman" w:hAnsi="Times New Roman" w:cs="Times New Roman"/>
                      <w:b w:val="0"/>
                      <w:bCs w:val="0"/>
                      <w:color w:val="auto"/>
                      <w:kern w:val="0"/>
                      <w:sz w:val="21"/>
                      <w:szCs w:val="21"/>
                      <w:lang w:eastAsia="zh-CN"/>
                    </w:rPr>
                    <w:t>。</w:t>
                  </w:r>
                </w:p>
              </w:tc>
              <w:tc>
                <w:tcPr>
                  <w:tcW w:w="3047" w:type="dxa"/>
                  <w:vMerge w:val="continue"/>
                  <w:noWrap w:val="0"/>
                  <w:vAlign w:val="center"/>
                </w:tcPr>
                <w:p w14:paraId="032B0D95">
                  <w:pPr>
                    <w:adjustRightInd w:val="0"/>
                    <w:snapToGrid w:val="0"/>
                    <w:spacing w:line="240" w:lineRule="auto"/>
                    <w:jc w:val="center"/>
                    <w:rPr>
                      <w:rFonts w:hint="default" w:ascii="Times New Roman" w:hAnsi="Times New Roman" w:cs="Times New Roman"/>
                      <w:bCs/>
                      <w:color w:val="auto"/>
                      <w:sz w:val="21"/>
                      <w:szCs w:val="21"/>
                      <w:highlight w:val="none"/>
                    </w:rPr>
                  </w:pPr>
                </w:p>
              </w:tc>
            </w:tr>
            <w:tr w14:paraId="4916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96" w:type="dxa"/>
                  <w:noWrap w:val="0"/>
                  <w:vAlign w:val="center"/>
                </w:tcPr>
                <w:p w14:paraId="09BD6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噪声</w:t>
                  </w:r>
                </w:p>
              </w:tc>
              <w:tc>
                <w:tcPr>
                  <w:tcW w:w="1298" w:type="dxa"/>
                  <w:noWrap w:val="0"/>
                  <w:vAlign w:val="center"/>
                </w:tcPr>
                <w:p w14:paraId="33F752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eastAsia="zh-CN"/>
                    </w:rPr>
                    <w:t>设备噪声</w:t>
                  </w:r>
                </w:p>
              </w:tc>
              <w:tc>
                <w:tcPr>
                  <w:tcW w:w="4128" w:type="dxa"/>
                  <w:noWrap w:val="0"/>
                  <w:vAlign w:val="center"/>
                </w:tcPr>
                <w:p w14:paraId="290687F7">
                  <w:pPr>
                    <w:adjustRightInd w:val="0"/>
                    <w:snapToGrid w:val="0"/>
                    <w:spacing w:line="240" w:lineRule="auto"/>
                    <w:jc w:val="left"/>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eastAsia="zh-CN"/>
                    </w:rPr>
                    <w:t>选用低噪声设备，基础减震，合理布局设备等。</w:t>
                  </w:r>
                </w:p>
              </w:tc>
              <w:tc>
                <w:tcPr>
                  <w:tcW w:w="3047" w:type="dxa"/>
                  <w:noWrap w:val="0"/>
                  <w:vAlign w:val="center"/>
                </w:tcPr>
                <w:p w14:paraId="3AA9B774">
                  <w:pPr>
                    <w:adjustRightInd w:val="0"/>
                    <w:snapToGrid w:val="0"/>
                    <w:spacing w:line="240" w:lineRule="auto"/>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r>
            <w:tr w14:paraId="3771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6" w:type="dxa"/>
                  <w:vMerge w:val="restart"/>
                  <w:noWrap w:val="0"/>
                  <w:vAlign w:val="center"/>
                </w:tcPr>
                <w:p w14:paraId="53B3F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固体废弃物</w:t>
                  </w:r>
                </w:p>
              </w:tc>
              <w:tc>
                <w:tcPr>
                  <w:tcW w:w="1298" w:type="dxa"/>
                  <w:shd w:val="clear" w:color="auto" w:fill="auto"/>
                  <w:noWrap w:val="0"/>
                  <w:vAlign w:val="center"/>
                </w:tcPr>
                <w:p w14:paraId="6BA94A41">
                  <w:pPr>
                    <w:pStyle w:val="42"/>
                    <w:numPr>
                      <w:ilvl w:val="0"/>
                      <w:numId w:val="0"/>
                    </w:numPr>
                    <w:spacing w:line="240" w:lineRule="auto"/>
                    <w:ind w:left="0" w:leftChars="0" w:firstLine="0" w:firstLineChars="0"/>
                    <w:jc w:val="center"/>
                    <w:rPr>
                      <w:rFonts w:hint="default"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生活垃圾</w:t>
                  </w:r>
                </w:p>
              </w:tc>
              <w:tc>
                <w:tcPr>
                  <w:tcW w:w="4128" w:type="dxa"/>
                  <w:shd w:val="clear" w:color="auto" w:fill="auto"/>
                  <w:noWrap w:val="0"/>
                  <w:vAlign w:val="center"/>
                </w:tcPr>
                <w:p w14:paraId="4E096854">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color w:val="auto"/>
                      <w:sz w:val="21"/>
                      <w:szCs w:val="21"/>
                    </w:rPr>
                    <w:t>垃圾桶收集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运送至</w:t>
                  </w:r>
                  <w:r>
                    <w:rPr>
                      <w:rFonts w:hint="eastAsia" w:cs="Times New Roman"/>
                      <w:color w:val="auto"/>
                      <w:sz w:val="21"/>
                      <w:szCs w:val="21"/>
                      <w:lang w:val="en-US" w:eastAsia="zh-CN"/>
                    </w:rPr>
                    <w:t>法果村</w:t>
                  </w:r>
                  <w:r>
                    <w:rPr>
                      <w:rFonts w:hint="default" w:ascii="Times New Roman" w:hAnsi="Times New Roman" w:cs="Times New Roman"/>
                      <w:color w:val="auto"/>
                      <w:sz w:val="21"/>
                      <w:szCs w:val="21"/>
                      <w:lang w:val="en-US" w:eastAsia="zh-CN"/>
                    </w:rPr>
                    <w:t>生活垃圾处置点处置。</w:t>
                  </w:r>
                </w:p>
              </w:tc>
              <w:tc>
                <w:tcPr>
                  <w:tcW w:w="3047" w:type="dxa"/>
                  <w:vMerge w:val="restart"/>
                  <w:noWrap w:val="0"/>
                  <w:vAlign w:val="center"/>
                </w:tcPr>
                <w:p w14:paraId="186947F2">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处理率达100%</w:t>
                  </w:r>
                </w:p>
              </w:tc>
            </w:tr>
            <w:tr w14:paraId="3BD3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96" w:type="dxa"/>
                  <w:vMerge w:val="continue"/>
                  <w:noWrap w:val="0"/>
                  <w:vAlign w:val="center"/>
                </w:tcPr>
                <w:p w14:paraId="5957AA20">
                  <w:pPr>
                    <w:adjustRightInd w:val="0"/>
                    <w:snapToGrid w:val="0"/>
                    <w:spacing w:line="240" w:lineRule="auto"/>
                    <w:jc w:val="center"/>
                    <w:rPr>
                      <w:rFonts w:hint="default" w:ascii="Times New Roman" w:hAnsi="Times New Roman" w:cs="Times New Roman"/>
                      <w:bCs/>
                      <w:color w:val="auto"/>
                      <w:sz w:val="21"/>
                      <w:szCs w:val="21"/>
                      <w:highlight w:val="none"/>
                    </w:rPr>
                  </w:pPr>
                </w:p>
              </w:tc>
              <w:tc>
                <w:tcPr>
                  <w:tcW w:w="1298" w:type="dxa"/>
                  <w:shd w:val="clear" w:color="auto" w:fill="auto"/>
                  <w:noWrap w:val="0"/>
                  <w:vAlign w:val="center"/>
                </w:tcPr>
                <w:p w14:paraId="373AAB31">
                  <w:pPr>
                    <w:pStyle w:val="42"/>
                    <w:numPr>
                      <w:ilvl w:val="0"/>
                      <w:numId w:val="0"/>
                    </w:numPr>
                    <w:spacing w:line="240" w:lineRule="auto"/>
                    <w:ind w:left="0" w:leftChars="0" w:firstLine="0" w:firstLineChars="0"/>
                    <w:jc w:val="center"/>
                    <w:rPr>
                      <w:rFonts w:hint="default"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洗砂底泥</w:t>
                  </w:r>
                </w:p>
              </w:tc>
              <w:tc>
                <w:tcPr>
                  <w:tcW w:w="4128" w:type="dxa"/>
                  <w:vMerge w:val="restart"/>
                  <w:shd w:val="clear" w:color="auto" w:fill="auto"/>
                  <w:noWrap w:val="0"/>
                  <w:vAlign w:val="center"/>
                </w:tcPr>
                <w:p w14:paraId="1E1FF2FB">
                  <w:pPr>
                    <w:pStyle w:val="4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通过压滤机压滤后</w:t>
                  </w:r>
                  <w:r>
                    <w:rPr>
                      <w:rFonts w:hint="eastAsia" w:cs="Times New Roman"/>
                      <w:b w:val="0"/>
                      <w:bCs w:val="0"/>
                      <w:color w:val="auto"/>
                      <w:sz w:val="21"/>
                      <w:szCs w:val="21"/>
                      <w:highlight w:val="none"/>
                      <w:vertAlign w:val="baseline"/>
                      <w:lang w:val="en-US" w:eastAsia="zh-CN"/>
                    </w:rPr>
                    <w:t>（含水率≤40%），泥饼</w:t>
                  </w:r>
                  <w:r>
                    <w:rPr>
                      <w:rFonts w:hint="default" w:ascii="Times New Roman" w:hAnsi="Times New Roman" w:cs="Times New Roman"/>
                      <w:b w:val="0"/>
                      <w:bCs w:val="0"/>
                      <w:color w:val="auto"/>
                      <w:sz w:val="21"/>
                      <w:szCs w:val="21"/>
                      <w:highlight w:val="none"/>
                      <w:vertAlign w:val="baseline"/>
                      <w:lang w:val="en-US" w:eastAsia="zh-CN"/>
                    </w:rPr>
                    <w:t>外运至砖厂制砖</w:t>
                  </w:r>
                  <w:r>
                    <w:rPr>
                      <w:rFonts w:hint="eastAsia" w:cs="Times New Roman"/>
                      <w:b w:val="0"/>
                      <w:bCs w:val="0"/>
                      <w:color w:val="auto"/>
                      <w:sz w:val="21"/>
                      <w:szCs w:val="21"/>
                      <w:highlight w:val="none"/>
                      <w:vertAlign w:val="baseline"/>
                      <w:lang w:val="en-US" w:eastAsia="zh-CN"/>
                    </w:rPr>
                    <w:t>；对砖厂消纳不完及在砖厂停产期间产生的泥饼，泥饼运至珠峰采石场用于露天采空区土地复垦</w:t>
                  </w:r>
                  <w:r>
                    <w:rPr>
                      <w:rFonts w:hint="default" w:ascii="Times New Roman" w:hAnsi="Times New Roman" w:cs="Times New Roman"/>
                      <w:b w:val="0"/>
                      <w:bCs w:val="0"/>
                      <w:color w:val="auto"/>
                      <w:sz w:val="21"/>
                      <w:szCs w:val="21"/>
                      <w:highlight w:val="none"/>
                      <w:vertAlign w:val="baseline"/>
                      <w:lang w:val="en-US" w:eastAsia="zh-CN"/>
                    </w:rPr>
                    <w:t>。</w:t>
                  </w:r>
                </w:p>
              </w:tc>
              <w:tc>
                <w:tcPr>
                  <w:tcW w:w="3047" w:type="dxa"/>
                  <w:vMerge w:val="continue"/>
                  <w:noWrap w:val="0"/>
                  <w:vAlign w:val="center"/>
                </w:tcPr>
                <w:p w14:paraId="0D9992EB">
                  <w:pPr>
                    <w:adjustRightInd w:val="0"/>
                    <w:snapToGrid w:val="0"/>
                    <w:spacing w:line="240" w:lineRule="auto"/>
                    <w:jc w:val="center"/>
                    <w:rPr>
                      <w:rFonts w:hint="default" w:ascii="Times New Roman" w:hAnsi="Times New Roman" w:cs="Times New Roman"/>
                      <w:bCs/>
                      <w:color w:val="auto"/>
                      <w:sz w:val="21"/>
                      <w:szCs w:val="21"/>
                      <w:highlight w:val="none"/>
                    </w:rPr>
                  </w:pPr>
                </w:p>
              </w:tc>
            </w:tr>
            <w:tr w14:paraId="7C80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596" w:type="dxa"/>
                  <w:vMerge w:val="continue"/>
                  <w:noWrap w:val="0"/>
                  <w:vAlign w:val="center"/>
                </w:tcPr>
                <w:p w14:paraId="5F49ED67">
                  <w:pPr>
                    <w:adjustRightInd w:val="0"/>
                    <w:snapToGrid w:val="0"/>
                    <w:spacing w:line="240" w:lineRule="auto"/>
                    <w:jc w:val="center"/>
                    <w:rPr>
                      <w:rFonts w:hint="default" w:ascii="Times New Roman" w:hAnsi="Times New Roman" w:cs="Times New Roman"/>
                      <w:bCs/>
                      <w:color w:val="auto"/>
                      <w:sz w:val="21"/>
                      <w:szCs w:val="21"/>
                      <w:highlight w:val="none"/>
                    </w:rPr>
                  </w:pPr>
                </w:p>
              </w:tc>
              <w:tc>
                <w:tcPr>
                  <w:tcW w:w="1298" w:type="dxa"/>
                  <w:shd w:val="clear" w:color="auto" w:fill="auto"/>
                  <w:noWrap w:val="0"/>
                  <w:vAlign w:val="center"/>
                </w:tcPr>
                <w:p w14:paraId="54790970">
                  <w:pPr>
                    <w:pStyle w:val="42"/>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沉淀池底泥</w:t>
                  </w:r>
                </w:p>
              </w:tc>
              <w:tc>
                <w:tcPr>
                  <w:tcW w:w="4128" w:type="dxa"/>
                  <w:vMerge w:val="continue"/>
                  <w:shd w:val="clear" w:color="auto" w:fill="auto"/>
                  <w:noWrap w:val="0"/>
                  <w:vAlign w:val="center"/>
                </w:tcPr>
                <w:p w14:paraId="5BD16A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047" w:type="dxa"/>
                  <w:vMerge w:val="continue"/>
                  <w:noWrap w:val="0"/>
                  <w:vAlign w:val="center"/>
                </w:tcPr>
                <w:p w14:paraId="5C65D140">
                  <w:pPr>
                    <w:adjustRightInd w:val="0"/>
                    <w:snapToGrid w:val="0"/>
                    <w:spacing w:line="240" w:lineRule="auto"/>
                    <w:jc w:val="center"/>
                    <w:rPr>
                      <w:rFonts w:hint="default" w:ascii="Times New Roman" w:hAnsi="Times New Roman" w:cs="Times New Roman"/>
                      <w:bCs/>
                      <w:color w:val="auto"/>
                      <w:sz w:val="21"/>
                      <w:szCs w:val="21"/>
                      <w:highlight w:val="none"/>
                    </w:rPr>
                  </w:pPr>
                </w:p>
              </w:tc>
            </w:tr>
            <w:tr w14:paraId="75D0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596" w:type="dxa"/>
                  <w:vMerge w:val="continue"/>
                  <w:noWrap w:val="0"/>
                  <w:vAlign w:val="center"/>
                </w:tcPr>
                <w:p w14:paraId="571925EA">
                  <w:pPr>
                    <w:adjustRightInd w:val="0"/>
                    <w:snapToGrid w:val="0"/>
                    <w:spacing w:line="240" w:lineRule="auto"/>
                    <w:jc w:val="center"/>
                    <w:rPr>
                      <w:rFonts w:hint="default" w:ascii="Times New Roman" w:hAnsi="Times New Roman" w:cs="Times New Roman"/>
                      <w:bCs/>
                      <w:color w:val="auto"/>
                      <w:sz w:val="21"/>
                      <w:szCs w:val="21"/>
                      <w:highlight w:val="none"/>
                    </w:rPr>
                  </w:pPr>
                </w:p>
              </w:tc>
              <w:tc>
                <w:tcPr>
                  <w:tcW w:w="1298" w:type="dxa"/>
                  <w:shd w:val="clear" w:color="auto" w:fill="auto"/>
                  <w:noWrap w:val="0"/>
                  <w:vAlign w:val="center"/>
                </w:tcPr>
                <w:p w14:paraId="324A23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危险废物</w:t>
                  </w:r>
                </w:p>
              </w:tc>
              <w:tc>
                <w:tcPr>
                  <w:tcW w:w="4128" w:type="dxa"/>
                  <w:shd w:val="clear" w:color="auto" w:fill="auto"/>
                  <w:noWrap w:val="0"/>
                  <w:vAlign w:val="center"/>
                </w:tcPr>
                <w:p w14:paraId="464C49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设置危废暂存间（5m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废润滑油</w:t>
                  </w:r>
                  <w:r>
                    <w:rPr>
                      <w:rFonts w:hint="default" w:ascii="Times New Roman" w:hAnsi="Times New Roman" w:cs="Times New Roman"/>
                      <w:b w:val="0"/>
                      <w:bCs w:val="0"/>
                      <w:color w:val="auto"/>
                      <w:sz w:val="21"/>
                      <w:szCs w:val="21"/>
                      <w:vertAlign w:val="baseline"/>
                      <w:lang w:val="en-US" w:eastAsia="zh-CN"/>
                    </w:rPr>
                    <w:t>用桶收集，存放于危废暂存间，</w:t>
                  </w:r>
                  <w:r>
                    <w:rPr>
                      <w:rFonts w:hint="eastAsia" w:cs="Times New Roman"/>
                      <w:b w:val="0"/>
                      <w:bCs w:val="0"/>
                      <w:color w:val="auto"/>
                      <w:sz w:val="21"/>
                      <w:szCs w:val="21"/>
                      <w:vertAlign w:val="baseline"/>
                      <w:lang w:val="en-US" w:eastAsia="zh-CN"/>
                    </w:rPr>
                    <w:t>废润滑油桶暂存于危废暂存间，</w:t>
                  </w:r>
                  <w:r>
                    <w:rPr>
                      <w:rFonts w:hint="default" w:ascii="Times New Roman" w:hAnsi="Times New Roman" w:cs="Times New Roman"/>
                      <w:b w:val="0"/>
                      <w:bCs w:val="0"/>
                      <w:color w:val="auto"/>
                      <w:sz w:val="21"/>
                      <w:szCs w:val="21"/>
                      <w:vertAlign w:val="baseline"/>
                      <w:lang w:val="en-US" w:eastAsia="zh-CN"/>
                    </w:rPr>
                    <w:t>委托有资质的单位定期处置。</w:t>
                  </w:r>
                </w:p>
              </w:tc>
              <w:tc>
                <w:tcPr>
                  <w:tcW w:w="3047" w:type="dxa"/>
                  <w:vMerge w:val="continue"/>
                  <w:noWrap w:val="0"/>
                  <w:vAlign w:val="center"/>
                </w:tcPr>
                <w:p w14:paraId="0F28E100">
                  <w:pPr>
                    <w:adjustRightInd w:val="0"/>
                    <w:snapToGrid w:val="0"/>
                    <w:spacing w:line="240" w:lineRule="auto"/>
                    <w:jc w:val="center"/>
                    <w:rPr>
                      <w:rFonts w:hint="default" w:ascii="Times New Roman" w:hAnsi="Times New Roman" w:cs="Times New Roman"/>
                      <w:bCs/>
                      <w:color w:val="auto"/>
                      <w:sz w:val="21"/>
                      <w:szCs w:val="21"/>
                      <w:highlight w:val="none"/>
                    </w:rPr>
                  </w:pPr>
                </w:p>
              </w:tc>
            </w:tr>
            <w:tr w14:paraId="66ED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96" w:type="dxa"/>
                  <w:vMerge w:val="continue"/>
                  <w:noWrap w:val="0"/>
                  <w:vAlign w:val="center"/>
                </w:tcPr>
                <w:p w14:paraId="118AC7C6">
                  <w:pPr>
                    <w:adjustRightInd w:val="0"/>
                    <w:snapToGrid w:val="0"/>
                    <w:spacing w:line="240" w:lineRule="auto"/>
                    <w:jc w:val="center"/>
                    <w:rPr>
                      <w:rFonts w:hint="default" w:ascii="Times New Roman" w:hAnsi="Times New Roman" w:cs="Times New Roman"/>
                      <w:bCs/>
                      <w:color w:val="auto"/>
                      <w:sz w:val="21"/>
                      <w:szCs w:val="21"/>
                      <w:highlight w:val="none"/>
                    </w:rPr>
                  </w:pPr>
                </w:p>
              </w:tc>
              <w:tc>
                <w:tcPr>
                  <w:tcW w:w="1298" w:type="dxa"/>
                  <w:shd w:val="clear" w:color="auto" w:fill="auto"/>
                  <w:noWrap w:val="0"/>
                  <w:vAlign w:val="center"/>
                </w:tcPr>
                <w:p w14:paraId="4AF86F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化粪池污泥</w:t>
                  </w:r>
                </w:p>
              </w:tc>
              <w:tc>
                <w:tcPr>
                  <w:tcW w:w="4128" w:type="dxa"/>
                  <w:shd w:val="clear" w:color="auto" w:fill="auto"/>
                  <w:noWrap w:val="0"/>
                  <w:vAlign w:val="center"/>
                </w:tcPr>
                <w:p w14:paraId="2038AB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00" w:firstLineChars="20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b w:val="0"/>
                      <w:bCs w:val="0"/>
                      <w:color w:val="auto"/>
                      <w:spacing w:val="-5"/>
                      <w:sz w:val="21"/>
                      <w:szCs w:val="21"/>
                      <w:vertAlign w:val="baseline"/>
                      <w:lang w:val="en-US" w:eastAsia="zh-CN"/>
                    </w:rPr>
                    <w:t>委托当地环卫部门定期清运。</w:t>
                  </w:r>
                </w:p>
              </w:tc>
              <w:tc>
                <w:tcPr>
                  <w:tcW w:w="3047" w:type="dxa"/>
                  <w:vMerge w:val="continue"/>
                  <w:noWrap w:val="0"/>
                  <w:vAlign w:val="center"/>
                </w:tcPr>
                <w:p w14:paraId="6E573EE6">
                  <w:pPr>
                    <w:adjustRightInd w:val="0"/>
                    <w:snapToGrid w:val="0"/>
                    <w:spacing w:line="240" w:lineRule="auto"/>
                    <w:jc w:val="center"/>
                    <w:rPr>
                      <w:rFonts w:hint="default" w:ascii="Times New Roman" w:hAnsi="Times New Roman" w:cs="Times New Roman"/>
                      <w:bCs/>
                      <w:color w:val="auto"/>
                      <w:sz w:val="21"/>
                      <w:szCs w:val="21"/>
                      <w:highlight w:val="none"/>
                    </w:rPr>
                  </w:pPr>
                </w:p>
              </w:tc>
            </w:tr>
            <w:tr w14:paraId="3C3F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94" w:type="dxa"/>
                  <w:gridSpan w:val="2"/>
                  <w:tcBorders>
                    <w:top w:val="single" w:color="000000" w:sz="4" w:space="0"/>
                  </w:tcBorders>
                  <w:noWrap w:val="0"/>
                  <w:vAlign w:val="center"/>
                </w:tcPr>
                <w:p w14:paraId="35F8E84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1"/>
                      <w:sz w:val="21"/>
                      <w:szCs w:val="21"/>
                      <w:highlight w:val="none"/>
                      <w:vertAlign w:val="baseline"/>
                      <w:lang w:val="en-US" w:eastAsia="zh-CN"/>
                    </w:rPr>
                  </w:pPr>
                  <w:r>
                    <w:rPr>
                      <w:rFonts w:hint="eastAsia" w:ascii="Times New Roman" w:hAnsi="Times New Roman" w:eastAsia="宋体" w:cs="Times New Roman"/>
                      <w:b w:val="0"/>
                      <w:bCs/>
                      <w:color w:val="auto"/>
                      <w:kern w:val="21"/>
                      <w:sz w:val="21"/>
                      <w:szCs w:val="21"/>
                      <w:highlight w:val="none"/>
                      <w:vertAlign w:val="baseline"/>
                      <w:lang w:val="en-US" w:eastAsia="zh-CN"/>
                    </w:rPr>
                    <w:t>环境管理与监</w:t>
                  </w:r>
                </w:p>
                <w:p w14:paraId="240E0C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1"/>
                      <w:sz w:val="21"/>
                      <w:szCs w:val="21"/>
                      <w:highlight w:val="none"/>
                      <w:vertAlign w:val="baseline"/>
                      <w:lang w:val="en-US" w:eastAsia="zh-CN"/>
                    </w:rPr>
                  </w:pPr>
                  <w:r>
                    <w:rPr>
                      <w:rFonts w:hint="eastAsia" w:ascii="Times New Roman" w:hAnsi="Times New Roman" w:eastAsia="宋体" w:cs="Times New Roman"/>
                      <w:b w:val="0"/>
                      <w:bCs/>
                      <w:color w:val="auto"/>
                      <w:kern w:val="21"/>
                      <w:sz w:val="21"/>
                      <w:szCs w:val="21"/>
                      <w:highlight w:val="none"/>
                      <w:vertAlign w:val="baseline"/>
                      <w:lang w:val="en-US" w:eastAsia="zh-CN"/>
                    </w:rPr>
                    <w:t>测计划</w:t>
                  </w:r>
                </w:p>
              </w:tc>
              <w:tc>
                <w:tcPr>
                  <w:tcW w:w="7175" w:type="dxa"/>
                  <w:gridSpan w:val="2"/>
                  <w:tcBorders>
                    <w:top w:val="single" w:color="000000" w:sz="4" w:space="0"/>
                  </w:tcBorders>
                  <w:noWrap w:val="0"/>
                  <w:vAlign w:val="center"/>
                </w:tcPr>
                <w:p w14:paraId="266A86A1">
                  <w:pPr>
                    <w:adjustRightInd w:val="0"/>
                    <w:snapToGrid w:val="0"/>
                    <w:spacing w:line="240" w:lineRule="auto"/>
                    <w:jc w:val="left"/>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编制突发环境事件应急预案；制定有效、可操作的环境管理方案；严格按照自行监测计划进行监测。</w:t>
                  </w:r>
                </w:p>
              </w:tc>
            </w:tr>
          </w:tbl>
          <w:p w14:paraId="733510FB">
            <w:pPr>
              <w:ind w:left="0" w:leftChars="0" w:firstLine="0" w:firstLineChars="0"/>
              <w:jc w:val="center"/>
              <w:rPr>
                <w:rFonts w:hint="default" w:ascii="Times New Roman" w:hAnsi="Times New Roman" w:cs="Times New Roman"/>
                <w:b/>
                <w:bCs/>
                <w:color w:val="auto"/>
                <w:sz w:val="21"/>
                <w:szCs w:val="21"/>
              </w:rPr>
            </w:pPr>
          </w:p>
          <w:p w14:paraId="217BCF6F">
            <w:pPr>
              <w:ind w:left="0" w:leftChars="0" w:firstLine="480" w:firstLineChars="200"/>
              <w:rPr>
                <w:rFonts w:hint="default" w:ascii="Times New Roman" w:hAnsi="Times New Roman" w:cs="Times New Roman"/>
                <w:color w:val="auto"/>
                <w:sz w:val="24"/>
                <w:szCs w:val="24"/>
              </w:rPr>
            </w:pPr>
          </w:p>
          <w:p w14:paraId="4F132E7C">
            <w:pPr>
              <w:ind w:left="0" w:leftChars="0" w:firstLine="480" w:firstLineChars="200"/>
              <w:rPr>
                <w:rFonts w:hint="default" w:ascii="Times New Roman" w:hAnsi="Times New Roman" w:cs="Times New Roman"/>
                <w:color w:val="auto"/>
                <w:sz w:val="24"/>
                <w:szCs w:val="24"/>
              </w:rPr>
            </w:pPr>
          </w:p>
          <w:p w14:paraId="0303D257">
            <w:pPr>
              <w:ind w:left="0" w:leftChars="0" w:firstLine="480" w:firstLineChars="200"/>
              <w:rPr>
                <w:rFonts w:hint="default" w:ascii="Times New Roman" w:hAnsi="Times New Roman" w:cs="Times New Roman"/>
                <w:color w:val="auto"/>
                <w:sz w:val="24"/>
                <w:szCs w:val="24"/>
              </w:rPr>
            </w:pPr>
          </w:p>
          <w:p w14:paraId="43B8F025">
            <w:pPr>
              <w:ind w:left="0" w:leftChars="0" w:firstLine="480" w:firstLineChars="200"/>
              <w:rPr>
                <w:rFonts w:hint="default" w:ascii="Times New Roman" w:hAnsi="Times New Roman" w:cs="Times New Roman"/>
                <w:color w:val="auto"/>
                <w:sz w:val="24"/>
                <w:szCs w:val="24"/>
              </w:rPr>
            </w:pPr>
          </w:p>
          <w:p w14:paraId="5297CB5F">
            <w:pPr>
              <w:ind w:left="0" w:leftChars="0" w:firstLine="480" w:firstLineChars="200"/>
              <w:rPr>
                <w:rFonts w:hint="default" w:ascii="Times New Roman" w:hAnsi="Times New Roman" w:cs="Times New Roman"/>
                <w:color w:val="auto"/>
                <w:sz w:val="24"/>
                <w:szCs w:val="24"/>
              </w:rPr>
            </w:pPr>
          </w:p>
        </w:tc>
      </w:tr>
    </w:tbl>
    <w:p w14:paraId="184F3870">
      <w:pPr>
        <w:ind w:firstLine="0" w:firstLineChars="0"/>
        <w:rPr>
          <w:rFonts w:hint="default" w:ascii="Times New Roman" w:hAnsi="Times New Roman" w:cs="Times New Roman"/>
          <w:color w:val="auto"/>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26" w:charSpace="0"/>
        </w:sectPr>
      </w:pPr>
    </w:p>
    <w:p w14:paraId="581C22C0">
      <w:pPr>
        <w:pStyle w:val="14"/>
        <w:rPr>
          <w:rFonts w:hint="default" w:ascii="Times New Roman" w:hAnsi="Times New Roman" w:cs="Times New Roman"/>
          <w:snapToGrid w:val="0"/>
          <w:color w:val="auto"/>
        </w:rPr>
      </w:pPr>
      <w:bookmarkStart w:id="28" w:name="_Toc28051"/>
      <w:bookmarkStart w:id="29" w:name="_Toc12034"/>
      <w:r>
        <w:rPr>
          <w:rFonts w:hint="default" w:ascii="Times New Roman" w:hAnsi="Times New Roman" w:cs="Times New Roman"/>
          <w:snapToGrid w:val="0"/>
          <w:color w:val="auto"/>
        </w:rPr>
        <w:t>五、</w:t>
      </w:r>
      <w:bookmarkStart w:id="30" w:name="_Hlk54167917"/>
      <w:r>
        <w:rPr>
          <w:rFonts w:hint="default" w:ascii="Times New Roman" w:hAnsi="Times New Roman" w:cs="Times New Roman"/>
          <w:snapToGrid w:val="0"/>
          <w:color w:val="auto"/>
        </w:rPr>
        <w:t>环境保护措施监督检查清单</w:t>
      </w:r>
      <w:bookmarkEnd w:id="28"/>
      <w:bookmarkEnd w:id="29"/>
      <w:bookmarkEnd w:id="30"/>
    </w:p>
    <w:tbl>
      <w:tblPr>
        <w:tblStyle w:val="16"/>
        <w:tblW w:w="98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209"/>
        <w:gridCol w:w="1217"/>
        <w:gridCol w:w="3369"/>
        <w:gridCol w:w="1978"/>
      </w:tblGrid>
      <w:tr w14:paraId="334A1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tcBorders>
              <w:tl2br w:val="single" w:color="auto" w:sz="4" w:space="0"/>
            </w:tcBorders>
            <w:vAlign w:val="center"/>
          </w:tcPr>
          <w:p w14:paraId="29DE4AC0">
            <w:pPr>
              <w:pStyle w:val="42"/>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 xml:space="preserve">   </w:t>
            </w:r>
            <w:r>
              <w:rPr>
                <w:rFonts w:hint="default" w:ascii="Times New Roman" w:hAnsi="Times New Roman" w:cs="Times New Roman"/>
                <w:color w:val="auto"/>
                <w:sz w:val="21"/>
                <w:szCs w:val="21"/>
              </w:rPr>
              <w:t>内容</w:t>
            </w:r>
          </w:p>
          <w:p w14:paraId="48F533B4">
            <w:pPr>
              <w:pStyle w:val="42"/>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2209" w:type="dxa"/>
            <w:vAlign w:val="center"/>
          </w:tcPr>
          <w:p w14:paraId="0BD88F7F">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w:t>
            </w:r>
            <w:r>
              <w:rPr>
                <w:rFonts w:hint="eastAsia" w:cs="Times New Roman"/>
                <w:color w:val="auto"/>
                <w:sz w:val="21"/>
                <w:szCs w:val="21"/>
                <w:lang w:eastAsia="zh-CN"/>
              </w:rPr>
              <w:t>（</w:t>
            </w:r>
            <w:r>
              <w:rPr>
                <w:rFonts w:hint="default" w:ascii="Times New Roman" w:hAnsi="Times New Roman" w:cs="Times New Roman"/>
                <w:color w:val="auto"/>
                <w:sz w:val="21"/>
                <w:szCs w:val="21"/>
              </w:rPr>
              <w:t>编号、</w:t>
            </w:r>
          </w:p>
          <w:p w14:paraId="46F75F33">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r>
              <w:rPr>
                <w:rFonts w:hint="eastAsia" w:cs="Times New Roman"/>
                <w:color w:val="auto"/>
                <w:sz w:val="21"/>
                <w:szCs w:val="21"/>
                <w:lang w:eastAsia="zh-CN"/>
              </w:rPr>
              <w:t>）</w:t>
            </w:r>
            <w:r>
              <w:rPr>
                <w:rFonts w:hint="default" w:ascii="Times New Roman" w:hAnsi="Times New Roman" w:cs="Times New Roman"/>
                <w:color w:val="auto"/>
                <w:sz w:val="21"/>
                <w:szCs w:val="21"/>
              </w:rPr>
              <w:t>/污染源</w:t>
            </w:r>
          </w:p>
        </w:tc>
        <w:tc>
          <w:tcPr>
            <w:tcW w:w="1217" w:type="dxa"/>
            <w:vAlign w:val="center"/>
          </w:tcPr>
          <w:p w14:paraId="28B9D787">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p w14:paraId="230FEB68">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3369" w:type="dxa"/>
            <w:vAlign w:val="center"/>
          </w:tcPr>
          <w:p w14:paraId="601BAED9">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1978" w:type="dxa"/>
            <w:vAlign w:val="center"/>
          </w:tcPr>
          <w:p w14:paraId="42489CF0">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执行标准</w:t>
            </w:r>
          </w:p>
        </w:tc>
      </w:tr>
      <w:tr w14:paraId="18908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restart"/>
            <w:vAlign w:val="center"/>
          </w:tcPr>
          <w:p w14:paraId="3364F88B">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p w14:paraId="667B8429">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2209" w:type="dxa"/>
            <w:vAlign w:val="center"/>
          </w:tcPr>
          <w:p w14:paraId="28C15EB3">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原料、成品装卸、堆存</w:t>
            </w:r>
          </w:p>
        </w:tc>
        <w:tc>
          <w:tcPr>
            <w:tcW w:w="1217" w:type="dxa"/>
            <w:vAlign w:val="center"/>
          </w:tcPr>
          <w:p w14:paraId="6D3F70E4">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3369" w:type="dxa"/>
            <w:vAlign w:val="center"/>
          </w:tcPr>
          <w:p w14:paraId="4BFC6D5B">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搭建彩钢瓦大棚，设置三面围挡，洒水降尘</w:t>
            </w:r>
          </w:p>
        </w:tc>
        <w:tc>
          <w:tcPr>
            <w:tcW w:w="1978" w:type="dxa"/>
            <w:vMerge w:val="restart"/>
            <w:vAlign w:val="center"/>
          </w:tcPr>
          <w:p w14:paraId="63B45815">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《大气污染物排放综合标准》（GB16297-1996）</w:t>
            </w:r>
          </w:p>
        </w:tc>
      </w:tr>
      <w:tr w14:paraId="7146F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continue"/>
            <w:vAlign w:val="center"/>
          </w:tcPr>
          <w:p w14:paraId="49FB362F">
            <w:pPr>
              <w:pStyle w:val="42"/>
              <w:spacing w:line="240" w:lineRule="auto"/>
              <w:jc w:val="center"/>
              <w:rPr>
                <w:rFonts w:hint="default" w:ascii="Times New Roman" w:hAnsi="Times New Roman" w:cs="Times New Roman"/>
                <w:color w:val="auto"/>
                <w:sz w:val="21"/>
                <w:szCs w:val="21"/>
              </w:rPr>
            </w:pPr>
          </w:p>
        </w:tc>
        <w:tc>
          <w:tcPr>
            <w:tcW w:w="2209" w:type="dxa"/>
            <w:vAlign w:val="center"/>
          </w:tcPr>
          <w:p w14:paraId="19D7C8DB">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物料运输</w:t>
            </w:r>
          </w:p>
        </w:tc>
        <w:tc>
          <w:tcPr>
            <w:tcW w:w="1217" w:type="dxa"/>
            <w:vAlign w:val="center"/>
          </w:tcPr>
          <w:p w14:paraId="419E4DE8">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3369" w:type="dxa"/>
            <w:vAlign w:val="center"/>
          </w:tcPr>
          <w:p w14:paraId="69CB55F2">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kern w:val="0"/>
                <w:sz w:val="21"/>
                <w:szCs w:val="21"/>
              </w:rPr>
              <w:t>运输车辆加盖苫布、控制车速、道路洒水抑尘</w:t>
            </w:r>
          </w:p>
        </w:tc>
        <w:tc>
          <w:tcPr>
            <w:tcW w:w="1978" w:type="dxa"/>
            <w:vMerge w:val="continue"/>
            <w:vAlign w:val="center"/>
          </w:tcPr>
          <w:p w14:paraId="00D0FD60">
            <w:pPr>
              <w:pStyle w:val="42"/>
              <w:spacing w:line="240" w:lineRule="auto"/>
              <w:jc w:val="center"/>
              <w:rPr>
                <w:rFonts w:hint="default" w:ascii="Times New Roman" w:hAnsi="Times New Roman" w:cs="Times New Roman"/>
                <w:color w:val="auto"/>
                <w:sz w:val="21"/>
                <w:szCs w:val="21"/>
              </w:rPr>
            </w:pPr>
          </w:p>
        </w:tc>
      </w:tr>
      <w:tr w14:paraId="6BE0E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continue"/>
            <w:vAlign w:val="center"/>
          </w:tcPr>
          <w:p w14:paraId="3FA5897F">
            <w:pPr>
              <w:pStyle w:val="42"/>
              <w:spacing w:line="240" w:lineRule="auto"/>
              <w:jc w:val="center"/>
              <w:rPr>
                <w:rFonts w:hint="default" w:ascii="Times New Roman" w:hAnsi="Times New Roman" w:cs="Times New Roman"/>
                <w:color w:val="auto"/>
                <w:sz w:val="21"/>
                <w:szCs w:val="21"/>
              </w:rPr>
            </w:pPr>
          </w:p>
        </w:tc>
        <w:tc>
          <w:tcPr>
            <w:tcW w:w="2209" w:type="dxa"/>
            <w:vAlign w:val="center"/>
          </w:tcPr>
          <w:p w14:paraId="7538D3F4">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食堂油烟</w:t>
            </w:r>
          </w:p>
        </w:tc>
        <w:tc>
          <w:tcPr>
            <w:tcW w:w="1217" w:type="dxa"/>
            <w:vAlign w:val="center"/>
          </w:tcPr>
          <w:p w14:paraId="7C8268BA">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油烟</w:t>
            </w:r>
          </w:p>
        </w:tc>
        <w:tc>
          <w:tcPr>
            <w:tcW w:w="3369" w:type="dxa"/>
            <w:vAlign w:val="center"/>
          </w:tcPr>
          <w:p w14:paraId="1DD8EAB5">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vertAlign w:val="baseline"/>
                <w:lang w:val="en-US" w:eastAsia="zh-CN"/>
              </w:rPr>
              <w:t>油烟净化装置处理后排放</w:t>
            </w:r>
          </w:p>
        </w:tc>
        <w:tc>
          <w:tcPr>
            <w:tcW w:w="1978" w:type="dxa"/>
            <w:vAlign w:val="center"/>
          </w:tcPr>
          <w:p w14:paraId="0557A49C">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《饮食业油烟排放标准》（GB18483-2001）</w:t>
            </w:r>
          </w:p>
        </w:tc>
      </w:tr>
      <w:tr w14:paraId="6C0E6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continue"/>
            <w:vAlign w:val="center"/>
          </w:tcPr>
          <w:p w14:paraId="162BFB96">
            <w:pPr>
              <w:pStyle w:val="42"/>
              <w:spacing w:line="240" w:lineRule="auto"/>
              <w:jc w:val="center"/>
              <w:rPr>
                <w:rFonts w:hint="default" w:ascii="Times New Roman" w:hAnsi="Times New Roman" w:cs="Times New Roman"/>
                <w:color w:val="auto"/>
                <w:sz w:val="21"/>
                <w:szCs w:val="21"/>
              </w:rPr>
            </w:pPr>
          </w:p>
        </w:tc>
        <w:tc>
          <w:tcPr>
            <w:tcW w:w="2209" w:type="dxa"/>
            <w:vAlign w:val="center"/>
          </w:tcPr>
          <w:p w14:paraId="1CF1EAB7">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燃油尾气</w:t>
            </w:r>
          </w:p>
        </w:tc>
        <w:tc>
          <w:tcPr>
            <w:tcW w:w="1217" w:type="dxa"/>
            <w:vAlign w:val="center"/>
          </w:tcPr>
          <w:p w14:paraId="5D45A3E5">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CO、NOx</w:t>
            </w:r>
          </w:p>
        </w:tc>
        <w:tc>
          <w:tcPr>
            <w:tcW w:w="3369" w:type="dxa"/>
            <w:vAlign w:val="center"/>
          </w:tcPr>
          <w:p w14:paraId="1A1C9678">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vertAlign w:val="baseline"/>
                <w:lang w:val="en-US" w:eastAsia="zh-CN"/>
              </w:rPr>
              <w:t>车辆、设备定期维护，使用符合标准燃油</w:t>
            </w:r>
          </w:p>
        </w:tc>
        <w:tc>
          <w:tcPr>
            <w:tcW w:w="1978" w:type="dxa"/>
            <w:vAlign w:val="center"/>
          </w:tcPr>
          <w:p w14:paraId="0F3F38EA">
            <w:pPr>
              <w:pStyle w:val="42"/>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C475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37" w:type="dxa"/>
            <w:vMerge w:val="restart"/>
            <w:vAlign w:val="center"/>
          </w:tcPr>
          <w:p w14:paraId="60E0D117">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2209" w:type="dxa"/>
            <w:vAlign w:val="center"/>
          </w:tcPr>
          <w:p w14:paraId="441698FD">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生活污水</w:t>
            </w:r>
          </w:p>
        </w:tc>
        <w:tc>
          <w:tcPr>
            <w:tcW w:w="1217" w:type="dxa"/>
            <w:vAlign w:val="center"/>
          </w:tcPr>
          <w:p w14:paraId="4D15EDF1">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rPr>
              <w:t>主要污染物为COD、氨氮、BOD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及</w:t>
            </w:r>
            <w:r>
              <w:rPr>
                <w:rFonts w:hint="default" w:ascii="Times New Roman" w:hAnsi="Times New Roman" w:cs="Times New Roman"/>
                <w:bCs/>
                <w:color w:val="auto"/>
                <w:sz w:val="21"/>
                <w:szCs w:val="21"/>
                <w:lang w:val="en-US" w:eastAsia="zh-CN"/>
              </w:rPr>
              <w:t>动植物油</w:t>
            </w:r>
          </w:p>
        </w:tc>
        <w:tc>
          <w:tcPr>
            <w:tcW w:w="3369" w:type="dxa"/>
            <w:vAlign w:val="center"/>
          </w:tcPr>
          <w:p w14:paraId="40F6B553">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vertAlign w:val="baseline"/>
                <w:lang w:val="en-US" w:eastAsia="zh-CN"/>
              </w:rPr>
              <w:t>生活污水暂存化粪池，定期使用吸粪车清运</w:t>
            </w:r>
            <w:r>
              <w:rPr>
                <w:rFonts w:hint="eastAsia" w:ascii="Times New Roman" w:hAnsi="Times New Roman" w:cs="Times New Roman"/>
                <w:color w:val="auto"/>
                <w:sz w:val="21"/>
                <w:szCs w:val="21"/>
                <w:vertAlign w:val="baseline"/>
                <w:lang w:val="en-US" w:eastAsia="zh-CN"/>
              </w:rPr>
              <w:t>至华宁县污水处理厂处理</w:t>
            </w:r>
            <w:r>
              <w:rPr>
                <w:rFonts w:hint="default" w:ascii="Times New Roman" w:hAnsi="Times New Roman" w:cs="Times New Roman"/>
                <w:color w:val="auto"/>
                <w:sz w:val="21"/>
                <w:szCs w:val="21"/>
                <w:vertAlign w:val="baseline"/>
                <w:lang w:val="en-US" w:eastAsia="zh-CN"/>
              </w:rPr>
              <w:t>。</w:t>
            </w:r>
          </w:p>
        </w:tc>
        <w:tc>
          <w:tcPr>
            <w:tcW w:w="1978" w:type="dxa"/>
            <w:vMerge w:val="restart"/>
            <w:vAlign w:val="center"/>
          </w:tcPr>
          <w:p w14:paraId="1A5A6883">
            <w:pPr>
              <w:pStyle w:val="42"/>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不外排</w:t>
            </w:r>
          </w:p>
        </w:tc>
      </w:tr>
      <w:tr w14:paraId="4719C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037" w:type="dxa"/>
            <w:vMerge w:val="continue"/>
            <w:vAlign w:val="center"/>
          </w:tcPr>
          <w:p w14:paraId="6F1F5BE4">
            <w:pPr>
              <w:pStyle w:val="42"/>
              <w:spacing w:line="240" w:lineRule="auto"/>
              <w:jc w:val="center"/>
              <w:rPr>
                <w:rFonts w:hint="default" w:ascii="Times New Roman" w:hAnsi="Times New Roman" w:cs="Times New Roman"/>
                <w:color w:val="auto"/>
                <w:sz w:val="21"/>
                <w:szCs w:val="21"/>
              </w:rPr>
            </w:pPr>
          </w:p>
        </w:tc>
        <w:tc>
          <w:tcPr>
            <w:tcW w:w="2209" w:type="dxa"/>
            <w:vAlign w:val="center"/>
          </w:tcPr>
          <w:p w14:paraId="38FC5DF0">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初期雨水</w:t>
            </w:r>
          </w:p>
        </w:tc>
        <w:tc>
          <w:tcPr>
            <w:tcW w:w="1217" w:type="dxa"/>
            <w:vAlign w:val="center"/>
          </w:tcPr>
          <w:p w14:paraId="3387DA98">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rPr>
              <w:t>SS</w:t>
            </w:r>
          </w:p>
        </w:tc>
        <w:tc>
          <w:tcPr>
            <w:tcW w:w="3369" w:type="dxa"/>
            <w:vAlign w:val="center"/>
          </w:tcPr>
          <w:p w14:paraId="61D2066E">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新建一个雨水收集池，收集后回用于</w:t>
            </w:r>
            <w:r>
              <w:rPr>
                <w:rFonts w:hint="eastAsia" w:ascii="Times New Roman" w:hAnsi="Times New Roman" w:cs="Times New Roman"/>
                <w:color w:val="auto"/>
                <w:sz w:val="21"/>
                <w:szCs w:val="21"/>
                <w:vertAlign w:val="baseline"/>
                <w:lang w:val="en-US" w:eastAsia="zh-CN"/>
              </w:rPr>
              <w:t>洗砂</w:t>
            </w:r>
            <w:r>
              <w:rPr>
                <w:rFonts w:hint="default" w:ascii="Times New Roman" w:hAnsi="Times New Roman" w:cs="Times New Roman"/>
                <w:color w:val="auto"/>
                <w:sz w:val="21"/>
                <w:szCs w:val="21"/>
                <w:vertAlign w:val="baseline"/>
                <w:lang w:val="en-US" w:eastAsia="zh-CN"/>
              </w:rPr>
              <w:t>。</w:t>
            </w:r>
          </w:p>
        </w:tc>
        <w:tc>
          <w:tcPr>
            <w:tcW w:w="1978" w:type="dxa"/>
            <w:vMerge w:val="continue"/>
            <w:vAlign w:val="center"/>
          </w:tcPr>
          <w:p w14:paraId="19C969F8">
            <w:pPr>
              <w:pStyle w:val="42"/>
              <w:spacing w:line="240" w:lineRule="auto"/>
              <w:jc w:val="center"/>
              <w:rPr>
                <w:rFonts w:hint="default" w:ascii="Times New Roman" w:hAnsi="Times New Roman" w:cs="Times New Roman"/>
                <w:color w:val="auto"/>
                <w:sz w:val="21"/>
                <w:szCs w:val="21"/>
              </w:rPr>
            </w:pPr>
          </w:p>
        </w:tc>
      </w:tr>
      <w:tr w14:paraId="17F07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continue"/>
            <w:vAlign w:val="center"/>
          </w:tcPr>
          <w:p w14:paraId="5ACA5504">
            <w:pPr>
              <w:pStyle w:val="42"/>
              <w:spacing w:line="240" w:lineRule="auto"/>
              <w:jc w:val="center"/>
              <w:rPr>
                <w:rFonts w:hint="default" w:ascii="Times New Roman" w:hAnsi="Times New Roman" w:cs="Times New Roman"/>
                <w:color w:val="auto"/>
                <w:sz w:val="21"/>
                <w:szCs w:val="21"/>
              </w:rPr>
            </w:pPr>
          </w:p>
        </w:tc>
        <w:tc>
          <w:tcPr>
            <w:tcW w:w="2209" w:type="dxa"/>
            <w:vAlign w:val="center"/>
          </w:tcPr>
          <w:p w14:paraId="215297D0">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洗砂</w:t>
            </w:r>
            <w:r>
              <w:rPr>
                <w:rFonts w:hint="eastAsia" w:ascii="Times New Roman" w:hAnsi="Times New Roman" w:cs="Times New Roman"/>
                <w:color w:val="auto"/>
                <w:sz w:val="21"/>
                <w:szCs w:val="21"/>
                <w:vertAlign w:val="baseline"/>
                <w:lang w:val="en-US" w:eastAsia="zh-CN"/>
              </w:rPr>
              <w:t>用水</w:t>
            </w:r>
          </w:p>
        </w:tc>
        <w:tc>
          <w:tcPr>
            <w:tcW w:w="1217" w:type="dxa"/>
            <w:vAlign w:val="center"/>
          </w:tcPr>
          <w:p w14:paraId="2CF2982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rPr>
              <w:t>SS</w:t>
            </w:r>
          </w:p>
        </w:tc>
        <w:tc>
          <w:tcPr>
            <w:tcW w:w="3369" w:type="dxa"/>
            <w:vAlign w:val="center"/>
          </w:tcPr>
          <w:p w14:paraId="24AEF193">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vertAlign w:val="baseline"/>
                <w:lang w:val="en-US" w:eastAsia="zh-CN"/>
              </w:rPr>
              <w:t>通过泵抽取进入沉淀池，经沉淀后进入清水循环池，回用于洗砂；产品含水量自然蒸发。</w:t>
            </w:r>
          </w:p>
        </w:tc>
        <w:tc>
          <w:tcPr>
            <w:tcW w:w="1978" w:type="dxa"/>
            <w:vMerge w:val="continue"/>
            <w:vAlign w:val="center"/>
          </w:tcPr>
          <w:p w14:paraId="36C537C8">
            <w:pPr>
              <w:pStyle w:val="42"/>
              <w:spacing w:line="240" w:lineRule="auto"/>
              <w:jc w:val="center"/>
              <w:rPr>
                <w:rFonts w:hint="default" w:ascii="Times New Roman" w:hAnsi="Times New Roman" w:cs="Times New Roman"/>
                <w:color w:val="auto"/>
                <w:sz w:val="21"/>
                <w:szCs w:val="21"/>
              </w:rPr>
            </w:pPr>
          </w:p>
        </w:tc>
      </w:tr>
      <w:tr w14:paraId="22426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continue"/>
            <w:vAlign w:val="center"/>
          </w:tcPr>
          <w:p w14:paraId="21D559F4">
            <w:pPr>
              <w:pStyle w:val="42"/>
              <w:spacing w:line="240" w:lineRule="auto"/>
              <w:jc w:val="center"/>
              <w:rPr>
                <w:rFonts w:hint="default" w:ascii="Times New Roman" w:hAnsi="Times New Roman" w:cs="Times New Roman"/>
                <w:color w:val="auto"/>
                <w:sz w:val="21"/>
                <w:szCs w:val="21"/>
              </w:rPr>
            </w:pPr>
          </w:p>
        </w:tc>
        <w:tc>
          <w:tcPr>
            <w:tcW w:w="2209" w:type="dxa"/>
            <w:vAlign w:val="center"/>
          </w:tcPr>
          <w:p w14:paraId="18E7AB6F">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车辆冲洗水</w:t>
            </w:r>
          </w:p>
        </w:tc>
        <w:tc>
          <w:tcPr>
            <w:tcW w:w="1217" w:type="dxa"/>
            <w:vAlign w:val="center"/>
          </w:tcPr>
          <w:p w14:paraId="6BAC503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rPr>
              <w:t>SS</w:t>
            </w:r>
          </w:p>
        </w:tc>
        <w:tc>
          <w:tcPr>
            <w:tcW w:w="3369" w:type="dxa"/>
            <w:vAlign w:val="center"/>
          </w:tcPr>
          <w:p w14:paraId="4E8A9D27">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在车辆冲洗区域设置一个沉淀池（</w:t>
            </w:r>
            <w:r>
              <w:rPr>
                <w:rFonts w:hint="eastAsia" w:ascii="Times New Roman" w:hAnsi="Times New Roman" w:cs="Times New Roman"/>
                <w:color w:val="auto"/>
                <w:sz w:val="21"/>
                <w:szCs w:val="21"/>
                <w:vertAlign w:val="baseline"/>
                <w:lang w:val="en-US" w:eastAsia="zh-CN"/>
              </w:rPr>
              <w:t>5</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），冲洗废水经沉淀后回用于车辆冲洗。</w:t>
            </w:r>
          </w:p>
        </w:tc>
        <w:tc>
          <w:tcPr>
            <w:tcW w:w="1978" w:type="dxa"/>
            <w:vMerge w:val="continue"/>
            <w:vAlign w:val="center"/>
          </w:tcPr>
          <w:p w14:paraId="531EE16E">
            <w:pPr>
              <w:pStyle w:val="42"/>
              <w:spacing w:line="240" w:lineRule="auto"/>
              <w:jc w:val="center"/>
              <w:rPr>
                <w:rFonts w:hint="default" w:ascii="Times New Roman" w:hAnsi="Times New Roman" w:cs="Times New Roman"/>
                <w:color w:val="auto"/>
                <w:sz w:val="21"/>
                <w:szCs w:val="21"/>
              </w:rPr>
            </w:pPr>
          </w:p>
        </w:tc>
      </w:tr>
      <w:tr w14:paraId="71B4B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Align w:val="center"/>
          </w:tcPr>
          <w:p w14:paraId="7B54AEAC">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2209" w:type="dxa"/>
            <w:vAlign w:val="center"/>
          </w:tcPr>
          <w:p w14:paraId="5138B0C3">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生产设备</w:t>
            </w:r>
          </w:p>
        </w:tc>
        <w:tc>
          <w:tcPr>
            <w:tcW w:w="1217" w:type="dxa"/>
            <w:vAlign w:val="center"/>
          </w:tcPr>
          <w:p w14:paraId="5EDF594D">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设备噪声</w:t>
            </w:r>
          </w:p>
        </w:tc>
        <w:tc>
          <w:tcPr>
            <w:tcW w:w="3369" w:type="dxa"/>
            <w:vAlign w:val="center"/>
          </w:tcPr>
          <w:p w14:paraId="22F97DD6">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选用低噪设备</w:t>
            </w:r>
            <w:r>
              <w:rPr>
                <w:rFonts w:hint="default" w:ascii="Times New Roman" w:hAnsi="Times New Roman" w:cs="Times New Roman"/>
                <w:color w:val="auto"/>
                <w:sz w:val="21"/>
                <w:szCs w:val="21"/>
              </w:rPr>
              <w:t>；破碎机、</w:t>
            </w:r>
            <w:r>
              <w:rPr>
                <w:rFonts w:hint="default" w:ascii="Times New Roman" w:hAnsi="Times New Roman" w:cs="Times New Roman"/>
                <w:color w:val="auto"/>
                <w:sz w:val="21"/>
                <w:szCs w:val="21"/>
                <w:lang w:val="en-US" w:eastAsia="zh-CN"/>
              </w:rPr>
              <w:t>筛分</w:t>
            </w:r>
            <w:r>
              <w:rPr>
                <w:rFonts w:hint="default" w:ascii="Times New Roman" w:hAnsi="Times New Roman" w:cs="Times New Roman"/>
                <w:color w:val="auto"/>
                <w:sz w:val="21"/>
                <w:szCs w:val="21"/>
              </w:rPr>
              <w:t>机</w:t>
            </w:r>
            <w:r>
              <w:rPr>
                <w:rFonts w:hint="default" w:ascii="Times New Roman" w:hAnsi="Times New Roman" w:cs="Times New Roman"/>
                <w:color w:val="auto"/>
                <w:sz w:val="21"/>
                <w:szCs w:val="21"/>
                <w:lang w:val="en-US" w:eastAsia="zh-CN"/>
              </w:rPr>
              <w:t>定期维护，安装减震垫片；加工生产线周围设置降噪围挡。</w:t>
            </w:r>
          </w:p>
        </w:tc>
        <w:tc>
          <w:tcPr>
            <w:tcW w:w="1978" w:type="dxa"/>
            <w:vAlign w:val="center"/>
          </w:tcPr>
          <w:p w14:paraId="48BB5626">
            <w:pPr>
              <w:pStyle w:val="42"/>
              <w:spacing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《工厂企业厂界环境噪声排放标准》（GB12348-2008）中2类标准</w:t>
            </w:r>
          </w:p>
        </w:tc>
      </w:tr>
      <w:tr w14:paraId="26FDD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Align w:val="center"/>
          </w:tcPr>
          <w:p w14:paraId="519D9919">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w:t>
            </w:r>
          </w:p>
          <w:p w14:paraId="75EB94F3">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辐射</w:t>
            </w:r>
          </w:p>
        </w:tc>
        <w:tc>
          <w:tcPr>
            <w:tcW w:w="2209" w:type="dxa"/>
            <w:vAlign w:val="center"/>
          </w:tcPr>
          <w:p w14:paraId="1C1FF630">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17" w:type="dxa"/>
            <w:vAlign w:val="center"/>
          </w:tcPr>
          <w:p w14:paraId="6556D9C0">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369" w:type="dxa"/>
            <w:vAlign w:val="center"/>
          </w:tcPr>
          <w:p w14:paraId="0F98DA2B">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78" w:type="dxa"/>
            <w:vAlign w:val="center"/>
          </w:tcPr>
          <w:p w14:paraId="6CFBC595">
            <w:pPr>
              <w:pStyle w:val="4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D181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37" w:type="dxa"/>
            <w:vMerge w:val="restart"/>
            <w:vAlign w:val="center"/>
          </w:tcPr>
          <w:p w14:paraId="77B84A6F">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p w14:paraId="1AA13C9E">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w:t>
            </w:r>
          </w:p>
        </w:tc>
        <w:tc>
          <w:tcPr>
            <w:tcW w:w="2209" w:type="dxa"/>
            <w:vAlign w:val="center"/>
          </w:tcPr>
          <w:p w14:paraId="6F4793D7">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1217" w:type="dxa"/>
            <w:vAlign w:val="center"/>
          </w:tcPr>
          <w:p w14:paraId="7432A4B7">
            <w:pPr>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rPr>
              <w:t>纸张、果皮</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塑料、厨余垃圾</w:t>
            </w:r>
          </w:p>
        </w:tc>
        <w:tc>
          <w:tcPr>
            <w:tcW w:w="3369" w:type="dxa"/>
            <w:vAlign w:val="center"/>
          </w:tcPr>
          <w:p w14:paraId="5ED9685E">
            <w:pPr>
              <w:pStyle w:val="42"/>
              <w:numPr>
                <w:ilvl w:val="0"/>
                <w:numId w:val="0"/>
              </w:numPr>
              <w:spacing w:line="240" w:lineRule="auto"/>
              <w:ind w:left="0" w:leftChars="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垃圾桶收集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运送至</w:t>
            </w:r>
            <w:r>
              <w:rPr>
                <w:rFonts w:hint="eastAsia" w:cs="Times New Roman"/>
                <w:color w:val="auto"/>
                <w:sz w:val="21"/>
                <w:szCs w:val="21"/>
                <w:lang w:val="en-US" w:eastAsia="zh-CN"/>
              </w:rPr>
              <w:t>法果村</w:t>
            </w:r>
            <w:r>
              <w:rPr>
                <w:rFonts w:hint="default" w:ascii="Times New Roman" w:hAnsi="Times New Roman" w:cs="Times New Roman"/>
                <w:color w:val="auto"/>
                <w:sz w:val="21"/>
                <w:szCs w:val="21"/>
                <w:lang w:val="en-US" w:eastAsia="zh-CN"/>
              </w:rPr>
              <w:t>生活垃圾处置点处置。</w:t>
            </w:r>
          </w:p>
        </w:tc>
        <w:tc>
          <w:tcPr>
            <w:tcW w:w="1978" w:type="dxa"/>
            <w:vMerge w:val="restart"/>
            <w:vAlign w:val="center"/>
          </w:tcPr>
          <w:p w14:paraId="78AFFFA1">
            <w:pPr>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《一般工业固体废弃物贮存和</w:t>
            </w:r>
          </w:p>
          <w:p w14:paraId="744D6134">
            <w:pPr>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填埋污染控制标准》（GB18599-2020）</w:t>
            </w:r>
          </w:p>
        </w:tc>
      </w:tr>
      <w:tr w14:paraId="597A7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37" w:type="dxa"/>
            <w:vMerge w:val="continue"/>
            <w:vAlign w:val="center"/>
          </w:tcPr>
          <w:p w14:paraId="7EBCE1E3">
            <w:pPr>
              <w:spacing w:line="240" w:lineRule="auto"/>
              <w:ind w:firstLine="480"/>
              <w:jc w:val="center"/>
              <w:rPr>
                <w:rFonts w:hint="default" w:ascii="Times New Roman" w:hAnsi="Times New Roman" w:cs="Times New Roman"/>
                <w:color w:val="auto"/>
                <w:sz w:val="21"/>
                <w:szCs w:val="21"/>
              </w:rPr>
            </w:pPr>
          </w:p>
        </w:tc>
        <w:tc>
          <w:tcPr>
            <w:tcW w:w="2209" w:type="dxa"/>
            <w:vAlign w:val="center"/>
          </w:tcPr>
          <w:p w14:paraId="787EA24F">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洗砂底泥和</w:t>
            </w:r>
            <w:r>
              <w:rPr>
                <w:rFonts w:hint="default" w:ascii="Times New Roman" w:hAnsi="Times New Roman" w:cs="Times New Roman"/>
                <w:color w:val="auto"/>
                <w:sz w:val="21"/>
                <w:szCs w:val="21"/>
                <w:lang w:val="en-US" w:eastAsia="zh-CN"/>
              </w:rPr>
              <w:t>沉淀池底泥</w:t>
            </w:r>
          </w:p>
        </w:tc>
        <w:tc>
          <w:tcPr>
            <w:tcW w:w="1217" w:type="dxa"/>
            <w:vAlign w:val="center"/>
          </w:tcPr>
          <w:p w14:paraId="3C606495">
            <w:pPr>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泥土</w:t>
            </w:r>
          </w:p>
        </w:tc>
        <w:tc>
          <w:tcPr>
            <w:tcW w:w="3369" w:type="dxa"/>
            <w:vAlign w:val="center"/>
          </w:tcPr>
          <w:p w14:paraId="3D813FAA">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通过压滤机压滤后</w:t>
            </w:r>
            <w:r>
              <w:rPr>
                <w:rFonts w:hint="eastAsia" w:cs="Times New Roman"/>
                <w:b w:val="0"/>
                <w:bCs w:val="0"/>
                <w:color w:val="auto"/>
                <w:sz w:val="21"/>
                <w:szCs w:val="21"/>
                <w:highlight w:val="none"/>
                <w:vertAlign w:val="baseline"/>
                <w:lang w:val="en-US" w:eastAsia="zh-CN"/>
              </w:rPr>
              <w:t>（含水率≤40%），泥饼</w:t>
            </w:r>
            <w:r>
              <w:rPr>
                <w:rFonts w:hint="default" w:ascii="Times New Roman" w:hAnsi="Times New Roman" w:cs="Times New Roman"/>
                <w:b w:val="0"/>
                <w:bCs w:val="0"/>
                <w:color w:val="auto"/>
                <w:sz w:val="21"/>
                <w:szCs w:val="21"/>
                <w:highlight w:val="none"/>
                <w:vertAlign w:val="baseline"/>
                <w:lang w:val="en-US" w:eastAsia="zh-CN"/>
              </w:rPr>
              <w:t>外运至砖厂制砖</w:t>
            </w:r>
            <w:r>
              <w:rPr>
                <w:rFonts w:hint="eastAsia" w:cs="Times New Roman"/>
                <w:b w:val="0"/>
                <w:bCs w:val="0"/>
                <w:color w:val="auto"/>
                <w:sz w:val="21"/>
                <w:szCs w:val="21"/>
                <w:highlight w:val="none"/>
                <w:vertAlign w:val="baseline"/>
                <w:lang w:val="en-US" w:eastAsia="zh-CN"/>
              </w:rPr>
              <w:t>；对砖厂消纳不完及在砖厂停产期间产生的泥饼，泥饼运至珠峰采石场用于露天采空区土地复垦</w:t>
            </w:r>
            <w:r>
              <w:rPr>
                <w:rFonts w:hint="default" w:ascii="Times New Roman" w:hAnsi="Times New Roman" w:cs="Times New Roman"/>
                <w:b w:val="0"/>
                <w:bCs w:val="0"/>
                <w:color w:val="auto"/>
                <w:sz w:val="21"/>
                <w:szCs w:val="21"/>
                <w:highlight w:val="none"/>
                <w:vertAlign w:val="baseline"/>
                <w:lang w:val="en-US" w:eastAsia="zh-CN"/>
              </w:rPr>
              <w:t>。</w:t>
            </w:r>
          </w:p>
        </w:tc>
        <w:tc>
          <w:tcPr>
            <w:tcW w:w="1978" w:type="dxa"/>
            <w:vMerge w:val="continue"/>
            <w:vAlign w:val="center"/>
          </w:tcPr>
          <w:p w14:paraId="7859675A">
            <w:pPr>
              <w:spacing w:line="240" w:lineRule="auto"/>
              <w:ind w:left="0" w:leftChars="0" w:firstLine="0" w:firstLineChars="0"/>
              <w:jc w:val="center"/>
              <w:rPr>
                <w:rFonts w:hint="default" w:ascii="Times New Roman" w:hAnsi="Times New Roman" w:cs="Times New Roman"/>
                <w:color w:val="auto"/>
                <w:sz w:val="21"/>
                <w:szCs w:val="21"/>
              </w:rPr>
            </w:pPr>
          </w:p>
        </w:tc>
      </w:tr>
      <w:tr w14:paraId="02176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37" w:type="dxa"/>
            <w:vMerge w:val="continue"/>
            <w:vAlign w:val="center"/>
          </w:tcPr>
          <w:p w14:paraId="5077292D">
            <w:pPr>
              <w:spacing w:line="240" w:lineRule="auto"/>
              <w:ind w:firstLine="480"/>
              <w:jc w:val="center"/>
              <w:rPr>
                <w:rFonts w:hint="default" w:ascii="Times New Roman" w:hAnsi="Times New Roman" w:cs="Times New Roman"/>
                <w:color w:val="auto"/>
                <w:sz w:val="21"/>
                <w:szCs w:val="21"/>
              </w:rPr>
            </w:pPr>
          </w:p>
        </w:tc>
        <w:tc>
          <w:tcPr>
            <w:tcW w:w="2209" w:type="dxa"/>
            <w:vAlign w:val="center"/>
          </w:tcPr>
          <w:p w14:paraId="1A6EB9C2">
            <w:pPr>
              <w:spacing w:line="240"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化粪池污泥</w:t>
            </w:r>
          </w:p>
        </w:tc>
        <w:tc>
          <w:tcPr>
            <w:tcW w:w="1217" w:type="dxa"/>
            <w:vAlign w:val="center"/>
          </w:tcPr>
          <w:p w14:paraId="4A644F6D">
            <w:pPr>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污泥</w:t>
            </w:r>
          </w:p>
        </w:tc>
        <w:tc>
          <w:tcPr>
            <w:tcW w:w="3369" w:type="dxa"/>
            <w:vAlign w:val="center"/>
          </w:tcPr>
          <w:p w14:paraId="2050B3A3">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委托当地环卫部门定期清掏。</w:t>
            </w:r>
          </w:p>
        </w:tc>
        <w:tc>
          <w:tcPr>
            <w:tcW w:w="1978" w:type="dxa"/>
            <w:vMerge w:val="continue"/>
            <w:vAlign w:val="center"/>
          </w:tcPr>
          <w:p w14:paraId="42AF825F">
            <w:pPr>
              <w:spacing w:line="240" w:lineRule="auto"/>
              <w:ind w:left="0" w:leftChars="0" w:firstLine="0" w:firstLineChars="0"/>
              <w:jc w:val="center"/>
              <w:rPr>
                <w:rFonts w:hint="default" w:ascii="Times New Roman" w:hAnsi="Times New Roman" w:cs="Times New Roman"/>
                <w:color w:val="auto"/>
                <w:sz w:val="21"/>
                <w:szCs w:val="21"/>
              </w:rPr>
            </w:pPr>
          </w:p>
        </w:tc>
      </w:tr>
      <w:tr w14:paraId="3A5E4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37" w:type="dxa"/>
            <w:vMerge w:val="continue"/>
            <w:vAlign w:val="center"/>
          </w:tcPr>
          <w:p w14:paraId="10CC151A">
            <w:pPr>
              <w:spacing w:line="240" w:lineRule="auto"/>
              <w:ind w:firstLine="480"/>
              <w:jc w:val="center"/>
              <w:rPr>
                <w:rFonts w:hint="default" w:ascii="Times New Roman" w:hAnsi="Times New Roman" w:cs="Times New Roman"/>
                <w:color w:val="auto"/>
                <w:sz w:val="21"/>
                <w:szCs w:val="21"/>
              </w:rPr>
            </w:pPr>
          </w:p>
        </w:tc>
        <w:tc>
          <w:tcPr>
            <w:tcW w:w="2209" w:type="dxa"/>
            <w:vAlign w:val="center"/>
          </w:tcPr>
          <w:p w14:paraId="6A333EB2">
            <w:pPr>
              <w:spacing w:line="240"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危险废物</w:t>
            </w:r>
          </w:p>
        </w:tc>
        <w:tc>
          <w:tcPr>
            <w:tcW w:w="1217" w:type="dxa"/>
            <w:vAlign w:val="center"/>
          </w:tcPr>
          <w:p w14:paraId="6B1D41E6">
            <w:pPr>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废润滑油、废润滑油桶</w:t>
            </w:r>
          </w:p>
        </w:tc>
        <w:tc>
          <w:tcPr>
            <w:tcW w:w="3369" w:type="dxa"/>
            <w:vAlign w:val="center"/>
          </w:tcPr>
          <w:p w14:paraId="630D8592">
            <w:pPr>
              <w:pStyle w:val="42"/>
              <w:numPr>
                <w:ilvl w:val="0"/>
                <w:numId w:val="0"/>
              </w:numPr>
              <w:spacing w:line="240" w:lineRule="auto"/>
              <w:ind w:left="0" w:leftChars="0" w:firstLine="0" w:firstLineChars="0"/>
              <w:jc w:val="center"/>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暂存于危废间，定期委托有资质的单位清运、处置。</w:t>
            </w:r>
          </w:p>
        </w:tc>
        <w:tc>
          <w:tcPr>
            <w:tcW w:w="1978" w:type="dxa"/>
            <w:vAlign w:val="center"/>
          </w:tcPr>
          <w:p w14:paraId="2C339344">
            <w:pPr>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《危险废物贮存污染控制标准》（GB18597-2023）标准</w:t>
            </w:r>
          </w:p>
        </w:tc>
      </w:tr>
      <w:tr w14:paraId="44259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37" w:type="dxa"/>
            <w:vAlign w:val="center"/>
          </w:tcPr>
          <w:p w14:paraId="5B2319B4">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w:t>
            </w:r>
          </w:p>
          <w:p w14:paraId="155EC65B">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污染防治措施</w:t>
            </w:r>
          </w:p>
        </w:tc>
        <w:tc>
          <w:tcPr>
            <w:tcW w:w="8773" w:type="dxa"/>
            <w:gridSpan w:val="4"/>
            <w:vAlign w:val="center"/>
          </w:tcPr>
          <w:p w14:paraId="746A5177">
            <w:pPr>
              <w:keepNext w:val="0"/>
              <w:keepLines w:val="0"/>
              <w:pageBreakBefore w:val="0"/>
              <w:numPr>
                <w:ilvl w:val="0"/>
                <w:numId w:val="0"/>
              </w:numPr>
              <w:kinsoku/>
              <w:wordWrap/>
              <w:overflowPunct/>
              <w:topLinePunct w:val="0"/>
              <w:autoSpaceDE/>
              <w:autoSpaceDN/>
              <w:bidi w:val="0"/>
              <w:adjustRightInd w:val="0"/>
              <w:snapToGrid w:val="0"/>
              <w:spacing w:line="23" w:lineRule="atLeast"/>
              <w:ind w:firstLine="420" w:firstLineChars="200"/>
              <w:jc w:val="both"/>
              <w:textAlignment w:val="auto"/>
              <w:rPr>
                <w:rFonts w:hint="default" w:ascii="Times New Roman" w:hAnsi="Times New Roman" w:cs="Times New Roman"/>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根据本项目各功能单元是否可能对地下水造成污染及其风险程度，将项目区划分为重点污染防治区、一般污染防治区和简单污染防治区</w:t>
            </w:r>
            <w:r>
              <w:rPr>
                <w:rFonts w:hint="default" w:ascii="Times New Roman" w:hAnsi="Times New Roman" w:cs="Times New Roman"/>
                <w:b w:val="0"/>
                <w:bCs w:val="0"/>
                <w:color w:val="auto"/>
                <w:sz w:val="21"/>
                <w:szCs w:val="21"/>
                <w:highlight w:val="none"/>
                <w:lang w:val="en-US" w:eastAsia="zh-CN"/>
              </w:rPr>
              <w:t>，分区防渗。</w:t>
            </w:r>
          </w:p>
        </w:tc>
      </w:tr>
      <w:tr w14:paraId="70A9A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37" w:type="dxa"/>
            <w:vAlign w:val="center"/>
          </w:tcPr>
          <w:p w14:paraId="7187B940">
            <w:pPr>
              <w:pStyle w:val="42"/>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8773" w:type="dxa"/>
            <w:gridSpan w:val="4"/>
            <w:vAlign w:val="center"/>
          </w:tcPr>
          <w:p w14:paraId="240ABBF7">
            <w:pPr>
              <w:pStyle w:val="42"/>
              <w:keepNext w:val="0"/>
              <w:keepLines w:val="0"/>
              <w:pageBreakBefore w:val="0"/>
              <w:kinsoku/>
              <w:wordWrap/>
              <w:overflowPunct/>
              <w:topLinePunct w:val="0"/>
              <w:autoSpaceDE/>
              <w:autoSpaceDN/>
              <w:bidi w:val="0"/>
              <w:spacing w:line="23" w:lineRule="atLeas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厂区绿化可考虑选取乡土树种为主，易于存活，并注意乔、灌、花、草的结合，体现出有</w:t>
            </w:r>
          </w:p>
          <w:p w14:paraId="469F40BA">
            <w:pPr>
              <w:pStyle w:val="42"/>
              <w:keepNext w:val="0"/>
              <w:keepLines w:val="0"/>
              <w:pageBreakBefore w:val="0"/>
              <w:kinsoku/>
              <w:wordWrap/>
              <w:overflowPunct/>
              <w:topLinePunct w:val="0"/>
              <w:autoSpaceDE/>
              <w:autoSpaceDN/>
              <w:bidi w:val="0"/>
              <w:spacing w:line="23" w:lineRule="atLeas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层次感的绿化景观。</w:t>
            </w:r>
          </w:p>
        </w:tc>
      </w:tr>
      <w:tr w14:paraId="147B2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37" w:type="dxa"/>
            <w:vAlign w:val="center"/>
          </w:tcPr>
          <w:p w14:paraId="23B57D23">
            <w:pPr>
              <w:pStyle w:val="42"/>
              <w:spacing w:line="240" w:lineRule="auto"/>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z w:val="21"/>
                <w:szCs w:val="21"/>
              </w:rPr>
              <w:t>环境风险防范措施</w:t>
            </w:r>
          </w:p>
        </w:tc>
        <w:tc>
          <w:tcPr>
            <w:tcW w:w="8773" w:type="dxa"/>
            <w:gridSpan w:val="4"/>
            <w:vAlign w:val="center"/>
          </w:tcPr>
          <w:p w14:paraId="431585BE">
            <w:pPr>
              <w:pStyle w:val="8"/>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3" w:lineRule="atLeast"/>
              <w:ind w:left="0" w:right="0" w:firstLine="420" w:firstLineChars="20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（1）</w:t>
            </w:r>
            <w:r>
              <w:rPr>
                <w:rFonts w:hint="default" w:ascii="Times New Roman" w:hAnsi="Times New Roman" w:cs="Times New Roman"/>
                <w:b w:val="0"/>
                <w:bCs w:val="0"/>
                <w:color w:val="auto"/>
                <w:sz w:val="21"/>
                <w:szCs w:val="21"/>
                <w:lang w:val="en-US" w:eastAsia="zh-CN"/>
              </w:rPr>
              <w:t>定期检修设备，确保</w:t>
            </w:r>
            <w:r>
              <w:rPr>
                <w:rFonts w:hint="eastAsia" w:ascii="Times New Roman" w:hAnsi="Times New Roman" w:cs="Times New Roman"/>
                <w:b w:val="0"/>
                <w:bCs w:val="0"/>
                <w:color w:val="auto"/>
                <w:sz w:val="21"/>
                <w:szCs w:val="21"/>
                <w:lang w:val="en-US" w:eastAsia="zh-CN"/>
              </w:rPr>
              <w:t>设备</w:t>
            </w:r>
            <w:r>
              <w:rPr>
                <w:rFonts w:hint="default" w:ascii="Times New Roman" w:hAnsi="Times New Roman" w:cs="Times New Roman"/>
                <w:b w:val="0"/>
                <w:bCs w:val="0"/>
                <w:color w:val="auto"/>
                <w:sz w:val="21"/>
                <w:szCs w:val="21"/>
                <w:lang w:val="en-US" w:eastAsia="zh-CN"/>
              </w:rPr>
              <w:t>在合格状态下进行运作；</w:t>
            </w:r>
          </w:p>
          <w:p w14:paraId="34DF37F1">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3" w:lineRule="atLeast"/>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b w:val="0"/>
                <w:bCs w:val="0"/>
                <w:color w:val="auto"/>
                <w:sz w:val="21"/>
                <w:szCs w:val="21"/>
                <w:lang w:val="en-US" w:eastAsia="zh-CN"/>
              </w:rPr>
              <w:t>生产设备</w:t>
            </w:r>
            <w:r>
              <w:rPr>
                <w:rFonts w:hint="default" w:ascii="Times New Roman" w:hAnsi="Times New Roman" w:eastAsia="宋体" w:cs="Times New Roman"/>
                <w:b w:val="0"/>
                <w:bCs w:val="0"/>
                <w:color w:val="auto"/>
                <w:sz w:val="21"/>
                <w:szCs w:val="21"/>
              </w:rPr>
              <w:t>需配备必要的应急处理器材和防护用品，如灭火器、吸油毡等设备。</w:t>
            </w:r>
          </w:p>
          <w:p w14:paraId="63B1250F">
            <w:pPr>
              <w:pStyle w:val="8"/>
              <w:keepNext w:val="0"/>
              <w:keepLines w:val="0"/>
              <w:pageBreakBefore w:val="0"/>
              <w:suppressLineNumbers w:val="0"/>
              <w:kinsoku/>
              <w:wordWrap/>
              <w:overflowPunct/>
              <w:topLinePunct w:val="0"/>
              <w:autoSpaceDE/>
              <w:autoSpaceDN/>
              <w:bidi w:val="0"/>
              <w:spacing w:before="0" w:beforeAutospacing="0" w:after="0" w:afterAutospacing="0" w:line="23" w:lineRule="atLeast"/>
              <w:ind w:left="0" w:right="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废润滑油、废润滑油桶，</w:t>
            </w:r>
            <w:r>
              <w:rPr>
                <w:rFonts w:hint="default" w:ascii="Times New Roman" w:hAnsi="Times New Roman" w:eastAsia="宋体" w:cs="Times New Roman"/>
                <w:b w:val="0"/>
                <w:bCs w:val="0"/>
                <w:color w:val="auto"/>
                <w:sz w:val="21"/>
                <w:szCs w:val="21"/>
                <w:lang w:val="en-US" w:eastAsia="zh-CN"/>
              </w:rPr>
              <w:t>由检修人员统一收集，放置危废暂存间，依托有资质的单位处理。</w:t>
            </w:r>
          </w:p>
          <w:p w14:paraId="67B5AAE4">
            <w:pPr>
              <w:keepNext w:val="0"/>
              <w:keepLines w:val="0"/>
              <w:pageBreakBefore w:val="0"/>
              <w:suppressLineNumbers w:val="0"/>
              <w:kinsoku/>
              <w:wordWrap/>
              <w:overflowPunct/>
              <w:topLinePunct w:val="0"/>
              <w:autoSpaceDE/>
              <w:autoSpaceDN/>
              <w:bidi w:val="0"/>
              <w:spacing w:before="0" w:beforeAutospacing="0" w:after="0" w:afterAutospacing="0" w:line="23" w:lineRule="atLeast"/>
              <w:ind w:left="0" w:right="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（4）加强安全管理，完善突发事件应急管理体系，加强巡查及时排查安全隐患，防止引发安全事故；</w:t>
            </w:r>
          </w:p>
          <w:p w14:paraId="141CC2A8">
            <w:pPr>
              <w:keepNext w:val="0"/>
              <w:keepLines w:val="0"/>
              <w:pageBreakBefore w:val="0"/>
              <w:suppressLineNumbers w:val="0"/>
              <w:kinsoku/>
              <w:wordWrap/>
              <w:overflowPunct/>
              <w:topLinePunct w:val="0"/>
              <w:autoSpaceDE/>
              <w:autoSpaceDN/>
              <w:bidi w:val="0"/>
              <w:spacing w:before="0" w:beforeAutospacing="0" w:after="0" w:afterAutospacing="0" w:line="23" w:lineRule="atLeast"/>
              <w:ind w:left="0" w:right="0"/>
              <w:textAlignment w:val="auto"/>
              <w:rPr>
                <w:rFonts w:hint="default" w:ascii="Times New Roman" w:hAnsi="Times New Roman" w:cs="Times New Roman"/>
                <w:color w:val="auto"/>
                <w:sz w:val="21"/>
                <w:szCs w:val="21"/>
                <w:lang w:val="en-US"/>
              </w:rPr>
            </w:pPr>
            <w:r>
              <w:rPr>
                <w:rFonts w:hint="default" w:ascii="Times New Roman" w:hAnsi="Times New Roman" w:cs="Times New Roman"/>
                <w:b w:val="0"/>
                <w:bCs w:val="0"/>
                <w:color w:val="auto"/>
                <w:sz w:val="21"/>
                <w:szCs w:val="21"/>
                <w:lang w:val="en-US" w:eastAsia="zh-CN"/>
              </w:rPr>
              <w:t>（5）选用符合标准的危险废物储存容器，并安排专业人员定期检查设备。</w:t>
            </w:r>
          </w:p>
        </w:tc>
      </w:tr>
      <w:tr w14:paraId="77B62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37" w:type="dxa"/>
            <w:vAlign w:val="center"/>
          </w:tcPr>
          <w:p w14:paraId="0F9370F8">
            <w:pPr>
              <w:pStyle w:val="42"/>
              <w:spacing w:line="240" w:lineRule="auto"/>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z w:val="21"/>
                <w:szCs w:val="21"/>
              </w:rPr>
              <w:t>其他环境管理要求</w:t>
            </w:r>
          </w:p>
        </w:tc>
        <w:tc>
          <w:tcPr>
            <w:tcW w:w="8773" w:type="dxa"/>
            <w:gridSpan w:val="4"/>
            <w:vAlign w:val="center"/>
          </w:tcPr>
          <w:p w14:paraId="2E61834F">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1、项目建成后，及时编制企业突发环境事件应急预案，并严格按照《企业事业单位突发环境事件应急预案评审工作指南</w:t>
            </w:r>
            <w:r>
              <w:rPr>
                <w:rFonts w:hint="eastAsia" w:cs="Times New Roman"/>
                <w:color w:val="auto"/>
                <w:sz w:val="21"/>
                <w:szCs w:val="21"/>
                <w:lang w:eastAsia="zh-CN"/>
              </w:rPr>
              <w:t>（</w:t>
            </w:r>
            <w:r>
              <w:rPr>
                <w:rFonts w:hint="default" w:ascii="Times New Roman" w:hAnsi="Times New Roman" w:cs="Times New Roman"/>
                <w:color w:val="auto"/>
                <w:sz w:val="21"/>
                <w:szCs w:val="21"/>
              </w:rPr>
              <w:t>试行</w:t>
            </w:r>
            <w:r>
              <w:rPr>
                <w:rFonts w:hint="eastAsia" w:cs="Times New Roman"/>
                <w:color w:val="auto"/>
                <w:sz w:val="21"/>
                <w:szCs w:val="21"/>
                <w:lang w:eastAsia="zh-CN"/>
              </w:rPr>
              <w:t>）</w:t>
            </w:r>
            <w:r>
              <w:rPr>
                <w:rFonts w:hint="default" w:ascii="Times New Roman" w:hAnsi="Times New Roman" w:cs="Times New Roman"/>
                <w:color w:val="auto"/>
                <w:sz w:val="21"/>
                <w:szCs w:val="21"/>
              </w:rPr>
              <w:t>》要求，组织开展应急预案评审，将应急预案报玉溪市生态环境局</w:t>
            </w:r>
            <w:r>
              <w:rPr>
                <w:rFonts w:hint="eastAsia" w:cs="Times New Roman"/>
                <w:color w:val="auto"/>
                <w:sz w:val="21"/>
                <w:szCs w:val="21"/>
                <w:lang w:val="en-US" w:eastAsia="zh-CN"/>
              </w:rPr>
              <w:t>华宁</w:t>
            </w:r>
            <w:r>
              <w:rPr>
                <w:rFonts w:hint="default" w:ascii="Times New Roman" w:hAnsi="Times New Roman" w:cs="Times New Roman"/>
                <w:color w:val="auto"/>
                <w:sz w:val="21"/>
                <w:szCs w:val="21"/>
              </w:rPr>
              <w:t>分局备案并定期进行演练；</w:t>
            </w:r>
          </w:p>
          <w:p w14:paraId="7708CB7E">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2、为加强事故应急环境管理，实施环境保护提供可靠的技术依据，建设单位应与第三方环境监测机构签订应急监测协议；</w:t>
            </w:r>
          </w:p>
          <w:p w14:paraId="1A42C64E">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3、根据《环境管理台账及排污许可证执行报告技术规范 总则（试行）》（HJ944-2018）及相关法律法规和规范要求，本项目在运营期应落实环境管理台账记录制度，明确责任人和人员工作职责，包括台账的记录、整理、维护和管理等，并对台账的真实性、完整性和规范性负责。根据《固定污染源排污许可分类管理名录》，本项目属于</w:t>
            </w:r>
            <w:r>
              <w:rPr>
                <w:rFonts w:hint="eastAsia" w:cs="Times New Roman"/>
                <w:color w:val="auto"/>
                <w:sz w:val="21"/>
                <w:szCs w:val="21"/>
                <w:lang w:val="en-US" w:eastAsia="zh-CN"/>
              </w:rPr>
              <w:t>简化</w:t>
            </w:r>
            <w:r>
              <w:rPr>
                <w:rFonts w:hint="default" w:ascii="Times New Roman" w:hAnsi="Times New Roman" w:cs="Times New Roman"/>
                <w:color w:val="auto"/>
                <w:sz w:val="21"/>
                <w:szCs w:val="21"/>
              </w:rPr>
              <w:t>管理企业，台账记录内容如下：</w:t>
            </w:r>
          </w:p>
          <w:p w14:paraId="10839C1D">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（1）基本信息：包括排污单位产污设施基本信息、污染防治设施基本信息；</w:t>
            </w:r>
          </w:p>
          <w:p w14:paraId="7814BC35">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（2）产污设施运行管理信息：包括原料系统、主体生产、公用单元等的产污设施运行管理信息，至少记录：①正常工况：运行状态、生产负荷、主要产品产量、原辅料、燃料、其他；</w:t>
            </w:r>
          </w:p>
          <w:p w14:paraId="50B3C620">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②非正常工况：起止时间、产品产量、原辅料及燃料消耗量、事件原因、应对措施、是否报告等；</w:t>
            </w:r>
          </w:p>
          <w:p w14:paraId="15AD33EF">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污染防治设施运行管理信息：包括废气、废水污染防治设施的运行管理信息，至少应记录：①正常情况：运行情况、无组织废气污染防治措施相应的运行、维护、管理相关的信息记录，可用于说明无组织防治措施运行情况和效果；废水污染防治设施应记录废水处理能力、运行参数、废水排放量、废水回用量、污泥产生量及运行费用、滤泥量及去向、出水水质、排水去向及受纳水体。②非正常情况：起止时间、污染物排放浓度、非正常原因、应对措施、是否报告等；</w:t>
            </w:r>
          </w:p>
          <w:p w14:paraId="5E2D0C25">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（4）监测记录信息：按《排污单位自行监测技术指南 总则》（HJ819-2017）执行；</w:t>
            </w:r>
          </w:p>
          <w:p w14:paraId="643E0EDE">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（5）其他环境管理信息：</w:t>
            </w:r>
          </w:p>
          <w:p w14:paraId="3AF19ABC">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①无组织废气污染防治措施管理维护信息：管理维护时间及主要内容等；</w:t>
            </w:r>
          </w:p>
          <w:p w14:paraId="4292DC90">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②特殊时间环境管理信息：具体管理要求及其执行情况；</w:t>
            </w:r>
          </w:p>
          <w:p w14:paraId="6681F141">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③其他信息：法律法规、标准规范确定的其他信息，排污单位自主记录的环境管理信息等；</w:t>
            </w:r>
          </w:p>
          <w:p w14:paraId="0226D0EF">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（6）记录形式：同时使用电子台账和纸质台账；</w:t>
            </w:r>
          </w:p>
          <w:p w14:paraId="4A1DF6D5">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（7）记录频次：对于基本信息没有发生变化的每年记录 1 次，基本信息发生变化的在发生变化时记录 1 次；生产设施正常运行情况下对运行状态、生产负荷、产品质量、原辅料等每天记录 1 次；污染防治设施在正常情况下每天记录运行情况 1 次；</w:t>
            </w:r>
          </w:p>
          <w:p w14:paraId="726C9EE7">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记录存储及保存：①纸质存储：应将纸质台账存放于保护袋、卷夹或保护盒等保存介质中，由专人签字、定点保存；应采取防光、防热、防潮、防细菌及防污染等措施；如有破损应及时修补，并留存备查；保存时间原则上不低于 3 年。②电子化存储：应存放于电子存储介质中，并进行数据备份；可在排污许可管理信息平台填报并保存；由专人定期维护管理；保存时间原则上不低于 3 年。</w:t>
            </w:r>
          </w:p>
        </w:tc>
      </w:tr>
    </w:tbl>
    <w:p w14:paraId="725C9D7F">
      <w:pPr>
        <w:pStyle w:val="14"/>
        <w:rPr>
          <w:rFonts w:hint="default" w:ascii="Times New Roman" w:hAnsi="Times New Roman" w:cs="Times New Roman"/>
          <w:color w:val="auto"/>
        </w:rPr>
      </w:pPr>
      <w:r>
        <w:rPr>
          <w:rFonts w:hint="default" w:ascii="Times New Roman" w:hAnsi="Times New Roman" w:cs="Times New Roman"/>
          <w:snapToGrid w:val="0"/>
          <w:color w:val="auto"/>
        </w:rPr>
        <w:br w:type="page"/>
      </w:r>
      <w:bookmarkStart w:id="31" w:name="_Toc28072"/>
      <w:bookmarkStart w:id="32" w:name="_Toc15683"/>
      <w:r>
        <w:rPr>
          <w:rFonts w:hint="default" w:ascii="Times New Roman" w:hAnsi="Times New Roman" w:cs="Times New Roman"/>
          <w:color w:val="auto"/>
        </w:rPr>
        <w:t>六、结论</w:t>
      </w:r>
      <w:bookmarkEnd w:id="31"/>
      <w:bookmarkEnd w:id="32"/>
    </w:p>
    <w:tbl>
      <w:tblPr>
        <w:tblStyle w:val="16"/>
        <w:tblW w:w="96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02"/>
      </w:tblGrid>
      <w:tr w14:paraId="19690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602" w:type="dxa"/>
          </w:tcPr>
          <w:p w14:paraId="6C420097">
            <w:pPr>
              <w:pStyle w:val="7"/>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eastAsia="宋体" w:cs="Times New Roman"/>
                <w:color w:val="auto"/>
                <w:sz w:val="24"/>
                <w:szCs w:val="24"/>
              </w:rPr>
              <w:t>本项目租用原法果红砖厂场地进行建设</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用地性质为建设用地，项目</w:t>
            </w:r>
            <w:r>
              <w:rPr>
                <w:rFonts w:hint="eastAsia" w:ascii="Times New Roman" w:hAnsi="Times New Roman" w:eastAsia="宋体" w:cs="Times New Roman"/>
                <w:color w:val="auto"/>
                <w:sz w:val="24"/>
                <w:szCs w:val="24"/>
                <w:lang w:val="en-US" w:eastAsia="zh-CN"/>
              </w:rPr>
              <w:t>建成后</w:t>
            </w:r>
            <w:r>
              <w:rPr>
                <w:rFonts w:hint="default" w:ascii="Times New Roman" w:hAnsi="Times New Roman" w:eastAsia="宋体" w:cs="Times New Roman"/>
                <w:color w:val="auto"/>
                <w:sz w:val="24"/>
                <w:szCs w:val="24"/>
              </w:rPr>
              <w:t>年处理尾料为10万吨，年产品量为9万吨</w:t>
            </w:r>
            <w:r>
              <w:rPr>
                <w:rFonts w:hint="eastAsia" w:ascii="Times New Roman" w:hAnsi="Times New Roman" w:eastAsia="宋体" w:cs="Times New Roman"/>
                <w:color w:val="auto"/>
                <w:sz w:val="24"/>
                <w:szCs w:val="24"/>
                <w:lang w:eastAsia="zh-CN"/>
              </w:rPr>
              <w:t>，属于“二十七、非金属矿物制品业，56砖瓦、石材、等建筑材料制造”，于2025年3月3日取得华宁县发展和改革局签发的《云南省固定资产投资项目备案证》，备案项目代码：2503-530424-04-01-965426，项目建设不涉及自然保护区、世界文化和自然遗产地等特殊生态敏感区，也不涉及风景名胜区等重要生态敏感区，未占用生态保护红线、永久基本农田、华宁县耕地后备资源及耕地后备资源补充空间，不位于城镇开发边界范围内，未压覆矿业权，属于华宁县一般管控单元。</w:t>
            </w:r>
            <w:r>
              <w:rPr>
                <w:rFonts w:hint="default" w:ascii="Times New Roman" w:hAnsi="Times New Roman" w:eastAsia="宋体" w:cs="Times New Roman"/>
                <w:color w:val="auto"/>
                <w:sz w:val="24"/>
                <w:szCs w:val="24"/>
              </w:rPr>
              <w:t>本项目建设符合国家当前产业政策，符合相关规划要求，选址布局合理。项目运营期产生的废水不外排，废气、噪声、固废通过采取相应的措施处理、处置后，不会对项目区及外环境造成大的影响。通过分析，项目采取的污染控制措施有效、可行。在认真落实环评中提出的污染防治对策措施，保证治理设施正常运转，项目建设不会降低和改变该区域的环境质量和环境功能。从环境保护角度看，项目的建设是可行的。</w:t>
            </w:r>
          </w:p>
        </w:tc>
      </w:tr>
    </w:tbl>
    <w:p w14:paraId="10ADA2D1">
      <w:pPr>
        <w:ind w:firstLine="480"/>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13ED2BD">
      <w:pPr>
        <w:pStyle w:val="14"/>
        <w:rPr>
          <w:rFonts w:hint="default" w:ascii="Times New Roman" w:hAnsi="Times New Roman" w:cs="Times New Roman"/>
          <w:snapToGrid w:val="0"/>
          <w:color w:val="auto"/>
        </w:rPr>
      </w:pPr>
      <w:bookmarkStart w:id="33" w:name="_Toc14325"/>
      <w:bookmarkStart w:id="34" w:name="_Toc31681"/>
      <w:r>
        <w:rPr>
          <w:rFonts w:hint="default" w:ascii="Times New Roman" w:hAnsi="Times New Roman" w:cs="Times New Roman"/>
          <w:snapToGrid w:val="0"/>
          <w:color w:val="auto"/>
        </w:rPr>
        <w:t>附表 建设项目污染物排放量汇总表</w:t>
      </w:r>
      <w:bookmarkEnd w:id="33"/>
      <w:bookmarkEnd w:id="34"/>
    </w:p>
    <w:tbl>
      <w:tblPr>
        <w:tblStyle w:val="1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2"/>
        <w:gridCol w:w="1134"/>
        <w:gridCol w:w="1560"/>
        <w:gridCol w:w="1275"/>
        <w:gridCol w:w="1560"/>
        <w:gridCol w:w="1842"/>
        <w:gridCol w:w="1560"/>
        <w:gridCol w:w="2126"/>
        <w:gridCol w:w="1569"/>
      </w:tblGrid>
      <w:tr w14:paraId="3DB87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4" w:hRule="atLeast"/>
        </w:trPr>
        <w:tc>
          <w:tcPr>
            <w:tcW w:w="1162" w:type="dxa"/>
            <w:tcBorders>
              <w:tl2br w:val="single" w:color="auto" w:sz="4" w:space="0"/>
            </w:tcBorders>
            <w:shd w:val="clear" w:color="auto" w:fill="auto"/>
            <w:tcMar>
              <w:left w:w="28" w:type="dxa"/>
              <w:right w:w="28" w:type="dxa"/>
            </w:tcMar>
            <w:vAlign w:val="center"/>
          </w:tcPr>
          <w:p w14:paraId="42563752">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t>
            </w:r>
            <w:r>
              <w:rPr>
                <w:rFonts w:hint="eastAsia" w:cs="Times New Roman"/>
                <w:color w:val="auto"/>
                <w:sz w:val="21"/>
                <w:szCs w:val="21"/>
                <w:lang w:val="en-US" w:eastAsia="zh-CN"/>
              </w:rPr>
              <w:t xml:space="preserve">  </w:t>
            </w:r>
            <w:r>
              <w:rPr>
                <w:rFonts w:hint="default" w:ascii="Times New Roman" w:hAnsi="Times New Roman" w:cs="Times New Roman"/>
                <w:color w:val="auto"/>
                <w:sz w:val="21"/>
                <w:szCs w:val="21"/>
              </w:rPr>
              <w:t>项目</w:t>
            </w:r>
          </w:p>
          <w:p w14:paraId="3CF633D5">
            <w:pPr>
              <w:pStyle w:val="42"/>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分类</w:t>
            </w:r>
          </w:p>
        </w:tc>
        <w:tc>
          <w:tcPr>
            <w:tcW w:w="1134" w:type="dxa"/>
            <w:shd w:val="clear" w:color="auto" w:fill="auto"/>
            <w:tcMar>
              <w:left w:w="28" w:type="dxa"/>
              <w:right w:w="28" w:type="dxa"/>
            </w:tcMar>
            <w:vAlign w:val="center"/>
          </w:tcPr>
          <w:p w14:paraId="5CB45091">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560" w:type="dxa"/>
            <w:shd w:val="clear" w:color="auto" w:fill="auto"/>
            <w:tcMar>
              <w:left w:w="28" w:type="dxa"/>
              <w:right w:w="28" w:type="dxa"/>
            </w:tcMar>
            <w:vAlign w:val="center"/>
          </w:tcPr>
          <w:p w14:paraId="7C25A347">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现有工程排放量（固体废物产生量）</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1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rPr>
              <w:fldChar w:fldCharType="end"/>
            </w:r>
          </w:p>
        </w:tc>
        <w:tc>
          <w:tcPr>
            <w:tcW w:w="1275" w:type="dxa"/>
            <w:shd w:val="clear" w:color="auto" w:fill="auto"/>
            <w:tcMar>
              <w:left w:w="28" w:type="dxa"/>
              <w:right w:w="28" w:type="dxa"/>
            </w:tcMar>
            <w:vAlign w:val="center"/>
          </w:tcPr>
          <w:p w14:paraId="55579FF4">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现有工程许可排放量</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2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rPr>
              <w:fldChar w:fldCharType="end"/>
            </w:r>
          </w:p>
        </w:tc>
        <w:tc>
          <w:tcPr>
            <w:tcW w:w="1560" w:type="dxa"/>
            <w:shd w:val="clear" w:color="auto" w:fill="auto"/>
            <w:tcMar>
              <w:left w:w="28" w:type="dxa"/>
              <w:right w:w="28" w:type="dxa"/>
            </w:tcMar>
            <w:vAlign w:val="center"/>
          </w:tcPr>
          <w:p w14:paraId="2611D971">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在建工程排放量（固体废物产生量）</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3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③</w:t>
            </w:r>
            <w:r>
              <w:rPr>
                <w:rFonts w:hint="default" w:ascii="Times New Roman" w:hAnsi="Times New Roman" w:cs="Times New Roman"/>
                <w:color w:val="auto"/>
                <w:sz w:val="21"/>
                <w:szCs w:val="21"/>
              </w:rPr>
              <w:fldChar w:fldCharType="end"/>
            </w:r>
          </w:p>
        </w:tc>
        <w:tc>
          <w:tcPr>
            <w:tcW w:w="1842" w:type="dxa"/>
            <w:shd w:val="clear" w:color="auto" w:fill="auto"/>
            <w:tcMar>
              <w:left w:w="28" w:type="dxa"/>
              <w:right w:w="28" w:type="dxa"/>
            </w:tcMar>
            <w:vAlign w:val="center"/>
          </w:tcPr>
          <w:p w14:paraId="25485EC0">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本项目排放量（固体废物产生量）</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4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④</w:t>
            </w:r>
            <w:r>
              <w:rPr>
                <w:rFonts w:hint="default" w:ascii="Times New Roman" w:hAnsi="Times New Roman" w:cs="Times New Roman"/>
                <w:color w:val="auto"/>
                <w:sz w:val="21"/>
                <w:szCs w:val="21"/>
              </w:rPr>
              <w:fldChar w:fldCharType="end"/>
            </w:r>
          </w:p>
        </w:tc>
        <w:tc>
          <w:tcPr>
            <w:tcW w:w="1560" w:type="dxa"/>
            <w:shd w:val="clear" w:color="auto" w:fill="auto"/>
            <w:tcMar>
              <w:left w:w="28" w:type="dxa"/>
              <w:right w:w="28" w:type="dxa"/>
            </w:tcMar>
            <w:vAlign w:val="center"/>
          </w:tcPr>
          <w:p w14:paraId="54A48991">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以新带老削减量（新建项目不填）</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5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⑤</w:t>
            </w:r>
            <w:r>
              <w:rPr>
                <w:rFonts w:hint="default" w:ascii="Times New Roman" w:hAnsi="Times New Roman" w:cs="Times New Roman"/>
                <w:color w:val="auto"/>
                <w:sz w:val="21"/>
                <w:szCs w:val="21"/>
              </w:rPr>
              <w:fldChar w:fldCharType="end"/>
            </w:r>
          </w:p>
        </w:tc>
        <w:tc>
          <w:tcPr>
            <w:tcW w:w="2126" w:type="dxa"/>
            <w:shd w:val="clear" w:color="auto" w:fill="auto"/>
            <w:tcMar>
              <w:left w:w="28" w:type="dxa"/>
              <w:right w:w="28" w:type="dxa"/>
            </w:tcMar>
            <w:vAlign w:val="center"/>
          </w:tcPr>
          <w:p w14:paraId="469B3464">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本项目建成后全厂排放量（固体废物产生量）</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6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⑥</w:t>
            </w:r>
            <w:r>
              <w:rPr>
                <w:rFonts w:hint="default" w:ascii="Times New Roman" w:hAnsi="Times New Roman" w:cs="Times New Roman"/>
                <w:color w:val="auto"/>
                <w:sz w:val="21"/>
                <w:szCs w:val="21"/>
              </w:rPr>
              <w:fldChar w:fldCharType="end"/>
            </w:r>
          </w:p>
        </w:tc>
        <w:tc>
          <w:tcPr>
            <w:tcW w:w="1569" w:type="dxa"/>
            <w:shd w:val="clear" w:color="auto" w:fill="auto"/>
            <w:tcMar>
              <w:left w:w="28" w:type="dxa"/>
              <w:right w:w="28" w:type="dxa"/>
            </w:tcMar>
            <w:vAlign w:val="center"/>
          </w:tcPr>
          <w:p w14:paraId="3A6C9A6B">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变化量</w:t>
            </w:r>
          </w:p>
          <w:p w14:paraId="223A3424">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7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⑦</w:t>
            </w:r>
            <w:r>
              <w:rPr>
                <w:rFonts w:hint="default" w:ascii="Times New Roman" w:hAnsi="Times New Roman" w:cs="Times New Roman"/>
                <w:color w:val="auto"/>
                <w:sz w:val="21"/>
                <w:szCs w:val="21"/>
              </w:rPr>
              <w:fldChar w:fldCharType="end"/>
            </w:r>
          </w:p>
        </w:tc>
      </w:tr>
      <w:tr w14:paraId="38FC3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shd w:val="clear" w:color="auto" w:fill="auto"/>
            <w:vAlign w:val="center"/>
          </w:tcPr>
          <w:p w14:paraId="7606DA64">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134" w:type="dxa"/>
            <w:shd w:val="clear" w:color="auto" w:fill="auto"/>
            <w:vAlign w:val="center"/>
          </w:tcPr>
          <w:p w14:paraId="1BC41F56">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560" w:type="dxa"/>
            <w:shd w:val="clear" w:color="auto" w:fill="auto"/>
            <w:vAlign w:val="center"/>
          </w:tcPr>
          <w:p w14:paraId="3D5C2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rPr>
              <w:t>-</w:t>
            </w:r>
          </w:p>
        </w:tc>
        <w:tc>
          <w:tcPr>
            <w:tcW w:w="1275" w:type="dxa"/>
            <w:shd w:val="clear" w:color="auto" w:fill="auto"/>
            <w:vAlign w:val="center"/>
          </w:tcPr>
          <w:p w14:paraId="7079D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00A86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1CBA6ECF">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cs="Times New Roman"/>
                <w:b w:val="0"/>
                <w:bCs w:val="0"/>
                <w:color w:val="auto"/>
                <w:sz w:val="21"/>
                <w:szCs w:val="21"/>
                <w:vertAlign w:val="baseline"/>
                <w:lang w:val="en-US" w:eastAsia="zh-CN"/>
              </w:rPr>
              <w:t>7.914</w:t>
            </w:r>
            <w:r>
              <w:rPr>
                <w:rFonts w:hint="default" w:ascii="Times New Roman" w:hAnsi="Times New Roman" w:eastAsia="宋体" w:cs="Times New Roman"/>
                <w:b w:val="0"/>
                <w:bCs w:val="0"/>
                <w:color w:val="auto"/>
                <w:sz w:val="21"/>
                <w:szCs w:val="21"/>
              </w:rPr>
              <w:t>t/a</w:t>
            </w:r>
          </w:p>
        </w:tc>
        <w:tc>
          <w:tcPr>
            <w:tcW w:w="1560" w:type="dxa"/>
            <w:shd w:val="clear" w:color="auto" w:fill="auto"/>
            <w:vAlign w:val="center"/>
          </w:tcPr>
          <w:p w14:paraId="30961617">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26" w:type="dxa"/>
            <w:shd w:val="clear" w:color="auto" w:fill="auto"/>
            <w:vAlign w:val="center"/>
          </w:tcPr>
          <w:p w14:paraId="7B60CF72">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eastAsia" w:cs="Times New Roman"/>
                <w:b w:val="0"/>
                <w:bCs w:val="0"/>
                <w:color w:val="auto"/>
                <w:sz w:val="21"/>
                <w:szCs w:val="21"/>
                <w:vertAlign w:val="baseline"/>
                <w:lang w:val="en-US" w:eastAsia="zh-CN"/>
              </w:rPr>
              <w:t>7.914</w:t>
            </w:r>
            <w:r>
              <w:rPr>
                <w:rFonts w:hint="default" w:ascii="Times New Roman" w:hAnsi="Times New Roman" w:eastAsia="宋体" w:cs="Times New Roman"/>
                <w:b w:val="0"/>
                <w:bCs w:val="0"/>
                <w:color w:val="auto"/>
                <w:sz w:val="21"/>
                <w:szCs w:val="21"/>
              </w:rPr>
              <w:t>t/a</w:t>
            </w:r>
          </w:p>
        </w:tc>
        <w:tc>
          <w:tcPr>
            <w:tcW w:w="1569" w:type="dxa"/>
            <w:shd w:val="clear" w:color="auto" w:fill="auto"/>
            <w:vAlign w:val="center"/>
          </w:tcPr>
          <w:p w14:paraId="4D170B71">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7.914</w:t>
            </w:r>
            <w:r>
              <w:rPr>
                <w:rFonts w:hint="default" w:ascii="Times New Roman" w:hAnsi="Times New Roman" w:eastAsia="宋体" w:cs="Times New Roman"/>
                <w:b w:val="0"/>
                <w:bCs w:val="0"/>
                <w:color w:val="auto"/>
                <w:sz w:val="21"/>
                <w:szCs w:val="21"/>
              </w:rPr>
              <w:t>t/a</w:t>
            </w:r>
          </w:p>
        </w:tc>
      </w:tr>
      <w:tr w14:paraId="00DD6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shd w:val="clear" w:color="auto" w:fill="auto"/>
            <w:vAlign w:val="center"/>
          </w:tcPr>
          <w:p w14:paraId="68FE78AC">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134" w:type="dxa"/>
            <w:shd w:val="clear" w:color="auto" w:fill="auto"/>
            <w:vAlign w:val="center"/>
          </w:tcPr>
          <w:p w14:paraId="6C09FD2F">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生活污水</w:t>
            </w:r>
          </w:p>
        </w:tc>
        <w:tc>
          <w:tcPr>
            <w:tcW w:w="1560" w:type="dxa"/>
            <w:shd w:val="clear" w:color="auto" w:fill="auto"/>
            <w:vAlign w:val="center"/>
          </w:tcPr>
          <w:p w14:paraId="7E758A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w:t>
            </w:r>
          </w:p>
        </w:tc>
        <w:tc>
          <w:tcPr>
            <w:tcW w:w="1275" w:type="dxa"/>
            <w:shd w:val="clear" w:color="auto" w:fill="auto"/>
            <w:vAlign w:val="center"/>
          </w:tcPr>
          <w:p w14:paraId="59FBE8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2B68B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1273D74C">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cs="Times New Roman"/>
                <w:color w:val="auto"/>
                <w:kern w:val="21"/>
                <w:sz w:val="21"/>
                <w:szCs w:val="21"/>
                <w:lang w:val="en-US" w:eastAsia="zh-CN" w:bidi="ar-SA"/>
              </w:rPr>
              <w:t>0</w:t>
            </w:r>
          </w:p>
        </w:tc>
        <w:tc>
          <w:tcPr>
            <w:tcW w:w="1560" w:type="dxa"/>
            <w:shd w:val="clear" w:color="auto" w:fill="auto"/>
            <w:vAlign w:val="center"/>
          </w:tcPr>
          <w:p w14:paraId="6AEE1844">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26" w:type="dxa"/>
            <w:shd w:val="clear" w:color="auto" w:fill="auto"/>
            <w:vAlign w:val="center"/>
          </w:tcPr>
          <w:p w14:paraId="0F939B9D">
            <w:pPr>
              <w:pStyle w:val="37"/>
              <w:keepNext w:val="0"/>
              <w:keepLines w:val="0"/>
              <w:widowControl/>
              <w:numPr>
                <w:ilvl w:val="0"/>
                <w:numId w:val="0"/>
              </w:num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cs="Times New Roman"/>
                <w:color w:val="auto"/>
                <w:kern w:val="21"/>
                <w:sz w:val="21"/>
                <w:szCs w:val="21"/>
                <w:lang w:val="en-US" w:eastAsia="zh-CN" w:bidi="ar-SA"/>
              </w:rPr>
              <w:t>0</w:t>
            </w:r>
          </w:p>
        </w:tc>
        <w:tc>
          <w:tcPr>
            <w:tcW w:w="1569" w:type="dxa"/>
            <w:shd w:val="clear" w:color="auto" w:fill="auto"/>
            <w:vAlign w:val="center"/>
          </w:tcPr>
          <w:p w14:paraId="69B545B3">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14:paraId="03E6E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shd w:val="clear" w:color="auto" w:fill="auto"/>
            <w:vAlign w:val="center"/>
          </w:tcPr>
          <w:p w14:paraId="5947AC9E">
            <w:pPr>
              <w:pStyle w:val="42"/>
              <w:bidi w:val="0"/>
              <w:rPr>
                <w:rFonts w:hint="default" w:ascii="Times New Roman" w:hAnsi="Times New Roman" w:cs="Times New Roman"/>
                <w:color w:val="auto"/>
                <w:sz w:val="21"/>
                <w:szCs w:val="21"/>
              </w:rPr>
            </w:pPr>
          </w:p>
        </w:tc>
        <w:tc>
          <w:tcPr>
            <w:tcW w:w="1134" w:type="dxa"/>
            <w:shd w:val="clear" w:color="auto" w:fill="auto"/>
            <w:vAlign w:val="center"/>
          </w:tcPr>
          <w:p w14:paraId="6B9AE312">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初期雨水</w:t>
            </w:r>
          </w:p>
        </w:tc>
        <w:tc>
          <w:tcPr>
            <w:tcW w:w="1560" w:type="dxa"/>
            <w:shd w:val="clear" w:color="auto" w:fill="auto"/>
            <w:vAlign w:val="center"/>
          </w:tcPr>
          <w:p w14:paraId="4414C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w:t>
            </w:r>
          </w:p>
        </w:tc>
        <w:tc>
          <w:tcPr>
            <w:tcW w:w="1275" w:type="dxa"/>
            <w:shd w:val="clear" w:color="auto" w:fill="auto"/>
            <w:vAlign w:val="center"/>
          </w:tcPr>
          <w:p w14:paraId="52F44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5845D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0CC74FF8">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60" w:type="dxa"/>
            <w:shd w:val="clear" w:color="auto" w:fill="auto"/>
            <w:vAlign w:val="center"/>
          </w:tcPr>
          <w:p w14:paraId="2C4C2A16">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26" w:type="dxa"/>
            <w:shd w:val="clear" w:color="auto" w:fill="auto"/>
            <w:vAlign w:val="center"/>
          </w:tcPr>
          <w:p w14:paraId="3DAE7BBB">
            <w:pPr>
              <w:pStyle w:val="42"/>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color w:val="auto"/>
                <w:sz w:val="21"/>
                <w:szCs w:val="21"/>
              </w:rPr>
              <w:t>0</w:t>
            </w:r>
          </w:p>
        </w:tc>
        <w:tc>
          <w:tcPr>
            <w:tcW w:w="1569" w:type="dxa"/>
            <w:shd w:val="clear" w:color="auto" w:fill="auto"/>
            <w:vAlign w:val="center"/>
          </w:tcPr>
          <w:p w14:paraId="028321CB">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14:paraId="29E55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shd w:val="clear" w:color="auto" w:fill="auto"/>
            <w:vAlign w:val="center"/>
          </w:tcPr>
          <w:p w14:paraId="3B4EE58C">
            <w:pPr>
              <w:pStyle w:val="42"/>
              <w:bidi w:val="0"/>
              <w:rPr>
                <w:rFonts w:hint="default" w:ascii="Times New Roman" w:hAnsi="Times New Roman" w:cs="Times New Roman"/>
                <w:color w:val="auto"/>
                <w:sz w:val="21"/>
                <w:szCs w:val="21"/>
              </w:rPr>
            </w:pPr>
          </w:p>
        </w:tc>
        <w:tc>
          <w:tcPr>
            <w:tcW w:w="1134" w:type="dxa"/>
            <w:shd w:val="clear" w:color="auto" w:fill="auto"/>
            <w:vAlign w:val="center"/>
          </w:tcPr>
          <w:p w14:paraId="7E34FE8B">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洗砂废水</w:t>
            </w:r>
          </w:p>
        </w:tc>
        <w:tc>
          <w:tcPr>
            <w:tcW w:w="1560" w:type="dxa"/>
            <w:shd w:val="clear" w:color="auto" w:fill="auto"/>
            <w:vAlign w:val="center"/>
          </w:tcPr>
          <w:p w14:paraId="574A1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w:t>
            </w:r>
          </w:p>
        </w:tc>
        <w:tc>
          <w:tcPr>
            <w:tcW w:w="1275" w:type="dxa"/>
            <w:shd w:val="clear" w:color="auto" w:fill="auto"/>
            <w:vAlign w:val="center"/>
          </w:tcPr>
          <w:p w14:paraId="1E07F9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2EAC1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415A12F7">
            <w:pPr>
              <w:pStyle w:val="42"/>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560" w:type="dxa"/>
            <w:shd w:val="clear" w:color="auto" w:fill="auto"/>
            <w:vAlign w:val="center"/>
          </w:tcPr>
          <w:p w14:paraId="54EFA862">
            <w:pPr>
              <w:pStyle w:val="42"/>
              <w:bidi w:val="0"/>
              <w:rPr>
                <w:rFonts w:hint="default" w:ascii="Times New Roman" w:hAnsi="Times New Roman" w:cs="Times New Roman"/>
                <w:color w:val="auto"/>
                <w:sz w:val="21"/>
                <w:szCs w:val="21"/>
              </w:rPr>
            </w:pPr>
          </w:p>
        </w:tc>
        <w:tc>
          <w:tcPr>
            <w:tcW w:w="2126" w:type="dxa"/>
            <w:shd w:val="clear" w:color="auto" w:fill="auto"/>
            <w:vAlign w:val="center"/>
          </w:tcPr>
          <w:p w14:paraId="2AD4F419">
            <w:pPr>
              <w:pStyle w:val="42"/>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color w:val="auto"/>
                <w:sz w:val="21"/>
                <w:szCs w:val="21"/>
                <w:lang w:val="en-US" w:eastAsia="zh-CN"/>
              </w:rPr>
              <w:t>0</w:t>
            </w:r>
          </w:p>
        </w:tc>
        <w:tc>
          <w:tcPr>
            <w:tcW w:w="1569" w:type="dxa"/>
            <w:shd w:val="clear" w:color="auto" w:fill="auto"/>
            <w:vAlign w:val="center"/>
          </w:tcPr>
          <w:p w14:paraId="1687931E">
            <w:pPr>
              <w:pStyle w:val="42"/>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1ECDB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shd w:val="clear" w:color="auto" w:fill="auto"/>
            <w:vAlign w:val="center"/>
          </w:tcPr>
          <w:p w14:paraId="6051E01D">
            <w:pPr>
              <w:pStyle w:val="42"/>
              <w:bidi w:val="0"/>
              <w:rPr>
                <w:rFonts w:hint="default" w:ascii="Times New Roman" w:hAnsi="Times New Roman" w:cs="Times New Roman"/>
                <w:color w:val="auto"/>
                <w:sz w:val="21"/>
                <w:szCs w:val="21"/>
              </w:rPr>
            </w:pPr>
          </w:p>
        </w:tc>
        <w:tc>
          <w:tcPr>
            <w:tcW w:w="1134" w:type="dxa"/>
            <w:shd w:val="clear" w:color="auto" w:fill="auto"/>
            <w:vAlign w:val="center"/>
          </w:tcPr>
          <w:p w14:paraId="3A54AFCF">
            <w:pPr>
              <w:pStyle w:val="8"/>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车辆冲洗水</w:t>
            </w:r>
          </w:p>
        </w:tc>
        <w:tc>
          <w:tcPr>
            <w:tcW w:w="1560" w:type="dxa"/>
            <w:shd w:val="clear" w:color="auto" w:fill="auto"/>
            <w:vAlign w:val="center"/>
          </w:tcPr>
          <w:p w14:paraId="30BC2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w:t>
            </w:r>
          </w:p>
        </w:tc>
        <w:tc>
          <w:tcPr>
            <w:tcW w:w="1275" w:type="dxa"/>
            <w:shd w:val="clear" w:color="auto" w:fill="auto"/>
            <w:vAlign w:val="center"/>
          </w:tcPr>
          <w:p w14:paraId="406794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7B7994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7C27F04D">
            <w:pPr>
              <w:pStyle w:val="42"/>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560" w:type="dxa"/>
            <w:shd w:val="clear" w:color="auto" w:fill="auto"/>
            <w:vAlign w:val="center"/>
          </w:tcPr>
          <w:p w14:paraId="19AB2368">
            <w:pPr>
              <w:pStyle w:val="42"/>
              <w:bidi w:val="0"/>
              <w:rPr>
                <w:rFonts w:hint="default" w:ascii="Times New Roman" w:hAnsi="Times New Roman" w:cs="Times New Roman"/>
                <w:color w:val="auto"/>
                <w:sz w:val="21"/>
                <w:szCs w:val="21"/>
              </w:rPr>
            </w:pPr>
          </w:p>
        </w:tc>
        <w:tc>
          <w:tcPr>
            <w:tcW w:w="2126" w:type="dxa"/>
            <w:shd w:val="clear" w:color="auto" w:fill="auto"/>
            <w:vAlign w:val="center"/>
          </w:tcPr>
          <w:p w14:paraId="661C5C5F">
            <w:pPr>
              <w:pStyle w:val="42"/>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color w:val="auto"/>
                <w:sz w:val="21"/>
                <w:szCs w:val="21"/>
                <w:lang w:val="en-US" w:eastAsia="zh-CN"/>
              </w:rPr>
              <w:t>0</w:t>
            </w:r>
          </w:p>
        </w:tc>
        <w:tc>
          <w:tcPr>
            <w:tcW w:w="1569" w:type="dxa"/>
            <w:shd w:val="clear" w:color="auto" w:fill="auto"/>
            <w:vAlign w:val="center"/>
          </w:tcPr>
          <w:p w14:paraId="42A71871">
            <w:pPr>
              <w:pStyle w:val="42"/>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541FC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shd w:val="clear" w:color="auto" w:fill="auto"/>
            <w:vAlign w:val="center"/>
          </w:tcPr>
          <w:p w14:paraId="2FD7946E">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w:t>
            </w:r>
          </w:p>
          <w:p w14:paraId="07B25DF5">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1134" w:type="dxa"/>
            <w:shd w:val="clear" w:color="auto" w:fill="auto"/>
            <w:vAlign w:val="center"/>
          </w:tcPr>
          <w:p w14:paraId="4618A21B">
            <w:pPr>
              <w:pStyle w:val="42"/>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生活垃圾</w:t>
            </w:r>
          </w:p>
        </w:tc>
        <w:tc>
          <w:tcPr>
            <w:tcW w:w="1560" w:type="dxa"/>
            <w:shd w:val="clear" w:color="auto" w:fill="auto"/>
            <w:vAlign w:val="center"/>
          </w:tcPr>
          <w:p w14:paraId="5C79DE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w:t>
            </w:r>
          </w:p>
        </w:tc>
        <w:tc>
          <w:tcPr>
            <w:tcW w:w="1275" w:type="dxa"/>
            <w:shd w:val="clear" w:color="auto" w:fill="auto"/>
            <w:vAlign w:val="center"/>
          </w:tcPr>
          <w:p w14:paraId="24F70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4920C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0F50909D">
            <w:pPr>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3.</w:t>
            </w:r>
            <w:r>
              <w:rPr>
                <w:rFonts w:hint="eastAsia"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t/a</w:t>
            </w:r>
          </w:p>
        </w:tc>
        <w:tc>
          <w:tcPr>
            <w:tcW w:w="1560" w:type="dxa"/>
            <w:shd w:val="clear" w:color="auto" w:fill="auto"/>
            <w:vAlign w:val="center"/>
          </w:tcPr>
          <w:p w14:paraId="435FE859">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26" w:type="dxa"/>
            <w:shd w:val="clear" w:color="auto" w:fill="auto"/>
            <w:vAlign w:val="center"/>
          </w:tcPr>
          <w:p w14:paraId="4D9ABD07">
            <w:p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vertAlign w:val="baseline"/>
                <w:lang w:val="en-US" w:eastAsia="zh-CN"/>
              </w:rPr>
              <w:t>3.</w:t>
            </w:r>
            <w:r>
              <w:rPr>
                <w:rFonts w:hint="eastAsia"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t/a</w:t>
            </w:r>
          </w:p>
        </w:tc>
        <w:tc>
          <w:tcPr>
            <w:tcW w:w="1569" w:type="dxa"/>
            <w:shd w:val="clear" w:color="auto" w:fill="auto"/>
            <w:vAlign w:val="center"/>
          </w:tcPr>
          <w:p w14:paraId="7B52E595">
            <w:p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3.</w:t>
            </w:r>
            <w:r>
              <w:rPr>
                <w:rFonts w:hint="eastAsia"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t/a</w:t>
            </w:r>
          </w:p>
        </w:tc>
      </w:tr>
      <w:tr w14:paraId="69EBF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shd w:val="clear" w:color="auto" w:fill="auto"/>
            <w:vAlign w:val="center"/>
          </w:tcPr>
          <w:p w14:paraId="0FBE2009">
            <w:pPr>
              <w:pStyle w:val="42"/>
              <w:bidi w:val="0"/>
              <w:rPr>
                <w:rFonts w:hint="default" w:ascii="Times New Roman" w:hAnsi="Times New Roman" w:cs="Times New Roman"/>
                <w:color w:val="auto"/>
                <w:sz w:val="21"/>
                <w:szCs w:val="21"/>
              </w:rPr>
            </w:pPr>
          </w:p>
        </w:tc>
        <w:tc>
          <w:tcPr>
            <w:tcW w:w="1134" w:type="dxa"/>
            <w:shd w:val="clear" w:color="auto" w:fill="auto"/>
            <w:vAlign w:val="center"/>
          </w:tcPr>
          <w:p w14:paraId="4F68E314">
            <w:pPr>
              <w:pStyle w:val="42"/>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洗砂底泥和</w:t>
            </w:r>
            <w:r>
              <w:rPr>
                <w:rFonts w:hint="default" w:ascii="Times New Roman" w:hAnsi="Times New Roman" w:cs="Times New Roman"/>
                <w:color w:val="auto"/>
                <w:sz w:val="21"/>
                <w:szCs w:val="21"/>
                <w:lang w:val="en-US" w:eastAsia="zh-CN"/>
              </w:rPr>
              <w:t>沉淀池底泥</w:t>
            </w:r>
          </w:p>
        </w:tc>
        <w:tc>
          <w:tcPr>
            <w:tcW w:w="1560" w:type="dxa"/>
            <w:shd w:val="clear" w:color="auto" w:fill="auto"/>
            <w:vAlign w:val="center"/>
          </w:tcPr>
          <w:p w14:paraId="5C2D31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w:t>
            </w:r>
          </w:p>
        </w:tc>
        <w:tc>
          <w:tcPr>
            <w:tcW w:w="1275" w:type="dxa"/>
            <w:shd w:val="clear" w:color="auto" w:fill="auto"/>
            <w:vAlign w:val="center"/>
          </w:tcPr>
          <w:p w14:paraId="000D5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322C6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0C66A5DB">
            <w:pPr>
              <w:spacing w:line="240" w:lineRule="auto"/>
              <w:ind w:left="0" w:leftChars="0" w:firstLine="0" w:firstLineChars="0"/>
              <w:jc w:val="center"/>
              <w:rPr>
                <w:rFonts w:hint="default" w:ascii="Times New Roman" w:hAnsi="Times New Roman" w:cs="Times New Roman"/>
                <w:color w:val="auto"/>
                <w:sz w:val="21"/>
                <w:szCs w:val="21"/>
                <w:lang w:val="en-US"/>
              </w:rPr>
            </w:pPr>
            <w:r>
              <w:rPr>
                <w:rFonts w:hint="eastAsia" w:cs="Times New Roman"/>
                <w:color w:val="auto"/>
                <w:sz w:val="21"/>
                <w:szCs w:val="21"/>
                <w:vertAlign w:val="baseline"/>
                <w:lang w:val="en-US" w:eastAsia="zh-CN"/>
              </w:rPr>
              <w:t>23676.526t/a（含水率40%）</w:t>
            </w:r>
          </w:p>
        </w:tc>
        <w:tc>
          <w:tcPr>
            <w:tcW w:w="1560" w:type="dxa"/>
            <w:shd w:val="clear" w:color="auto" w:fill="auto"/>
            <w:vAlign w:val="center"/>
          </w:tcPr>
          <w:p w14:paraId="211C877C">
            <w:pPr>
              <w:pStyle w:val="42"/>
              <w:bidi w:val="0"/>
              <w:rPr>
                <w:rFonts w:hint="default" w:ascii="Times New Roman" w:hAnsi="Times New Roman" w:cs="Times New Roman"/>
                <w:color w:val="auto"/>
                <w:sz w:val="21"/>
                <w:szCs w:val="21"/>
              </w:rPr>
            </w:pPr>
          </w:p>
        </w:tc>
        <w:tc>
          <w:tcPr>
            <w:tcW w:w="2126" w:type="dxa"/>
            <w:shd w:val="clear" w:color="auto" w:fill="auto"/>
            <w:vAlign w:val="center"/>
          </w:tcPr>
          <w:p w14:paraId="7514935E">
            <w:p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vertAlign w:val="baseline"/>
                <w:lang w:val="en-US" w:eastAsia="zh-CN"/>
              </w:rPr>
              <w:t>23676.526t/a（含水率40%）</w:t>
            </w:r>
          </w:p>
        </w:tc>
        <w:tc>
          <w:tcPr>
            <w:tcW w:w="1569" w:type="dxa"/>
            <w:shd w:val="clear" w:color="auto" w:fill="auto"/>
            <w:vAlign w:val="center"/>
          </w:tcPr>
          <w:p w14:paraId="12D914ED">
            <w:p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23676.526</w:t>
            </w:r>
            <w:r>
              <w:rPr>
                <w:rFonts w:hint="default" w:ascii="Times New Roman" w:hAnsi="Times New Roman" w:cs="Times New Roman"/>
                <w:color w:val="auto"/>
                <w:sz w:val="21"/>
                <w:szCs w:val="21"/>
                <w:vertAlign w:val="baseline"/>
                <w:lang w:val="en-US" w:eastAsia="zh-CN"/>
              </w:rPr>
              <w:t>t/a</w:t>
            </w:r>
            <w:r>
              <w:rPr>
                <w:rFonts w:hint="eastAsia" w:cs="Times New Roman"/>
                <w:color w:val="auto"/>
                <w:sz w:val="21"/>
                <w:szCs w:val="21"/>
                <w:vertAlign w:val="baseline"/>
                <w:lang w:val="en-US" w:eastAsia="zh-CN"/>
              </w:rPr>
              <w:t>（含水率40%）</w:t>
            </w:r>
          </w:p>
        </w:tc>
      </w:tr>
      <w:tr w14:paraId="4CF9F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shd w:val="clear" w:color="auto" w:fill="auto"/>
            <w:vAlign w:val="center"/>
          </w:tcPr>
          <w:p w14:paraId="25D47CC4">
            <w:pPr>
              <w:pStyle w:val="42"/>
              <w:bidi w:val="0"/>
              <w:rPr>
                <w:rFonts w:hint="default" w:ascii="Times New Roman" w:hAnsi="Times New Roman" w:cs="Times New Roman"/>
                <w:color w:val="auto"/>
                <w:sz w:val="21"/>
                <w:szCs w:val="21"/>
              </w:rPr>
            </w:pPr>
          </w:p>
        </w:tc>
        <w:tc>
          <w:tcPr>
            <w:tcW w:w="1134" w:type="dxa"/>
            <w:shd w:val="clear" w:color="auto" w:fill="auto"/>
            <w:vAlign w:val="center"/>
          </w:tcPr>
          <w:p w14:paraId="7499A445">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化粪池污泥</w:t>
            </w:r>
          </w:p>
        </w:tc>
        <w:tc>
          <w:tcPr>
            <w:tcW w:w="1560" w:type="dxa"/>
            <w:shd w:val="clear" w:color="auto" w:fill="auto"/>
            <w:vAlign w:val="center"/>
          </w:tcPr>
          <w:p w14:paraId="3D8528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yellow"/>
                <w:vertAlign w:val="baseline"/>
                <w:lang w:val="en-US" w:eastAsia="zh-CN"/>
              </w:rPr>
            </w:pPr>
            <w:r>
              <w:rPr>
                <w:rFonts w:hint="default" w:ascii="Times New Roman" w:hAnsi="Times New Roman" w:cs="Times New Roman"/>
                <w:color w:val="auto"/>
                <w:sz w:val="21"/>
                <w:szCs w:val="21"/>
              </w:rPr>
              <w:t>-</w:t>
            </w:r>
          </w:p>
        </w:tc>
        <w:tc>
          <w:tcPr>
            <w:tcW w:w="1275" w:type="dxa"/>
            <w:shd w:val="clear" w:color="auto" w:fill="auto"/>
            <w:vAlign w:val="center"/>
          </w:tcPr>
          <w:p w14:paraId="56F6C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074F3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1AEE07E4">
            <w:p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0.864</w:t>
            </w:r>
            <w:r>
              <w:rPr>
                <w:rFonts w:hint="eastAsia" w:cs="Times New Roman"/>
                <w:color w:val="auto"/>
                <w:sz w:val="21"/>
                <w:szCs w:val="21"/>
                <w:lang w:val="en-US" w:eastAsia="zh-CN"/>
              </w:rPr>
              <w:t>t/a</w:t>
            </w:r>
          </w:p>
        </w:tc>
        <w:tc>
          <w:tcPr>
            <w:tcW w:w="1560" w:type="dxa"/>
            <w:shd w:val="clear" w:color="auto" w:fill="auto"/>
            <w:vAlign w:val="center"/>
          </w:tcPr>
          <w:p w14:paraId="211B7885">
            <w:pPr>
              <w:pStyle w:val="42"/>
              <w:bidi w:val="0"/>
              <w:rPr>
                <w:rFonts w:hint="default" w:ascii="Times New Roman" w:hAnsi="Times New Roman" w:cs="Times New Roman"/>
                <w:color w:val="auto"/>
                <w:sz w:val="21"/>
                <w:szCs w:val="21"/>
              </w:rPr>
            </w:pPr>
          </w:p>
        </w:tc>
        <w:tc>
          <w:tcPr>
            <w:tcW w:w="2126" w:type="dxa"/>
            <w:shd w:val="clear" w:color="auto" w:fill="auto"/>
            <w:vAlign w:val="center"/>
          </w:tcPr>
          <w:p w14:paraId="1F8DF12E">
            <w:pPr>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0.864</w:t>
            </w:r>
            <w:r>
              <w:rPr>
                <w:rFonts w:hint="eastAsia" w:cs="Times New Roman"/>
                <w:color w:val="auto"/>
                <w:sz w:val="21"/>
                <w:szCs w:val="21"/>
                <w:lang w:val="en-US" w:eastAsia="zh-CN"/>
              </w:rPr>
              <w:t>t/a</w:t>
            </w:r>
          </w:p>
        </w:tc>
        <w:tc>
          <w:tcPr>
            <w:tcW w:w="1569" w:type="dxa"/>
            <w:shd w:val="clear" w:color="auto" w:fill="auto"/>
            <w:vAlign w:val="center"/>
          </w:tcPr>
          <w:p w14:paraId="4F80B3D7">
            <w:p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0.864</w:t>
            </w:r>
            <w:r>
              <w:rPr>
                <w:rFonts w:hint="eastAsia" w:cs="Times New Roman"/>
                <w:color w:val="auto"/>
                <w:sz w:val="21"/>
                <w:szCs w:val="21"/>
                <w:lang w:val="en-US" w:eastAsia="zh-CN"/>
              </w:rPr>
              <w:t>t/a</w:t>
            </w:r>
          </w:p>
        </w:tc>
      </w:tr>
      <w:tr w14:paraId="0C148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shd w:val="clear" w:color="auto" w:fill="auto"/>
            <w:vAlign w:val="center"/>
          </w:tcPr>
          <w:p w14:paraId="76C3E2A4">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134" w:type="dxa"/>
            <w:shd w:val="clear" w:color="auto" w:fill="auto"/>
            <w:vAlign w:val="center"/>
          </w:tcPr>
          <w:p w14:paraId="57AA2B5B">
            <w:pPr>
              <w:pStyle w:val="42"/>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废润滑油</w:t>
            </w:r>
          </w:p>
        </w:tc>
        <w:tc>
          <w:tcPr>
            <w:tcW w:w="1560" w:type="dxa"/>
            <w:shd w:val="clear" w:color="auto" w:fill="auto"/>
            <w:vAlign w:val="center"/>
          </w:tcPr>
          <w:p w14:paraId="59ADB4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rPr>
              <w:t>-</w:t>
            </w:r>
          </w:p>
        </w:tc>
        <w:tc>
          <w:tcPr>
            <w:tcW w:w="1275" w:type="dxa"/>
            <w:shd w:val="clear" w:color="auto" w:fill="auto"/>
            <w:vAlign w:val="center"/>
          </w:tcPr>
          <w:p w14:paraId="0ACC10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19B3F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30873B7F">
            <w:pPr>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0.031t/a</w:t>
            </w:r>
          </w:p>
        </w:tc>
        <w:tc>
          <w:tcPr>
            <w:tcW w:w="1560" w:type="dxa"/>
            <w:shd w:val="clear" w:color="auto" w:fill="auto"/>
            <w:vAlign w:val="center"/>
          </w:tcPr>
          <w:p w14:paraId="0AAA4C22">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26" w:type="dxa"/>
            <w:shd w:val="clear" w:color="auto" w:fill="auto"/>
            <w:vAlign w:val="center"/>
          </w:tcPr>
          <w:p w14:paraId="70D50639">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0.031t/a</w:t>
            </w:r>
          </w:p>
        </w:tc>
        <w:tc>
          <w:tcPr>
            <w:tcW w:w="1569" w:type="dxa"/>
            <w:shd w:val="clear" w:color="auto" w:fill="auto"/>
            <w:vAlign w:val="center"/>
          </w:tcPr>
          <w:p w14:paraId="53A620B9">
            <w:p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vertAlign w:val="baseline"/>
                <w:lang w:val="en-US" w:eastAsia="zh-CN"/>
              </w:rPr>
              <w:t>+</w:t>
            </w:r>
            <w:r>
              <w:rPr>
                <w:rFonts w:hint="eastAsia" w:cs="Times New Roman"/>
                <w:color w:val="auto"/>
                <w:sz w:val="21"/>
                <w:szCs w:val="21"/>
                <w:lang w:val="en-US" w:eastAsia="zh-CN"/>
              </w:rPr>
              <w:t>0.031t/a</w:t>
            </w:r>
          </w:p>
        </w:tc>
      </w:tr>
      <w:tr w14:paraId="5859F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shd w:val="clear" w:color="auto" w:fill="auto"/>
            <w:vAlign w:val="center"/>
          </w:tcPr>
          <w:p w14:paraId="006A2595">
            <w:pPr>
              <w:pStyle w:val="42"/>
              <w:bidi w:val="0"/>
              <w:rPr>
                <w:rFonts w:hint="default" w:ascii="Times New Roman" w:hAnsi="Times New Roman" w:cs="Times New Roman"/>
                <w:color w:val="auto"/>
                <w:sz w:val="21"/>
                <w:szCs w:val="21"/>
              </w:rPr>
            </w:pPr>
          </w:p>
        </w:tc>
        <w:tc>
          <w:tcPr>
            <w:tcW w:w="1134" w:type="dxa"/>
            <w:shd w:val="clear" w:color="auto" w:fill="auto"/>
            <w:vAlign w:val="center"/>
          </w:tcPr>
          <w:p w14:paraId="2392001E">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废润滑油桶</w:t>
            </w:r>
          </w:p>
        </w:tc>
        <w:tc>
          <w:tcPr>
            <w:tcW w:w="1560" w:type="dxa"/>
            <w:shd w:val="clear" w:color="auto" w:fill="auto"/>
            <w:vAlign w:val="center"/>
          </w:tcPr>
          <w:p w14:paraId="358875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yellow"/>
                <w:lang w:val="en-US" w:eastAsia="zh-CN"/>
              </w:rPr>
            </w:pPr>
            <w:r>
              <w:rPr>
                <w:rFonts w:hint="default" w:ascii="Times New Roman" w:hAnsi="Times New Roman" w:cs="Times New Roman"/>
                <w:color w:val="auto"/>
                <w:sz w:val="21"/>
                <w:szCs w:val="21"/>
              </w:rPr>
              <w:t>-</w:t>
            </w:r>
          </w:p>
        </w:tc>
        <w:tc>
          <w:tcPr>
            <w:tcW w:w="1275" w:type="dxa"/>
            <w:shd w:val="clear" w:color="auto" w:fill="auto"/>
            <w:vAlign w:val="center"/>
          </w:tcPr>
          <w:p w14:paraId="57ED6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0" w:type="dxa"/>
            <w:shd w:val="clear" w:color="auto" w:fill="auto"/>
            <w:vAlign w:val="center"/>
          </w:tcPr>
          <w:p w14:paraId="51527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42" w:type="dxa"/>
            <w:shd w:val="clear" w:color="auto" w:fill="auto"/>
            <w:vAlign w:val="center"/>
          </w:tcPr>
          <w:p w14:paraId="0667C4C6">
            <w:p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0.005t/a</w:t>
            </w:r>
          </w:p>
        </w:tc>
        <w:tc>
          <w:tcPr>
            <w:tcW w:w="1560" w:type="dxa"/>
            <w:shd w:val="clear" w:color="auto" w:fill="auto"/>
            <w:vAlign w:val="center"/>
          </w:tcPr>
          <w:p w14:paraId="3BA14798">
            <w:pPr>
              <w:pStyle w:val="42"/>
              <w:bidi w:val="0"/>
              <w:rPr>
                <w:rFonts w:hint="default" w:ascii="Times New Roman" w:hAnsi="Times New Roman" w:cs="Times New Roman"/>
                <w:color w:val="auto"/>
                <w:sz w:val="21"/>
                <w:szCs w:val="21"/>
              </w:rPr>
            </w:pPr>
          </w:p>
        </w:tc>
        <w:tc>
          <w:tcPr>
            <w:tcW w:w="2126" w:type="dxa"/>
            <w:shd w:val="clear" w:color="auto" w:fill="auto"/>
            <w:vAlign w:val="center"/>
          </w:tcPr>
          <w:p w14:paraId="52158F9A">
            <w:pPr>
              <w:spacing w:line="240"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0.005t/a</w:t>
            </w:r>
          </w:p>
        </w:tc>
        <w:tc>
          <w:tcPr>
            <w:tcW w:w="1569" w:type="dxa"/>
            <w:shd w:val="clear" w:color="auto" w:fill="auto"/>
            <w:vAlign w:val="center"/>
          </w:tcPr>
          <w:p w14:paraId="70F9CA75">
            <w:p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vertAlign w:val="baseline"/>
                <w:lang w:val="en-US" w:eastAsia="zh-CN"/>
              </w:rPr>
              <w:t>+</w:t>
            </w:r>
            <w:r>
              <w:rPr>
                <w:rFonts w:hint="eastAsia" w:cs="Times New Roman"/>
                <w:color w:val="auto"/>
                <w:sz w:val="21"/>
                <w:szCs w:val="21"/>
                <w:lang w:val="en-US" w:eastAsia="zh-CN"/>
              </w:rPr>
              <w:t>0.005t/a</w:t>
            </w:r>
          </w:p>
        </w:tc>
      </w:tr>
    </w:tbl>
    <w:p w14:paraId="49948E95">
      <w:pPr>
        <w:pStyle w:val="38"/>
        <w:ind w:firstLine="482"/>
        <w:rPr>
          <w:rFonts w:hint="default" w:ascii="Times New Roman" w:hAnsi="Times New Roman" w:cs="Times New Roman"/>
          <w:b w:val="0"/>
          <w:color w:val="auto"/>
          <w:sz w:val="32"/>
          <w:szCs w:val="32"/>
        </w:rPr>
      </w:pPr>
      <w:r>
        <w:rPr>
          <w:rFonts w:hint="default" w:ascii="Times New Roman" w:hAnsi="Times New Roman" w:cs="Times New Roman"/>
          <w:color w:val="auto"/>
        </w:rPr>
        <w:t>注：</w:t>
      </w:r>
      <w:r>
        <w:rPr>
          <w:rFonts w:hint="default" w:ascii="Times New Roman" w:hAnsi="Times New Roman" w:cs="Times New Roman"/>
          <w:snapToGrid w:val="0"/>
          <w:color w:val="auto"/>
          <w:spacing w:val="-16"/>
        </w:rPr>
        <w:fldChar w:fldCharType="begin"/>
      </w:r>
      <w:r>
        <w:rPr>
          <w:rFonts w:hint="default" w:ascii="Times New Roman" w:hAnsi="Times New Roman" w:cs="Times New Roman"/>
          <w:snapToGrid w:val="0"/>
          <w:color w:val="auto"/>
          <w:spacing w:val="-16"/>
        </w:rPr>
        <w:instrText xml:space="preserve"> = 6 \* GB3 \* MERGEFORMAT </w:instrText>
      </w:r>
      <w:r>
        <w:rPr>
          <w:rFonts w:hint="default" w:ascii="Times New Roman" w:hAnsi="Times New Roman" w:cs="Times New Roman"/>
          <w:snapToGrid w:val="0"/>
          <w:color w:val="auto"/>
          <w:spacing w:val="-16"/>
        </w:rPr>
        <w:fldChar w:fldCharType="separate"/>
      </w:r>
      <w:r>
        <w:rPr>
          <w:rFonts w:hint="default" w:ascii="Times New Roman" w:hAnsi="Times New Roman" w:cs="Times New Roman"/>
          <w:color w:val="auto"/>
        </w:rPr>
        <w:t>⑥</w:t>
      </w:r>
      <w:r>
        <w:rPr>
          <w:rFonts w:hint="default" w:ascii="Times New Roman" w:hAnsi="Times New Roman" w:cs="Times New Roman"/>
          <w:snapToGrid w:val="0"/>
          <w:color w:val="auto"/>
          <w:spacing w:val="-16"/>
        </w:rPr>
        <w:fldChar w:fldCharType="end"/>
      </w:r>
      <w:r>
        <w:rPr>
          <w:rFonts w:hint="default" w:ascii="Times New Roman" w:hAnsi="Times New Roman" w:cs="Times New Roman"/>
          <w:color w:val="auto"/>
        </w:rPr>
        <w:t>=</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1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①</w:t>
      </w:r>
      <w:r>
        <w:rPr>
          <w:rFonts w:hint="default" w:ascii="Times New Roman" w:hAnsi="Times New Roman" w:cs="Times New Roman"/>
          <w:snapToGrid w:val="0"/>
          <w:color w:val="auto"/>
        </w:rPr>
        <w:fldChar w:fldCharType="end"/>
      </w:r>
      <w:r>
        <w:rPr>
          <w:rFonts w:hint="default" w:ascii="Times New Roman" w:hAnsi="Times New Roman" w:cs="Times New Roman"/>
          <w:snapToGrid w:val="0"/>
          <w:color w:val="auto"/>
        </w:rPr>
        <w:t>+</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3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③</w:t>
      </w:r>
      <w:r>
        <w:rPr>
          <w:rFonts w:hint="default" w:ascii="Times New Roman" w:hAnsi="Times New Roman" w:cs="Times New Roman"/>
          <w:snapToGrid w:val="0"/>
          <w:color w:val="auto"/>
        </w:rPr>
        <w:fldChar w:fldCharType="end"/>
      </w:r>
      <w:r>
        <w:rPr>
          <w:rFonts w:hint="default" w:ascii="Times New Roman" w:hAnsi="Times New Roman" w:cs="Times New Roman"/>
          <w:snapToGrid w:val="0"/>
          <w:color w:val="auto"/>
        </w:rPr>
        <w:t>+</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4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④</w:t>
      </w:r>
      <w:r>
        <w:rPr>
          <w:rFonts w:hint="default" w:ascii="Times New Roman" w:hAnsi="Times New Roman" w:cs="Times New Roman"/>
          <w:snapToGrid w:val="0"/>
          <w:color w:val="auto"/>
        </w:rPr>
        <w:fldChar w:fldCharType="end"/>
      </w:r>
      <w:r>
        <w:rPr>
          <w:rFonts w:hint="default" w:ascii="Times New Roman" w:hAnsi="Times New Roman" w:cs="Times New Roman"/>
          <w:snapToGrid w:val="0"/>
          <w:color w:val="auto"/>
        </w:rPr>
        <w:t>-</w:t>
      </w:r>
      <w:r>
        <w:rPr>
          <w:rFonts w:hint="default" w:ascii="Times New Roman" w:hAnsi="Times New Roman" w:cs="Times New Roman"/>
          <w:snapToGrid w:val="0"/>
          <w:color w:val="auto"/>
          <w:spacing w:val="-16"/>
        </w:rPr>
        <w:fldChar w:fldCharType="begin"/>
      </w:r>
      <w:r>
        <w:rPr>
          <w:rFonts w:hint="default" w:ascii="Times New Roman" w:hAnsi="Times New Roman" w:cs="Times New Roman"/>
          <w:snapToGrid w:val="0"/>
          <w:color w:val="auto"/>
          <w:spacing w:val="-16"/>
        </w:rPr>
        <w:instrText xml:space="preserve"> = 5 \* GB3 \* MERGEFORMAT </w:instrText>
      </w:r>
      <w:r>
        <w:rPr>
          <w:rFonts w:hint="default" w:ascii="Times New Roman" w:hAnsi="Times New Roman" w:cs="Times New Roman"/>
          <w:snapToGrid w:val="0"/>
          <w:color w:val="auto"/>
          <w:spacing w:val="-16"/>
        </w:rPr>
        <w:fldChar w:fldCharType="separate"/>
      </w:r>
      <w:r>
        <w:rPr>
          <w:rFonts w:hint="default" w:ascii="Times New Roman" w:hAnsi="Times New Roman" w:cs="Times New Roman"/>
          <w:color w:val="auto"/>
        </w:rPr>
        <w:t>⑤</w:t>
      </w:r>
      <w:r>
        <w:rPr>
          <w:rFonts w:hint="default" w:ascii="Times New Roman" w:hAnsi="Times New Roman" w:cs="Times New Roman"/>
          <w:snapToGrid w:val="0"/>
          <w:color w:val="auto"/>
          <w:spacing w:val="-16"/>
        </w:rPr>
        <w:fldChar w:fldCharType="end"/>
      </w:r>
      <w:r>
        <w:rPr>
          <w:rFonts w:hint="default" w:ascii="Times New Roman" w:hAnsi="Times New Roman" w:cs="Times New Roman"/>
          <w:color w:val="auto"/>
        </w:rPr>
        <w:t>；</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7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⑦</w:t>
      </w:r>
      <w:r>
        <w:rPr>
          <w:rFonts w:hint="default" w:ascii="Times New Roman" w:hAnsi="Times New Roman" w:cs="Times New Roman"/>
          <w:snapToGrid w:val="0"/>
          <w:color w:val="auto"/>
        </w:rPr>
        <w:fldChar w:fldCharType="end"/>
      </w:r>
      <w:r>
        <w:rPr>
          <w:rFonts w:hint="default" w:ascii="Times New Roman" w:hAnsi="Times New Roman" w:cs="Times New Roman"/>
          <w:snapToGrid w:val="0"/>
          <w:color w:val="auto"/>
        </w:rPr>
        <w:t>=</w:t>
      </w:r>
      <w:r>
        <w:rPr>
          <w:rFonts w:hint="default" w:ascii="Times New Roman" w:hAnsi="Times New Roman" w:cs="Times New Roman"/>
          <w:snapToGrid w:val="0"/>
          <w:color w:val="auto"/>
          <w:spacing w:val="-16"/>
        </w:rPr>
        <w:fldChar w:fldCharType="begin"/>
      </w:r>
      <w:r>
        <w:rPr>
          <w:rFonts w:hint="default" w:ascii="Times New Roman" w:hAnsi="Times New Roman" w:cs="Times New Roman"/>
          <w:snapToGrid w:val="0"/>
          <w:color w:val="auto"/>
          <w:spacing w:val="-16"/>
        </w:rPr>
        <w:instrText xml:space="preserve"> = 6 \* GB3 \* MERGEFORMAT </w:instrText>
      </w:r>
      <w:r>
        <w:rPr>
          <w:rFonts w:hint="default" w:ascii="Times New Roman" w:hAnsi="Times New Roman" w:cs="Times New Roman"/>
          <w:snapToGrid w:val="0"/>
          <w:color w:val="auto"/>
          <w:spacing w:val="-16"/>
        </w:rPr>
        <w:fldChar w:fldCharType="separate"/>
      </w:r>
      <w:r>
        <w:rPr>
          <w:rFonts w:hint="default" w:ascii="Times New Roman" w:hAnsi="Times New Roman" w:cs="Times New Roman"/>
          <w:color w:val="auto"/>
        </w:rPr>
        <w:t>⑥</w:t>
      </w:r>
      <w:r>
        <w:rPr>
          <w:rFonts w:hint="default" w:ascii="Times New Roman" w:hAnsi="Times New Roman" w:cs="Times New Roman"/>
          <w:snapToGrid w:val="0"/>
          <w:color w:val="auto"/>
          <w:spacing w:val="-16"/>
        </w:rPr>
        <w:fldChar w:fldCharType="end"/>
      </w:r>
      <w:r>
        <w:rPr>
          <w:rFonts w:hint="default" w:ascii="Times New Roman" w:hAnsi="Times New Roman" w:cs="Times New Roman"/>
          <w:color w:val="auto"/>
        </w:rPr>
        <w:t>-</w:t>
      </w:r>
      <w:r>
        <w:rPr>
          <w:rFonts w:hint="default" w:ascii="Times New Roman" w:hAnsi="Times New Roman" w:cs="Times New Roman"/>
          <w:snapToGrid w:val="0"/>
          <w:color w:val="auto"/>
        </w:rPr>
        <w:fldChar w:fldCharType="begin"/>
      </w:r>
      <w:r>
        <w:rPr>
          <w:rFonts w:hint="default" w:ascii="Times New Roman" w:hAnsi="Times New Roman" w:cs="Times New Roman"/>
          <w:snapToGrid w:val="0"/>
          <w:color w:val="auto"/>
        </w:rPr>
        <w:instrText xml:space="preserve"> = 1 \* GB3 \* MERGEFORMAT </w:instrText>
      </w:r>
      <w:r>
        <w:rPr>
          <w:rFonts w:hint="default" w:ascii="Times New Roman" w:hAnsi="Times New Roman" w:cs="Times New Roman"/>
          <w:snapToGrid w:val="0"/>
          <w:color w:val="auto"/>
        </w:rPr>
        <w:fldChar w:fldCharType="separate"/>
      </w:r>
      <w:r>
        <w:rPr>
          <w:rFonts w:hint="default" w:ascii="Times New Roman" w:hAnsi="Times New Roman" w:cs="Times New Roman"/>
          <w:color w:val="auto"/>
        </w:rPr>
        <w:t>①</w:t>
      </w:r>
      <w:r>
        <w:rPr>
          <w:rFonts w:hint="default" w:ascii="Times New Roman" w:hAnsi="Times New Roman" w:cs="Times New Roman"/>
          <w:snapToGrid w:val="0"/>
          <w:color w:val="auto"/>
        </w:rPr>
        <w:fldChar w:fldCharType="end"/>
      </w: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1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3CF8C">
    <w:pPr>
      <w:pStyle w:val="9"/>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409575" cy="1816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09575"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6B84D">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3pt;width:32.25pt;mso-position-horizontal:center;mso-position-horizontal-relative:margin;z-index:251666432;mso-width-relative:page;mso-height-relative:page;" filled="f" stroked="f" coordsize="21600,21600" o:gfxdata="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B3sl1AAAAAMBAAAPAAAAAAAAAAEAIAAAACIAAABkcnMvZG93bnJldi54&#10;bWxQSwECFAAUAAAACACHTuJAihxq1zcCAABhBAAADgAAAAAAAAABACAAAAAjAQAAZHJzL2Uyb0Rv&#10;Yy54bWxQSwUGAAAAAAYABgBZAQAAzAUAAAAA&#10;">
              <v:fill on="f" focussize="0,0"/>
              <v:stroke on="f" weight="0.5pt"/>
              <v:imagedata o:title=""/>
              <o:lock v:ext="edit" aspectratio="f"/>
              <v:textbox inset="0mm,0mm,0mm,0mm">
                <w:txbxContent>
                  <w:p w14:paraId="4C96B84D">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AE011">
    <w:pPr>
      <w:pStyle w:val="9"/>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BE99E">
                          <w:pPr>
                            <w:pStyle w:val="9"/>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1BE99E">
                    <w:pPr>
                      <w:pStyle w:val="9"/>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211D0">
    <w:pPr>
      <w:pStyle w:val="9"/>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DC19C5">
                          <w:pPr>
                            <w:pStyle w:val="9"/>
                            <w:ind w:left="0" w:leftChars="0" w:firstLine="0" w:firstLineChars="0"/>
                            <w:jc w:val="both"/>
                          </w:pPr>
                          <w:r>
                            <w:t xml:space="preserve">— </w:t>
                          </w:r>
                          <w:r>
                            <w:fldChar w:fldCharType="begin"/>
                          </w:r>
                          <w:r>
                            <w:instrText xml:space="preserve"> PAGE  \* MERGEFORMAT </w:instrText>
                          </w:r>
                          <w:r>
                            <w:fldChar w:fldCharType="separate"/>
                          </w:r>
                          <w:r>
                            <w:t>24</w:t>
                          </w:r>
                          <w:r>
                            <w:fldChar w:fldCharType="end"/>
                          </w:r>
                          <w: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mz1H8kBAACaAwAADgAAAGRycy9lMm9Eb2MueG1srVPNjtMwEL4j8Q6W&#10;79RpD2wV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OaGEsctTvzy4/vl5+/Lr29k&#10;l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6bPUfyQEAAJoDAAAOAAAAAAAAAAEAIAAAAB4BAABkcnMvZTJvRG9j&#10;LnhtbFBLBQYAAAAABgAGAFkBAABZBQAAAAA=&#10;">
              <v:fill on="f" focussize="0,0"/>
              <v:stroke on="f"/>
              <v:imagedata o:title=""/>
              <o:lock v:ext="edit" aspectratio="f"/>
              <v:textbox inset="0mm,0mm,0mm,0mm" style="mso-fit-shape-to-text:t;">
                <w:txbxContent>
                  <w:p w14:paraId="09DC19C5">
                    <w:pPr>
                      <w:pStyle w:val="9"/>
                      <w:ind w:left="0" w:leftChars="0" w:firstLine="0" w:firstLineChars="0"/>
                      <w:jc w:val="both"/>
                    </w:pPr>
                    <w:r>
                      <w:t xml:space="preserve">— </w:t>
                    </w:r>
                    <w:r>
                      <w:fldChar w:fldCharType="begin"/>
                    </w:r>
                    <w:r>
                      <w:instrText xml:space="preserve"> PAGE  \* MERGEFORMAT </w:instrText>
                    </w:r>
                    <w:r>
                      <w:fldChar w:fldCharType="separate"/>
                    </w:r>
                    <w:r>
                      <w:t>24</w:t>
                    </w:r>
                    <w:r>
                      <w:fldChar w:fldCharType="end"/>
                    </w:r>
                    <w: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0F427B">
                          <w:pPr>
                            <w:pStyle w:val="9"/>
                            <w:ind w:firstLine="0" w:firstLineChars="0"/>
                            <w:jc w:val="both"/>
                          </w:pP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E2KcckBAACaAwAADgAAAGRycy9lMm9Eb2MueG1srVNNrtMwEN4jcQfL&#10;e+q0IKi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72gxHGLE798/3b58evy8yt5&#10;nvvTB6gx7S5gYhre+AG3ZvYDOrPsQUWbvyiIYBy7e752Vw6JiPxovVqvKwwJjM0XxGf3z0OE9FZ6&#10;S7LR0IjjK13lp/eQxtQ5JVdz/lYbU0Zo3F8OxMwelrmPHLOVhv0wCdr79ox6epx8Qx0uOiXmncPG&#10;5iWZjTgb+9k4hqgPHVJbFl4QXh8TkijccoURdiqMIyvqpvXKO/HnvWTd/1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oTYpxyQEAAJoDAAAOAAAAAAAAAAEAIAAAAB4BAABkcnMvZTJvRG9j&#10;LnhtbFBLBQYAAAAABgAGAFkBAABZBQAAAAA=&#10;">
              <v:fill on="f" focussize="0,0"/>
              <v:stroke on="f"/>
              <v:imagedata o:title=""/>
              <o:lock v:ext="edit" aspectratio="f"/>
              <v:textbox inset="0mm,0mm,0mm,0mm" style="mso-fit-shape-to-text:t;">
                <w:txbxContent>
                  <w:p w14:paraId="460F427B">
                    <w:pPr>
                      <w:pStyle w:val="9"/>
                      <w:ind w:firstLine="0" w:firstLineChars="0"/>
                      <w:jc w:val="both"/>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CCC61">
    <w:pPr>
      <w:pStyle w:val="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76994D">
                          <w:pPr>
                            <w:pStyle w:val="9"/>
                            <w:ind w:firstLine="360"/>
                          </w:pPr>
                          <w:r>
                            <w:t xml:space="preserve">— </w:t>
                          </w:r>
                          <w:r>
                            <w:fldChar w:fldCharType="begin"/>
                          </w:r>
                          <w:r>
                            <w:instrText xml:space="preserve"> PAGE  \* MERGEFORMAT </w:instrText>
                          </w:r>
                          <w:r>
                            <w:fldChar w:fldCharType="separate"/>
                          </w:r>
                          <w:r>
                            <w:t>75</w:t>
                          </w:r>
                          <w:r>
                            <w:fldChar w:fldCharType="end"/>
                          </w:r>
                          <w:r>
                            <w:t xml:space="preserve"> —</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dlJCzAEAAJ0DAAAOAAAAAAAAAAEAIAAAAB4BAABkcnMvZTJv&#10;RG9jLnhtbFBLBQYAAAAABgAGAFkBAABcBQAAAAA=&#10;">
              <v:fill on="f" focussize="0,0"/>
              <v:stroke on="f"/>
              <v:imagedata o:title=""/>
              <o:lock v:ext="edit" aspectratio="f"/>
              <v:textbox inset="0mm,0mm,0mm,0mm" style="mso-fit-shape-to-text:t;">
                <w:txbxContent>
                  <w:p w14:paraId="0076994D">
                    <w:pPr>
                      <w:pStyle w:val="9"/>
                      <w:ind w:firstLine="360"/>
                    </w:pPr>
                    <w:r>
                      <w:t xml:space="preserve">— </w:t>
                    </w:r>
                    <w:r>
                      <w:fldChar w:fldCharType="begin"/>
                    </w:r>
                    <w:r>
                      <w:instrText xml:space="preserve"> PAGE  \* MERGEFORMAT </w:instrText>
                    </w:r>
                    <w:r>
                      <w:fldChar w:fldCharType="separate"/>
                    </w:r>
                    <w:r>
                      <w:t>75</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1A669">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EE6D33"/>
    <w:multiLevelType w:val="singleLevel"/>
    <w:tmpl w:val="FDEE6D33"/>
    <w:lvl w:ilvl="0" w:tentative="0">
      <w:start w:val="1"/>
      <w:numFmt w:val="decimal"/>
      <w:suff w:val="nothing"/>
      <w:lvlText w:val="（%1）"/>
      <w:lvlJc w:val="left"/>
    </w:lvl>
  </w:abstractNum>
  <w:abstractNum w:abstractNumId="1">
    <w:nsid w:val="0F793617"/>
    <w:multiLevelType w:val="singleLevel"/>
    <w:tmpl w:val="0F793617"/>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oNotHyphenateCaps/>
  <w:drawingGridHorizontalSpacing w:val="12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iYWFmYzdmOGJlYjliZjBmYWM0MzE0ODljY2VjZjkifQ=="/>
  </w:docVars>
  <w:rsids>
    <w:rsidRoot w:val="00172A27"/>
    <w:rsid w:val="00000336"/>
    <w:rsid w:val="00001854"/>
    <w:rsid w:val="000023BF"/>
    <w:rsid w:val="00002D2A"/>
    <w:rsid w:val="00005248"/>
    <w:rsid w:val="000058E6"/>
    <w:rsid w:val="000060B3"/>
    <w:rsid w:val="0000662A"/>
    <w:rsid w:val="00006953"/>
    <w:rsid w:val="000069FC"/>
    <w:rsid w:val="000079A6"/>
    <w:rsid w:val="000106C2"/>
    <w:rsid w:val="0001078A"/>
    <w:rsid w:val="000121D6"/>
    <w:rsid w:val="0001447A"/>
    <w:rsid w:val="00014C59"/>
    <w:rsid w:val="00015F06"/>
    <w:rsid w:val="00020129"/>
    <w:rsid w:val="000212CA"/>
    <w:rsid w:val="00022941"/>
    <w:rsid w:val="00023375"/>
    <w:rsid w:val="0002404E"/>
    <w:rsid w:val="000248CA"/>
    <w:rsid w:val="0003055F"/>
    <w:rsid w:val="00033A75"/>
    <w:rsid w:val="000351FA"/>
    <w:rsid w:val="00037A42"/>
    <w:rsid w:val="00041489"/>
    <w:rsid w:val="0004364B"/>
    <w:rsid w:val="0004753D"/>
    <w:rsid w:val="00052E93"/>
    <w:rsid w:val="000531BC"/>
    <w:rsid w:val="0005523A"/>
    <w:rsid w:val="00056067"/>
    <w:rsid w:val="00056A60"/>
    <w:rsid w:val="000576B7"/>
    <w:rsid w:val="00057F66"/>
    <w:rsid w:val="00060D4D"/>
    <w:rsid w:val="00061B1F"/>
    <w:rsid w:val="0006241D"/>
    <w:rsid w:val="00062763"/>
    <w:rsid w:val="00063252"/>
    <w:rsid w:val="00065BB5"/>
    <w:rsid w:val="0006644F"/>
    <w:rsid w:val="00067312"/>
    <w:rsid w:val="000701A1"/>
    <w:rsid w:val="000733C4"/>
    <w:rsid w:val="0007421D"/>
    <w:rsid w:val="00074783"/>
    <w:rsid w:val="00075E38"/>
    <w:rsid w:val="0007627F"/>
    <w:rsid w:val="000803A6"/>
    <w:rsid w:val="0008070B"/>
    <w:rsid w:val="0008076F"/>
    <w:rsid w:val="000810AC"/>
    <w:rsid w:val="00081A02"/>
    <w:rsid w:val="00082231"/>
    <w:rsid w:val="00084BE3"/>
    <w:rsid w:val="00086DAF"/>
    <w:rsid w:val="000872FD"/>
    <w:rsid w:val="00087C70"/>
    <w:rsid w:val="00087C7D"/>
    <w:rsid w:val="000907C8"/>
    <w:rsid w:val="000909DB"/>
    <w:rsid w:val="00092D38"/>
    <w:rsid w:val="00092EE0"/>
    <w:rsid w:val="0009377B"/>
    <w:rsid w:val="0009638F"/>
    <w:rsid w:val="00096B99"/>
    <w:rsid w:val="000A0D53"/>
    <w:rsid w:val="000A1047"/>
    <w:rsid w:val="000A150C"/>
    <w:rsid w:val="000A20C9"/>
    <w:rsid w:val="000A30C4"/>
    <w:rsid w:val="000A3779"/>
    <w:rsid w:val="000A41C5"/>
    <w:rsid w:val="000A66AC"/>
    <w:rsid w:val="000B058F"/>
    <w:rsid w:val="000B0789"/>
    <w:rsid w:val="000B0DE1"/>
    <w:rsid w:val="000B0F0C"/>
    <w:rsid w:val="000B1638"/>
    <w:rsid w:val="000B3F19"/>
    <w:rsid w:val="000B4467"/>
    <w:rsid w:val="000B4DB9"/>
    <w:rsid w:val="000C09AC"/>
    <w:rsid w:val="000C3911"/>
    <w:rsid w:val="000C4F1F"/>
    <w:rsid w:val="000C667A"/>
    <w:rsid w:val="000C767F"/>
    <w:rsid w:val="000D03D4"/>
    <w:rsid w:val="000D05B0"/>
    <w:rsid w:val="000D2041"/>
    <w:rsid w:val="000D5A44"/>
    <w:rsid w:val="000D6BC0"/>
    <w:rsid w:val="000D7CAE"/>
    <w:rsid w:val="000E2435"/>
    <w:rsid w:val="000E3ED2"/>
    <w:rsid w:val="000E482D"/>
    <w:rsid w:val="000E7E66"/>
    <w:rsid w:val="000F1AE1"/>
    <w:rsid w:val="000F1B2E"/>
    <w:rsid w:val="000F2405"/>
    <w:rsid w:val="000F2E8D"/>
    <w:rsid w:val="000F564A"/>
    <w:rsid w:val="00100096"/>
    <w:rsid w:val="00101193"/>
    <w:rsid w:val="0010393E"/>
    <w:rsid w:val="00105D8B"/>
    <w:rsid w:val="00110ED2"/>
    <w:rsid w:val="00113093"/>
    <w:rsid w:val="001163E5"/>
    <w:rsid w:val="00121AD3"/>
    <w:rsid w:val="00124250"/>
    <w:rsid w:val="00124942"/>
    <w:rsid w:val="00124F7F"/>
    <w:rsid w:val="0012511E"/>
    <w:rsid w:val="001252E1"/>
    <w:rsid w:val="00127369"/>
    <w:rsid w:val="001274D8"/>
    <w:rsid w:val="00130F61"/>
    <w:rsid w:val="00131BDE"/>
    <w:rsid w:val="00131F42"/>
    <w:rsid w:val="00135057"/>
    <w:rsid w:val="001357F1"/>
    <w:rsid w:val="00135BB0"/>
    <w:rsid w:val="00140FA8"/>
    <w:rsid w:val="0014126B"/>
    <w:rsid w:val="0014182C"/>
    <w:rsid w:val="00141AB7"/>
    <w:rsid w:val="00142FEB"/>
    <w:rsid w:val="00143A2D"/>
    <w:rsid w:val="00145A41"/>
    <w:rsid w:val="001471A5"/>
    <w:rsid w:val="0015052F"/>
    <w:rsid w:val="00151675"/>
    <w:rsid w:val="00151F53"/>
    <w:rsid w:val="00157435"/>
    <w:rsid w:val="00157724"/>
    <w:rsid w:val="001629C3"/>
    <w:rsid w:val="00165068"/>
    <w:rsid w:val="0016536F"/>
    <w:rsid w:val="00172A27"/>
    <w:rsid w:val="00172F40"/>
    <w:rsid w:val="00173383"/>
    <w:rsid w:val="001736AF"/>
    <w:rsid w:val="0017504D"/>
    <w:rsid w:val="0017671A"/>
    <w:rsid w:val="00177422"/>
    <w:rsid w:val="00182440"/>
    <w:rsid w:val="0018304C"/>
    <w:rsid w:val="00183A18"/>
    <w:rsid w:val="00184590"/>
    <w:rsid w:val="001861EF"/>
    <w:rsid w:val="001870D1"/>
    <w:rsid w:val="0018714D"/>
    <w:rsid w:val="0018781E"/>
    <w:rsid w:val="0019262D"/>
    <w:rsid w:val="00192767"/>
    <w:rsid w:val="001968BF"/>
    <w:rsid w:val="001977F6"/>
    <w:rsid w:val="001A18A2"/>
    <w:rsid w:val="001A1B35"/>
    <w:rsid w:val="001A25CC"/>
    <w:rsid w:val="001A4058"/>
    <w:rsid w:val="001A48A2"/>
    <w:rsid w:val="001A6F61"/>
    <w:rsid w:val="001A7D0A"/>
    <w:rsid w:val="001A7EED"/>
    <w:rsid w:val="001B1CE1"/>
    <w:rsid w:val="001B4002"/>
    <w:rsid w:val="001B53B9"/>
    <w:rsid w:val="001B61E0"/>
    <w:rsid w:val="001B72B8"/>
    <w:rsid w:val="001B7B59"/>
    <w:rsid w:val="001C0BD1"/>
    <w:rsid w:val="001C0F7E"/>
    <w:rsid w:val="001C3566"/>
    <w:rsid w:val="001C37B0"/>
    <w:rsid w:val="001C69B3"/>
    <w:rsid w:val="001C6EA8"/>
    <w:rsid w:val="001C7DAF"/>
    <w:rsid w:val="001D2005"/>
    <w:rsid w:val="001D4B3D"/>
    <w:rsid w:val="001D50FF"/>
    <w:rsid w:val="001D5595"/>
    <w:rsid w:val="001D5E0A"/>
    <w:rsid w:val="001D7874"/>
    <w:rsid w:val="001D7F22"/>
    <w:rsid w:val="001E3FEE"/>
    <w:rsid w:val="001E55FE"/>
    <w:rsid w:val="001F0372"/>
    <w:rsid w:val="001F0F17"/>
    <w:rsid w:val="001F127A"/>
    <w:rsid w:val="001F278B"/>
    <w:rsid w:val="001F3347"/>
    <w:rsid w:val="001F610A"/>
    <w:rsid w:val="001F69E4"/>
    <w:rsid w:val="001F6B35"/>
    <w:rsid w:val="00200955"/>
    <w:rsid w:val="0020168F"/>
    <w:rsid w:val="00203DC9"/>
    <w:rsid w:val="002043DE"/>
    <w:rsid w:val="002074A8"/>
    <w:rsid w:val="00207C27"/>
    <w:rsid w:val="00207F25"/>
    <w:rsid w:val="00210973"/>
    <w:rsid w:val="00210C3C"/>
    <w:rsid w:val="002125B4"/>
    <w:rsid w:val="0021421C"/>
    <w:rsid w:val="00215398"/>
    <w:rsid w:val="002155B8"/>
    <w:rsid w:val="00216572"/>
    <w:rsid w:val="0022074A"/>
    <w:rsid w:val="00222228"/>
    <w:rsid w:val="00222552"/>
    <w:rsid w:val="00223B3C"/>
    <w:rsid w:val="00224839"/>
    <w:rsid w:val="002249B2"/>
    <w:rsid w:val="00226574"/>
    <w:rsid w:val="002267AC"/>
    <w:rsid w:val="002270B9"/>
    <w:rsid w:val="002278EC"/>
    <w:rsid w:val="00230749"/>
    <w:rsid w:val="0023280E"/>
    <w:rsid w:val="00233E15"/>
    <w:rsid w:val="0023434D"/>
    <w:rsid w:val="00235CC3"/>
    <w:rsid w:val="002377D1"/>
    <w:rsid w:val="00241BA8"/>
    <w:rsid w:val="002438BF"/>
    <w:rsid w:val="00246629"/>
    <w:rsid w:val="00247F48"/>
    <w:rsid w:val="002506BC"/>
    <w:rsid w:val="00251231"/>
    <w:rsid w:val="002520AD"/>
    <w:rsid w:val="00252E45"/>
    <w:rsid w:val="00254345"/>
    <w:rsid w:val="00255411"/>
    <w:rsid w:val="002562D0"/>
    <w:rsid w:val="002573C6"/>
    <w:rsid w:val="00260649"/>
    <w:rsid w:val="0026176F"/>
    <w:rsid w:val="00264557"/>
    <w:rsid w:val="00264768"/>
    <w:rsid w:val="00265310"/>
    <w:rsid w:val="002717B6"/>
    <w:rsid w:val="00272888"/>
    <w:rsid w:val="002764DA"/>
    <w:rsid w:val="002770B5"/>
    <w:rsid w:val="002805AB"/>
    <w:rsid w:val="00280A2C"/>
    <w:rsid w:val="00284204"/>
    <w:rsid w:val="00286A4D"/>
    <w:rsid w:val="00290123"/>
    <w:rsid w:val="002906F6"/>
    <w:rsid w:val="00291773"/>
    <w:rsid w:val="00291D4E"/>
    <w:rsid w:val="00293F28"/>
    <w:rsid w:val="002A168C"/>
    <w:rsid w:val="002A2852"/>
    <w:rsid w:val="002A2C2D"/>
    <w:rsid w:val="002A3DC7"/>
    <w:rsid w:val="002A6A45"/>
    <w:rsid w:val="002B2AB7"/>
    <w:rsid w:val="002B2CD6"/>
    <w:rsid w:val="002B49E2"/>
    <w:rsid w:val="002B4AA7"/>
    <w:rsid w:val="002B4B08"/>
    <w:rsid w:val="002B6D3E"/>
    <w:rsid w:val="002B7B00"/>
    <w:rsid w:val="002B7C44"/>
    <w:rsid w:val="002C0F7B"/>
    <w:rsid w:val="002C2B17"/>
    <w:rsid w:val="002C2E62"/>
    <w:rsid w:val="002C58FE"/>
    <w:rsid w:val="002C7426"/>
    <w:rsid w:val="002D03D7"/>
    <w:rsid w:val="002D0632"/>
    <w:rsid w:val="002D109D"/>
    <w:rsid w:val="002D12DE"/>
    <w:rsid w:val="002D3DD0"/>
    <w:rsid w:val="002D48A0"/>
    <w:rsid w:val="002D4D7E"/>
    <w:rsid w:val="002E1F3A"/>
    <w:rsid w:val="002E298A"/>
    <w:rsid w:val="002E54FE"/>
    <w:rsid w:val="002F217B"/>
    <w:rsid w:val="002F3903"/>
    <w:rsid w:val="002F4E63"/>
    <w:rsid w:val="00301978"/>
    <w:rsid w:val="0030312F"/>
    <w:rsid w:val="0030332C"/>
    <w:rsid w:val="00304B79"/>
    <w:rsid w:val="003051C2"/>
    <w:rsid w:val="00305E46"/>
    <w:rsid w:val="0031029C"/>
    <w:rsid w:val="00311407"/>
    <w:rsid w:val="0031196D"/>
    <w:rsid w:val="00312296"/>
    <w:rsid w:val="003135E2"/>
    <w:rsid w:val="00314F0E"/>
    <w:rsid w:val="0031739A"/>
    <w:rsid w:val="00321D8E"/>
    <w:rsid w:val="0032270D"/>
    <w:rsid w:val="0032510E"/>
    <w:rsid w:val="00325928"/>
    <w:rsid w:val="003262FC"/>
    <w:rsid w:val="00326887"/>
    <w:rsid w:val="00331E04"/>
    <w:rsid w:val="00331E3F"/>
    <w:rsid w:val="003320F3"/>
    <w:rsid w:val="00332863"/>
    <w:rsid w:val="00333104"/>
    <w:rsid w:val="00335B79"/>
    <w:rsid w:val="0033684D"/>
    <w:rsid w:val="00336950"/>
    <w:rsid w:val="00336BE9"/>
    <w:rsid w:val="00337B42"/>
    <w:rsid w:val="00340645"/>
    <w:rsid w:val="003417B5"/>
    <w:rsid w:val="00341B42"/>
    <w:rsid w:val="0034348F"/>
    <w:rsid w:val="0034383F"/>
    <w:rsid w:val="00343C93"/>
    <w:rsid w:val="00346480"/>
    <w:rsid w:val="003479DA"/>
    <w:rsid w:val="0035045C"/>
    <w:rsid w:val="00351CAC"/>
    <w:rsid w:val="00353CC8"/>
    <w:rsid w:val="00356653"/>
    <w:rsid w:val="0035743F"/>
    <w:rsid w:val="00357BE2"/>
    <w:rsid w:val="003603EB"/>
    <w:rsid w:val="0036170C"/>
    <w:rsid w:val="00361E1F"/>
    <w:rsid w:val="00361E42"/>
    <w:rsid w:val="00363AE0"/>
    <w:rsid w:val="00366E0F"/>
    <w:rsid w:val="0037253C"/>
    <w:rsid w:val="0037617E"/>
    <w:rsid w:val="003779CC"/>
    <w:rsid w:val="003805C0"/>
    <w:rsid w:val="003811AF"/>
    <w:rsid w:val="00381A72"/>
    <w:rsid w:val="00382389"/>
    <w:rsid w:val="0038393D"/>
    <w:rsid w:val="00384676"/>
    <w:rsid w:val="00386286"/>
    <w:rsid w:val="003878F5"/>
    <w:rsid w:val="00390857"/>
    <w:rsid w:val="00391490"/>
    <w:rsid w:val="00394AA6"/>
    <w:rsid w:val="003A2BDA"/>
    <w:rsid w:val="003A2C2D"/>
    <w:rsid w:val="003A2D99"/>
    <w:rsid w:val="003A3E31"/>
    <w:rsid w:val="003A49A5"/>
    <w:rsid w:val="003A4BF3"/>
    <w:rsid w:val="003A53A7"/>
    <w:rsid w:val="003A58C6"/>
    <w:rsid w:val="003A5AA8"/>
    <w:rsid w:val="003A7E07"/>
    <w:rsid w:val="003B00A7"/>
    <w:rsid w:val="003B183D"/>
    <w:rsid w:val="003B2176"/>
    <w:rsid w:val="003B325A"/>
    <w:rsid w:val="003B420D"/>
    <w:rsid w:val="003B44A6"/>
    <w:rsid w:val="003B5946"/>
    <w:rsid w:val="003C191F"/>
    <w:rsid w:val="003C4CE7"/>
    <w:rsid w:val="003C6C16"/>
    <w:rsid w:val="003D0CAC"/>
    <w:rsid w:val="003D1698"/>
    <w:rsid w:val="003D794D"/>
    <w:rsid w:val="003E1CF9"/>
    <w:rsid w:val="003E3058"/>
    <w:rsid w:val="003E4B9C"/>
    <w:rsid w:val="003E727E"/>
    <w:rsid w:val="003E76A9"/>
    <w:rsid w:val="003F0809"/>
    <w:rsid w:val="003F1E77"/>
    <w:rsid w:val="003F2112"/>
    <w:rsid w:val="003F50C4"/>
    <w:rsid w:val="003F6A8C"/>
    <w:rsid w:val="003F6E5D"/>
    <w:rsid w:val="003F755C"/>
    <w:rsid w:val="003F784A"/>
    <w:rsid w:val="004007F2"/>
    <w:rsid w:val="00400BEF"/>
    <w:rsid w:val="004023F1"/>
    <w:rsid w:val="00402635"/>
    <w:rsid w:val="00403137"/>
    <w:rsid w:val="00404866"/>
    <w:rsid w:val="00404DEA"/>
    <w:rsid w:val="00406F01"/>
    <w:rsid w:val="004071BF"/>
    <w:rsid w:val="00410CD6"/>
    <w:rsid w:val="00411794"/>
    <w:rsid w:val="00411AEF"/>
    <w:rsid w:val="00413C48"/>
    <w:rsid w:val="00414244"/>
    <w:rsid w:val="00416319"/>
    <w:rsid w:val="004165EA"/>
    <w:rsid w:val="00416D50"/>
    <w:rsid w:val="00416D8F"/>
    <w:rsid w:val="00416FD5"/>
    <w:rsid w:val="00417772"/>
    <w:rsid w:val="00420E6A"/>
    <w:rsid w:val="004214C9"/>
    <w:rsid w:val="0042518B"/>
    <w:rsid w:val="00425A9E"/>
    <w:rsid w:val="00426D6B"/>
    <w:rsid w:val="00427401"/>
    <w:rsid w:val="0043026A"/>
    <w:rsid w:val="00431A25"/>
    <w:rsid w:val="00431E6C"/>
    <w:rsid w:val="004324C3"/>
    <w:rsid w:val="00433CE7"/>
    <w:rsid w:val="00434973"/>
    <w:rsid w:val="00434FF3"/>
    <w:rsid w:val="004358AC"/>
    <w:rsid w:val="00436020"/>
    <w:rsid w:val="004375A8"/>
    <w:rsid w:val="00437C8E"/>
    <w:rsid w:val="00440177"/>
    <w:rsid w:val="00444E89"/>
    <w:rsid w:val="004454BC"/>
    <w:rsid w:val="0044705B"/>
    <w:rsid w:val="00450B6B"/>
    <w:rsid w:val="00452738"/>
    <w:rsid w:val="00454C1E"/>
    <w:rsid w:val="00456091"/>
    <w:rsid w:val="00461680"/>
    <w:rsid w:val="00461684"/>
    <w:rsid w:val="004618C4"/>
    <w:rsid w:val="00461C50"/>
    <w:rsid w:val="00462365"/>
    <w:rsid w:val="00463DB7"/>
    <w:rsid w:val="00464364"/>
    <w:rsid w:val="004657D9"/>
    <w:rsid w:val="00465F35"/>
    <w:rsid w:val="00466321"/>
    <w:rsid w:val="0047035C"/>
    <w:rsid w:val="00471E40"/>
    <w:rsid w:val="004741F8"/>
    <w:rsid w:val="004760CE"/>
    <w:rsid w:val="00480FC7"/>
    <w:rsid w:val="004810E2"/>
    <w:rsid w:val="00482691"/>
    <w:rsid w:val="004826C1"/>
    <w:rsid w:val="00484B9B"/>
    <w:rsid w:val="004855F6"/>
    <w:rsid w:val="0048661E"/>
    <w:rsid w:val="004915E4"/>
    <w:rsid w:val="0049281A"/>
    <w:rsid w:val="00494670"/>
    <w:rsid w:val="00494B16"/>
    <w:rsid w:val="004A004A"/>
    <w:rsid w:val="004A272C"/>
    <w:rsid w:val="004A3823"/>
    <w:rsid w:val="004A4C42"/>
    <w:rsid w:val="004A4DE2"/>
    <w:rsid w:val="004A5DCB"/>
    <w:rsid w:val="004A6213"/>
    <w:rsid w:val="004A6E76"/>
    <w:rsid w:val="004A78AE"/>
    <w:rsid w:val="004B21D2"/>
    <w:rsid w:val="004B303B"/>
    <w:rsid w:val="004B71ED"/>
    <w:rsid w:val="004C00C4"/>
    <w:rsid w:val="004C03CD"/>
    <w:rsid w:val="004C0B52"/>
    <w:rsid w:val="004C0C9B"/>
    <w:rsid w:val="004C100D"/>
    <w:rsid w:val="004C3E85"/>
    <w:rsid w:val="004D40B4"/>
    <w:rsid w:val="004D66C1"/>
    <w:rsid w:val="004D7CA4"/>
    <w:rsid w:val="004E2881"/>
    <w:rsid w:val="004E4319"/>
    <w:rsid w:val="004E6946"/>
    <w:rsid w:val="004F1AD8"/>
    <w:rsid w:val="004F24DC"/>
    <w:rsid w:val="004F2870"/>
    <w:rsid w:val="004F2BA7"/>
    <w:rsid w:val="004F5D1D"/>
    <w:rsid w:val="00500BD6"/>
    <w:rsid w:val="005035C7"/>
    <w:rsid w:val="005039CB"/>
    <w:rsid w:val="005053CE"/>
    <w:rsid w:val="0050558F"/>
    <w:rsid w:val="00506286"/>
    <w:rsid w:val="00510663"/>
    <w:rsid w:val="00510813"/>
    <w:rsid w:val="00511990"/>
    <w:rsid w:val="00511DE0"/>
    <w:rsid w:val="00514870"/>
    <w:rsid w:val="00514B9B"/>
    <w:rsid w:val="00516039"/>
    <w:rsid w:val="00517F02"/>
    <w:rsid w:val="005208D4"/>
    <w:rsid w:val="0052094F"/>
    <w:rsid w:val="00521647"/>
    <w:rsid w:val="00521A2B"/>
    <w:rsid w:val="00522173"/>
    <w:rsid w:val="005228FA"/>
    <w:rsid w:val="00524303"/>
    <w:rsid w:val="005258A2"/>
    <w:rsid w:val="005277C3"/>
    <w:rsid w:val="00532159"/>
    <w:rsid w:val="00533233"/>
    <w:rsid w:val="005363BE"/>
    <w:rsid w:val="005401AE"/>
    <w:rsid w:val="005425BF"/>
    <w:rsid w:val="005427F1"/>
    <w:rsid w:val="00542E07"/>
    <w:rsid w:val="00542F7C"/>
    <w:rsid w:val="005445F2"/>
    <w:rsid w:val="00545424"/>
    <w:rsid w:val="005456E8"/>
    <w:rsid w:val="00547CEB"/>
    <w:rsid w:val="00547F63"/>
    <w:rsid w:val="00552474"/>
    <w:rsid w:val="00553C85"/>
    <w:rsid w:val="00554A7B"/>
    <w:rsid w:val="0055572C"/>
    <w:rsid w:val="00555BB6"/>
    <w:rsid w:val="005570FE"/>
    <w:rsid w:val="00560620"/>
    <w:rsid w:val="0056106A"/>
    <w:rsid w:val="00567597"/>
    <w:rsid w:val="00567FB6"/>
    <w:rsid w:val="00571164"/>
    <w:rsid w:val="005711D5"/>
    <w:rsid w:val="0057200E"/>
    <w:rsid w:val="005720AE"/>
    <w:rsid w:val="0057274D"/>
    <w:rsid w:val="0057420E"/>
    <w:rsid w:val="005759B7"/>
    <w:rsid w:val="00576D18"/>
    <w:rsid w:val="00577349"/>
    <w:rsid w:val="0058219D"/>
    <w:rsid w:val="005829EC"/>
    <w:rsid w:val="005834C0"/>
    <w:rsid w:val="005836EB"/>
    <w:rsid w:val="0059140D"/>
    <w:rsid w:val="00593265"/>
    <w:rsid w:val="00593640"/>
    <w:rsid w:val="005938CD"/>
    <w:rsid w:val="00593C9A"/>
    <w:rsid w:val="00594D77"/>
    <w:rsid w:val="00596111"/>
    <w:rsid w:val="005969E4"/>
    <w:rsid w:val="005A06B7"/>
    <w:rsid w:val="005A107D"/>
    <w:rsid w:val="005A1759"/>
    <w:rsid w:val="005A2D35"/>
    <w:rsid w:val="005A3655"/>
    <w:rsid w:val="005A44BA"/>
    <w:rsid w:val="005A4A96"/>
    <w:rsid w:val="005A4EAF"/>
    <w:rsid w:val="005A68A7"/>
    <w:rsid w:val="005B0DB4"/>
    <w:rsid w:val="005B18F3"/>
    <w:rsid w:val="005B1AA2"/>
    <w:rsid w:val="005B3B65"/>
    <w:rsid w:val="005B480A"/>
    <w:rsid w:val="005C0342"/>
    <w:rsid w:val="005C0763"/>
    <w:rsid w:val="005C0A84"/>
    <w:rsid w:val="005C2866"/>
    <w:rsid w:val="005C3136"/>
    <w:rsid w:val="005C389F"/>
    <w:rsid w:val="005C3ED7"/>
    <w:rsid w:val="005C426F"/>
    <w:rsid w:val="005C431C"/>
    <w:rsid w:val="005C45A3"/>
    <w:rsid w:val="005C6AA3"/>
    <w:rsid w:val="005D1C11"/>
    <w:rsid w:val="005D1EE0"/>
    <w:rsid w:val="005D36AB"/>
    <w:rsid w:val="005D48CB"/>
    <w:rsid w:val="005D5CED"/>
    <w:rsid w:val="005D7CD8"/>
    <w:rsid w:val="005E105D"/>
    <w:rsid w:val="005E1DEC"/>
    <w:rsid w:val="005E2294"/>
    <w:rsid w:val="005E23C1"/>
    <w:rsid w:val="005E2DE3"/>
    <w:rsid w:val="005E3A12"/>
    <w:rsid w:val="005E4AC2"/>
    <w:rsid w:val="005E4BC8"/>
    <w:rsid w:val="005E4DDD"/>
    <w:rsid w:val="005E6179"/>
    <w:rsid w:val="005E6865"/>
    <w:rsid w:val="005E7843"/>
    <w:rsid w:val="005F0FEC"/>
    <w:rsid w:val="005F1036"/>
    <w:rsid w:val="005F20CE"/>
    <w:rsid w:val="005F30E8"/>
    <w:rsid w:val="005F629D"/>
    <w:rsid w:val="005F6BE9"/>
    <w:rsid w:val="005F71E7"/>
    <w:rsid w:val="005F7CF0"/>
    <w:rsid w:val="00600AD8"/>
    <w:rsid w:val="00601E8C"/>
    <w:rsid w:val="00607AF5"/>
    <w:rsid w:val="00607E64"/>
    <w:rsid w:val="00611B56"/>
    <w:rsid w:val="00613540"/>
    <w:rsid w:val="006144F2"/>
    <w:rsid w:val="00616AFF"/>
    <w:rsid w:val="00616C5F"/>
    <w:rsid w:val="00617CC3"/>
    <w:rsid w:val="00631983"/>
    <w:rsid w:val="0063265B"/>
    <w:rsid w:val="00632BE7"/>
    <w:rsid w:val="00636CE1"/>
    <w:rsid w:val="0063754C"/>
    <w:rsid w:val="006377A6"/>
    <w:rsid w:val="00637A3D"/>
    <w:rsid w:val="00640E5C"/>
    <w:rsid w:val="006411EF"/>
    <w:rsid w:val="006420C9"/>
    <w:rsid w:val="00642C7C"/>
    <w:rsid w:val="00643CBB"/>
    <w:rsid w:val="006451D7"/>
    <w:rsid w:val="00646DA2"/>
    <w:rsid w:val="00647B56"/>
    <w:rsid w:val="00647BDD"/>
    <w:rsid w:val="00647E51"/>
    <w:rsid w:val="00650A36"/>
    <w:rsid w:val="00652B1F"/>
    <w:rsid w:val="00652BA4"/>
    <w:rsid w:val="00652FF8"/>
    <w:rsid w:val="0065537B"/>
    <w:rsid w:val="00655A44"/>
    <w:rsid w:val="00655BA6"/>
    <w:rsid w:val="006574CB"/>
    <w:rsid w:val="0066104C"/>
    <w:rsid w:val="0066134D"/>
    <w:rsid w:val="006614EE"/>
    <w:rsid w:val="006635FD"/>
    <w:rsid w:val="00663EC7"/>
    <w:rsid w:val="006649E0"/>
    <w:rsid w:val="0067298E"/>
    <w:rsid w:val="00672B4E"/>
    <w:rsid w:val="0067308D"/>
    <w:rsid w:val="006748B8"/>
    <w:rsid w:val="00674DA2"/>
    <w:rsid w:val="00675AEA"/>
    <w:rsid w:val="0067693F"/>
    <w:rsid w:val="006775C3"/>
    <w:rsid w:val="00685C84"/>
    <w:rsid w:val="006861BB"/>
    <w:rsid w:val="00687325"/>
    <w:rsid w:val="00691A17"/>
    <w:rsid w:val="0069290A"/>
    <w:rsid w:val="00692A16"/>
    <w:rsid w:val="0069514C"/>
    <w:rsid w:val="00695731"/>
    <w:rsid w:val="0069637E"/>
    <w:rsid w:val="0069775A"/>
    <w:rsid w:val="00697813"/>
    <w:rsid w:val="006A1640"/>
    <w:rsid w:val="006A2787"/>
    <w:rsid w:val="006A30C1"/>
    <w:rsid w:val="006A3EE8"/>
    <w:rsid w:val="006A6BE4"/>
    <w:rsid w:val="006A6F92"/>
    <w:rsid w:val="006A72BF"/>
    <w:rsid w:val="006B03F2"/>
    <w:rsid w:val="006B37DC"/>
    <w:rsid w:val="006B3D68"/>
    <w:rsid w:val="006B4233"/>
    <w:rsid w:val="006B4AF2"/>
    <w:rsid w:val="006B4F68"/>
    <w:rsid w:val="006B52C7"/>
    <w:rsid w:val="006B79F0"/>
    <w:rsid w:val="006C04A4"/>
    <w:rsid w:val="006C0592"/>
    <w:rsid w:val="006C1443"/>
    <w:rsid w:val="006C1F06"/>
    <w:rsid w:val="006C272E"/>
    <w:rsid w:val="006C3454"/>
    <w:rsid w:val="006C37C6"/>
    <w:rsid w:val="006C5479"/>
    <w:rsid w:val="006D13B5"/>
    <w:rsid w:val="006D52EA"/>
    <w:rsid w:val="006D62EA"/>
    <w:rsid w:val="006E12FF"/>
    <w:rsid w:val="006E2779"/>
    <w:rsid w:val="006E27B6"/>
    <w:rsid w:val="006E3101"/>
    <w:rsid w:val="006E4A2E"/>
    <w:rsid w:val="006E607E"/>
    <w:rsid w:val="006F0704"/>
    <w:rsid w:val="006F0CD9"/>
    <w:rsid w:val="006F4CF7"/>
    <w:rsid w:val="006F6D37"/>
    <w:rsid w:val="00700985"/>
    <w:rsid w:val="00701067"/>
    <w:rsid w:val="00703E28"/>
    <w:rsid w:val="00704956"/>
    <w:rsid w:val="00704F15"/>
    <w:rsid w:val="00706170"/>
    <w:rsid w:val="007061C5"/>
    <w:rsid w:val="007067ED"/>
    <w:rsid w:val="00706C5D"/>
    <w:rsid w:val="00712860"/>
    <w:rsid w:val="007134AD"/>
    <w:rsid w:val="00721957"/>
    <w:rsid w:val="007234EA"/>
    <w:rsid w:val="0072440F"/>
    <w:rsid w:val="00724924"/>
    <w:rsid w:val="007253C2"/>
    <w:rsid w:val="00725D06"/>
    <w:rsid w:val="00732922"/>
    <w:rsid w:val="00735AFE"/>
    <w:rsid w:val="00737EFC"/>
    <w:rsid w:val="0074029F"/>
    <w:rsid w:val="0074305D"/>
    <w:rsid w:val="00744253"/>
    <w:rsid w:val="00746A43"/>
    <w:rsid w:val="00747136"/>
    <w:rsid w:val="0075026B"/>
    <w:rsid w:val="0075104C"/>
    <w:rsid w:val="0075162E"/>
    <w:rsid w:val="00751715"/>
    <w:rsid w:val="007523BE"/>
    <w:rsid w:val="00754034"/>
    <w:rsid w:val="00756556"/>
    <w:rsid w:val="0075775A"/>
    <w:rsid w:val="00757DCC"/>
    <w:rsid w:val="007618C4"/>
    <w:rsid w:val="007637F5"/>
    <w:rsid w:val="00766C41"/>
    <w:rsid w:val="00767809"/>
    <w:rsid w:val="00767980"/>
    <w:rsid w:val="00770B19"/>
    <w:rsid w:val="00770B86"/>
    <w:rsid w:val="00771599"/>
    <w:rsid w:val="0077244C"/>
    <w:rsid w:val="00772A86"/>
    <w:rsid w:val="0077463F"/>
    <w:rsid w:val="00774D90"/>
    <w:rsid w:val="00775F96"/>
    <w:rsid w:val="00776B43"/>
    <w:rsid w:val="00776BC9"/>
    <w:rsid w:val="00777714"/>
    <w:rsid w:val="00781429"/>
    <w:rsid w:val="00781D07"/>
    <w:rsid w:val="0078278D"/>
    <w:rsid w:val="007836EA"/>
    <w:rsid w:val="00784CDA"/>
    <w:rsid w:val="00785388"/>
    <w:rsid w:val="00786BCB"/>
    <w:rsid w:val="007906C4"/>
    <w:rsid w:val="00790B8A"/>
    <w:rsid w:val="00791753"/>
    <w:rsid w:val="007940EA"/>
    <w:rsid w:val="00794FEB"/>
    <w:rsid w:val="007958D5"/>
    <w:rsid w:val="00795D29"/>
    <w:rsid w:val="00796139"/>
    <w:rsid w:val="007967E8"/>
    <w:rsid w:val="00796E0A"/>
    <w:rsid w:val="00797466"/>
    <w:rsid w:val="00797798"/>
    <w:rsid w:val="007A1F2F"/>
    <w:rsid w:val="007A2170"/>
    <w:rsid w:val="007A22BF"/>
    <w:rsid w:val="007A23C6"/>
    <w:rsid w:val="007A2601"/>
    <w:rsid w:val="007A28ED"/>
    <w:rsid w:val="007A2FFC"/>
    <w:rsid w:val="007A3323"/>
    <w:rsid w:val="007A48F1"/>
    <w:rsid w:val="007A5E1F"/>
    <w:rsid w:val="007A6E03"/>
    <w:rsid w:val="007A70E6"/>
    <w:rsid w:val="007A7645"/>
    <w:rsid w:val="007B15B6"/>
    <w:rsid w:val="007B3E96"/>
    <w:rsid w:val="007B43D2"/>
    <w:rsid w:val="007B72B8"/>
    <w:rsid w:val="007B7A58"/>
    <w:rsid w:val="007C21B5"/>
    <w:rsid w:val="007C2D78"/>
    <w:rsid w:val="007C687A"/>
    <w:rsid w:val="007C7D6B"/>
    <w:rsid w:val="007D47BB"/>
    <w:rsid w:val="007E4BD2"/>
    <w:rsid w:val="007E5165"/>
    <w:rsid w:val="007E793B"/>
    <w:rsid w:val="007F05A1"/>
    <w:rsid w:val="007F063A"/>
    <w:rsid w:val="007F1D21"/>
    <w:rsid w:val="007F23A1"/>
    <w:rsid w:val="007F30DC"/>
    <w:rsid w:val="007F4330"/>
    <w:rsid w:val="007F45B1"/>
    <w:rsid w:val="007F5716"/>
    <w:rsid w:val="00801393"/>
    <w:rsid w:val="008028F3"/>
    <w:rsid w:val="00802D49"/>
    <w:rsid w:val="00802F88"/>
    <w:rsid w:val="0080722C"/>
    <w:rsid w:val="0081293E"/>
    <w:rsid w:val="00812F41"/>
    <w:rsid w:val="00812F6F"/>
    <w:rsid w:val="0081374C"/>
    <w:rsid w:val="008145D0"/>
    <w:rsid w:val="00815465"/>
    <w:rsid w:val="00817E9A"/>
    <w:rsid w:val="008205CC"/>
    <w:rsid w:val="00820688"/>
    <w:rsid w:val="008224D2"/>
    <w:rsid w:val="00822CAB"/>
    <w:rsid w:val="00825D65"/>
    <w:rsid w:val="008306BD"/>
    <w:rsid w:val="00831351"/>
    <w:rsid w:val="00831A80"/>
    <w:rsid w:val="008327BD"/>
    <w:rsid w:val="00833743"/>
    <w:rsid w:val="008340A4"/>
    <w:rsid w:val="0083453B"/>
    <w:rsid w:val="00836C80"/>
    <w:rsid w:val="00837833"/>
    <w:rsid w:val="008458AA"/>
    <w:rsid w:val="00852164"/>
    <w:rsid w:val="00856670"/>
    <w:rsid w:val="00857098"/>
    <w:rsid w:val="0087135F"/>
    <w:rsid w:val="00871B65"/>
    <w:rsid w:val="00872D94"/>
    <w:rsid w:val="00880364"/>
    <w:rsid w:val="00880E00"/>
    <w:rsid w:val="0088100D"/>
    <w:rsid w:val="00881B4A"/>
    <w:rsid w:val="008827F0"/>
    <w:rsid w:val="008832BC"/>
    <w:rsid w:val="00883956"/>
    <w:rsid w:val="00884271"/>
    <w:rsid w:val="0088519E"/>
    <w:rsid w:val="00885FB2"/>
    <w:rsid w:val="008908E6"/>
    <w:rsid w:val="00891592"/>
    <w:rsid w:val="0089181A"/>
    <w:rsid w:val="00891E77"/>
    <w:rsid w:val="00891E9E"/>
    <w:rsid w:val="00893CDB"/>
    <w:rsid w:val="008943E6"/>
    <w:rsid w:val="008A049D"/>
    <w:rsid w:val="008A200F"/>
    <w:rsid w:val="008A2F68"/>
    <w:rsid w:val="008A4DA1"/>
    <w:rsid w:val="008A77C4"/>
    <w:rsid w:val="008B4397"/>
    <w:rsid w:val="008B4FA6"/>
    <w:rsid w:val="008B5282"/>
    <w:rsid w:val="008B7B52"/>
    <w:rsid w:val="008B7C17"/>
    <w:rsid w:val="008C08ED"/>
    <w:rsid w:val="008C2D01"/>
    <w:rsid w:val="008C40E6"/>
    <w:rsid w:val="008C5B12"/>
    <w:rsid w:val="008C5F65"/>
    <w:rsid w:val="008C6E81"/>
    <w:rsid w:val="008C7F47"/>
    <w:rsid w:val="008D0F7A"/>
    <w:rsid w:val="008D659D"/>
    <w:rsid w:val="008D68E4"/>
    <w:rsid w:val="008E0506"/>
    <w:rsid w:val="008E0CDD"/>
    <w:rsid w:val="008E0CFF"/>
    <w:rsid w:val="008E1D9F"/>
    <w:rsid w:val="008E212F"/>
    <w:rsid w:val="008E3F2A"/>
    <w:rsid w:val="008E5D6B"/>
    <w:rsid w:val="008E6619"/>
    <w:rsid w:val="008E76F0"/>
    <w:rsid w:val="008F0CDD"/>
    <w:rsid w:val="008F155F"/>
    <w:rsid w:val="008F15FE"/>
    <w:rsid w:val="008F2D29"/>
    <w:rsid w:val="008F2FC0"/>
    <w:rsid w:val="008F3E2A"/>
    <w:rsid w:val="008F5187"/>
    <w:rsid w:val="008F5515"/>
    <w:rsid w:val="008F60D8"/>
    <w:rsid w:val="008F6879"/>
    <w:rsid w:val="00901858"/>
    <w:rsid w:val="00902727"/>
    <w:rsid w:val="0090312B"/>
    <w:rsid w:val="0090380F"/>
    <w:rsid w:val="00903FE1"/>
    <w:rsid w:val="009064C7"/>
    <w:rsid w:val="0090710A"/>
    <w:rsid w:val="0091000A"/>
    <w:rsid w:val="00914FAB"/>
    <w:rsid w:val="0091736D"/>
    <w:rsid w:val="009217D2"/>
    <w:rsid w:val="00921F11"/>
    <w:rsid w:val="00922E09"/>
    <w:rsid w:val="009236D5"/>
    <w:rsid w:val="00924572"/>
    <w:rsid w:val="00926E37"/>
    <w:rsid w:val="0093037A"/>
    <w:rsid w:val="009312FC"/>
    <w:rsid w:val="00933185"/>
    <w:rsid w:val="00933481"/>
    <w:rsid w:val="00936E0B"/>
    <w:rsid w:val="009372CE"/>
    <w:rsid w:val="0094154D"/>
    <w:rsid w:val="0094356A"/>
    <w:rsid w:val="009460F2"/>
    <w:rsid w:val="0095028D"/>
    <w:rsid w:val="0095155F"/>
    <w:rsid w:val="00954429"/>
    <w:rsid w:val="009563CE"/>
    <w:rsid w:val="00965914"/>
    <w:rsid w:val="00970652"/>
    <w:rsid w:val="00971A80"/>
    <w:rsid w:val="00971FFF"/>
    <w:rsid w:val="00972129"/>
    <w:rsid w:val="00972841"/>
    <w:rsid w:val="009732E5"/>
    <w:rsid w:val="009746AB"/>
    <w:rsid w:val="00975FE4"/>
    <w:rsid w:val="00976328"/>
    <w:rsid w:val="0097680D"/>
    <w:rsid w:val="00980DBD"/>
    <w:rsid w:val="00982438"/>
    <w:rsid w:val="009825DC"/>
    <w:rsid w:val="00982873"/>
    <w:rsid w:val="0098404C"/>
    <w:rsid w:val="00985283"/>
    <w:rsid w:val="009863DB"/>
    <w:rsid w:val="00995992"/>
    <w:rsid w:val="0099764F"/>
    <w:rsid w:val="009A03E5"/>
    <w:rsid w:val="009A0F3B"/>
    <w:rsid w:val="009A16B1"/>
    <w:rsid w:val="009A1BB4"/>
    <w:rsid w:val="009A2628"/>
    <w:rsid w:val="009A3200"/>
    <w:rsid w:val="009A495B"/>
    <w:rsid w:val="009A49A9"/>
    <w:rsid w:val="009A73E3"/>
    <w:rsid w:val="009B0897"/>
    <w:rsid w:val="009B17FA"/>
    <w:rsid w:val="009B21DC"/>
    <w:rsid w:val="009B37C5"/>
    <w:rsid w:val="009B56DC"/>
    <w:rsid w:val="009B6FA7"/>
    <w:rsid w:val="009B7BD9"/>
    <w:rsid w:val="009C49B2"/>
    <w:rsid w:val="009C4A81"/>
    <w:rsid w:val="009C6C69"/>
    <w:rsid w:val="009C74EB"/>
    <w:rsid w:val="009C7DD5"/>
    <w:rsid w:val="009D3F54"/>
    <w:rsid w:val="009D5B89"/>
    <w:rsid w:val="009D6EF1"/>
    <w:rsid w:val="009D73FB"/>
    <w:rsid w:val="009E0A75"/>
    <w:rsid w:val="009E1FF6"/>
    <w:rsid w:val="009E227D"/>
    <w:rsid w:val="009E41CD"/>
    <w:rsid w:val="009E4DE2"/>
    <w:rsid w:val="009E5019"/>
    <w:rsid w:val="009E7B0D"/>
    <w:rsid w:val="009E7ED1"/>
    <w:rsid w:val="009F0530"/>
    <w:rsid w:val="009F43E6"/>
    <w:rsid w:val="00A01EAE"/>
    <w:rsid w:val="00A03D2F"/>
    <w:rsid w:val="00A04F1B"/>
    <w:rsid w:val="00A0501B"/>
    <w:rsid w:val="00A07308"/>
    <w:rsid w:val="00A14947"/>
    <w:rsid w:val="00A14CAB"/>
    <w:rsid w:val="00A15C74"/>
    <w:rsid w:val="00A16EF3"/>
    <w:rsid w:val="00A17AAE"/>
    <w:rsid w:val="00A2098C"/>
    <w:rsid w:val="00A20DB4"/>
    <w:rsid w:val="00A22121"/>
    <w:rsid w:val="00A22698"/>
    <w:rsid w:val="00A2706E"/>
    <w:rsid w:val="00A27420"/>
    <w:rsid w:val="00A328EE"/>
    <w:rsid w:val="00A32A83"/>
    <w:rsid w:val="00A368DB"/>
    <w:rsid w:val="00A371B8"/>
    <w:rsid w:val="00A40E73"/>
    <w:rsid w:val="00A423AA"/>
    <w:rsid w:val="00A42A95"/>
    <w:rsid w:val="00A44839"/>
    <w:rsid w:val="00A450CB"/>
    <w:rsid w:val="00A50D22"/>
    <w:rsid w:val="00A53EC6"/>
    <w:rsid w:val="00A5526C"/>
    <w:rsid w:val="00A55C0F"/>
    <w:rsid w:val="00A60EB2"/>
    <w:rsid w:val="00A62FEA"/>
    <w:rsid w:val="00A643F9"/>
    <w:rsid w:val="00A6458C"/>
    <w:rsid w:val="00A64D29"/>
    <w:rsid w:val="00A67F3B"/>
    <w:rsid w:val="00A73361"/>
    <w:rsid w:val="00A73903"/>
    <w:rsid w:val="00A741C0"/>
    <w:rsid w:val="00A74BE9"/>
    <w:rsid w:val="00A750AA"/>
    <w:rsid w:val="00A770B0"/>
    <w:rsid w:val="00A777F5"/>
    <w:rsid w:val="00A80B17"/>
    <w:rsid w:val="00A81EFB"/>
    <w:rsid w:val="00A82FB5"/>
    <w:rsid w:val="00A85F84"/>
    <w:rsid w:val="00A867FA"/>
    <w:rsid w:val="00A8713F"/>
    <w:rsid w:val="00A90BA1"/>
    <w:rsid w:val="00A93036"/>
    <w:rsid w:val="00A94D53"/>
    <w:rsid w:val="00A96661"/>
    <w:rsid w:val="00A96DD0"/>
    <w:rsid w:val="00A971D6"/>
    <w:rsid w:val="00A97A9A"/>
    <w:rsid w:val="00AA0671"/>
    <w:rsid w:val="00AA0EC3"/>
    <w:rsid w:val="00AA2531"/>
    <w:rsid w:val="00AA2A2F"/>
    <w:rsid w:val="00AA4390"/>
    <w:rsid w:val="00AA7A30"/>
    <w:rsid w:val="00AB0786"/>
    <w:rsid w:val="00AB087D"/>
    <w:rsid w:val="00AB1676"/>
    <w:rsid w:val="00AB1E09"/>
    <w:rsid w:val="00AB1F5A"/>
    <w:rsid w:val="00AB224C"/>
    <w:rsid w:val="00AB4283"/>
    <w:rsid w:val="00AB5330"/>
    <w:rsid w:val="00AB5884"/>
    <w:rsid w:val="00AB70E7"/>
    <w:rsid w:val="00AB7747"/>
    <w:rsid w:val="00AC1400"/>
    <w:rsid w:val="00AC14CE"/>
    <w:rsid w:val="00AC2A56"/>
    <w:rsid w:val="00AC2B61"/>
    <w:rsid w:val="00AC63BA"/>
    <w:rsid w:val="00AC6794"/>
    <w:rsid w:val="00AC7319"/>
    <w:rsid w:val="00AC7839"/>
    <w:rsid w:val="00AD02E2"/>
    <w:rsid w:val="00AD055E"/>
    <w:rsid w:val="00AD0A2A"/>
    <w:rsid w:val="00AD1B13"/>
    <w:rsid w:val="00AD3A66"/>
    <w:rsid w:val="00AD410B"/>
    <w:rsid w:val="00AD47A7"/>
    <w:rsid w:val="00AD72DC"/>
    <w:rsid w:val="00AE3649"/>
    <w:rsid w:val="00AE3D93"/>
    <w:rsid w:val="00AE3E80"/>
    <w:rsid w:val="00AE5285"/>
    <w:rsid w:val="00AE5337"/>
    <w:rsid w:val="00AF0CBF"/>
    <w:rsid w:val="00AF1127"/>
    <w:rsid w:val="00AF1299"/>
    <w:rsid w:val="00AF257F"/>
    <w:rsid w:val="00AF33CF"/>
    <w:rsid w:val="00AF4D50"/>
    <w:rsid w:val="00AF6179"/>
    <w:rsid w:val="00B00469"/>
    <w:rsid w:val="00B05C2A"/>
    <w:rsid w:val="00B11EFD"/>
    <w:rsid w:val="00B1295A"/>
    <w:rsid w:val="00B14B32"/>
    <w:rsid w:val="00B14DB9"/>
    <w:rsid w:val="00B1512A"/>
    <w:rsid w:val="00B15718"/>
    <w:rsid w:val="00B174AD"/>
    <w:rsid w:val="00B20232"/>
    <w:rsid w:val="00B20A45"/>
    <w:rsid w:val="00B22C5C"/>
    <w:rsid w:val="00B246A6"/>
    <w:rsid w:val="00B24F30"/>
    <w:rsid w:val="00B25593"/>
    <w:rsid w:val="00B305F6"/>
    <w:rsid w:val="00B312F1"/>
    <w:rsid w:val="00B31ABF"/>
    <w:rsid w:val="00B32E56"/>
    <w:rsid w:val="00B32FEE"/>
    <w:rsid w:val="00B33BE3"/>
    <w:rsid w:val="00B3552E"/>
    <w:rsid w:val="00B37B75"/>
    <w:rsid w:val="00B37ED1"/>
    <w:rsid w:val="00B41DF4"/>
    <w:rsid w:val="00B441B7"/>
    <w:rsid w:val="00B441CB"/>
    <w:rsid w:val="00B443CC"/>
    <w:rsid w:val="00B45C34"/>
    <w:rsid w:val="00B46189"/>
    <w:rsid w:val="00B472BB"/>
    <w:rsid w:val="00B4733A"/>
    <w:rsid w:val="00B50394"/>
    <w:rsid w:val="00B50EA8"/>
    <w:rsid w:val="00B50FA0"/>
    <w:rsid w:val="00B517E0"/>
    <w:rsid w:val="00B539AF"/>
    <w:rsid w:val="00B53B5D"/>
    <w:rsid w:val="00B55825"/>
    <w:rsid w:val="00B56AA4"/>
    <w:rsid w:val="00B57A0E"/>
    <w:rsid w:val="00B57C6A"/>
    <w:rsid w:val="00B57D32"/>
    <w:rsid w:val="00B6055E"/>
    <w:rsid w:val="00B60CB1"/>
    <w:rsid w:val="00B61875"/>
    <w:rsid w:val="00B62C3B"/>
    <w:rsid w:val="00B6317D"/>
    <w:rsid w:val="00B64E37"/>
    <w:rsid w:val="00B65543"/>
    <w:rsid w:val="00B658AA"/>
    <w:rsid w:val="00B660D6"/>
    <w:rsid w:val="00B708CB"/>
    <w:rsid w:val="00B71761"/>
    <w:rsid w:val="00B719AE"/>
    <w:rsid w:val="00B723A7"/>
    <w:rsid w:val="00B748C0"/>
    <w:rsid w:val="00B74CDC"/>
    <w:rsid w:val="00B74D10"/>
    <w:rsid w:val="00B7585C"/>
    <w:rsid w:val="00B762CD"/>
    <w:rsid w:val="00B7723F"/>
    <w:rsid w:val="00B778A1"/>
    <w:rsid w:val="00B779F9"/>
    <w:rsid w:val="00B80534"/>
    <w:rsid w:val="00B81558"/>
    <w:rsid w:val="00B82540"/>
    <w:rsid w:val="00B831E0"/>
    <w:rsid w:val="00B8433C"/>
    <w:rsid w:val="00B867EA"/>
    <w:rsid w:val="00B87491"/>
    <w:rsid w:val="00B910FC"/>
    <w:rsid w:val="00B912F7"/>
    <w:rsid w:val="00B959AD"/>
    <w:rsid w:val="00BA1A07"/>
    <w:rsid w:val="00BA29E9"/>
    <w:rsid w:val="00BA3944"/>
    <w:rsid w:val="00BA7142"/>
    <w:rsid w:val="00BB152E"/>
    <w:rsid w:val="00BB1B4E"/>
    <w:rsid w:val="00BB237C"/>
    <w:rsid w:val="00BB2541"/>
    <w:rsid w:val="00BB41A3"/>
    <w:rsid w:val="00BC0E53"/>
    <w:rsid w:val="00BC2F72"/>
    <w:rsid w:val="00BC32DC"/>
    <w:rsid w:val="00BC3396"/>
    <w:rsid w:val="00BC35B6"/>
    <w:rsid w:val="00BC3CE1"/>
    <w:rsid w:val="00BC51F1"/>
    <w:rsid w:val="00BC6A71"/>
    <w:rsid w:val="00BD1B51"/>
    <w:rsid w:val="00BD1E42"/>
    <w:rsid w:val="00BD30CC"/>
    <w:rsid w:val="00BD3434"/>
    <w:rsid w:val="00BD38A2"/>
    <w:rsid w:val="00BD413E"/>
    <w:rsid w:val="00BD4596"/>
    <w:rsid w:val="00BD5D5D"/>
    <w:rsid w:val="00BD6860"/>
    <w:rsid w:val="00BD7208"/>
    <w:rsid w:val="00BD7880"/>
    <w:rsid w:val="00BE1405"/>
    <w:rsid w:val="00BE2A16"/>
    <w:rsid w:val="00BE312D"/>
    <w:rsid w:val="00BE31FB"/>
    <w:rsid w:val="00BE3D4A"/>
    <w:rsid w:val="00BE4E51"/>
    <w:rsid w:val="00BF150A"/>
    <w:rsid w:val="00BF1C20"/>
    <w:rsid w:val="00BF4634"/>
    <w:rsid w:val="00BF51B2"/>
    <w:rsid w:val="00BF559B"/>
    <w:rsid w:val="00BF6CCC"/>
    <w:rsid w:val="00C002EA"/>
    <w:rsid w:val="00C0365E"/>
    <w:rsid w:val="00C03A60"/>
    <w:rsid w:val="00C066EB"/>
    <w:rsid w:val="00C10578"/>
    <w:rsid w:val="00C135BC"/>
    <w:rsid w:val="00C13DA4"/>
    <w:rsid w:val="00C13DFE"/>
    <w:rsid w:val="00C152B9"/>
    <w:rsid w:val="00C15427"/>
    <w:rsid w:val="00C1559F"/>
    <w:rsid w:val="00C15C68"/>
    <w:rsid w:val="00C15C95"/>
    <w:rsid w:val="00C1727F"/>
    <w:rsid w:val="00C1798E"/>
    <w:rsid w:val="00C17C86"/>
    <w:rsid w:val="00C222FD"/>
    <w:rsid w:val="00C23112"/>
    <w:rsid w:val="00C247E0"/>
    <w:rsid w:val="00C25914"/>
    <w:rsid w:val="00C2596A"/>
    <w:rsid w:val="00C26CFC"/>
    <w:rsid w:val="00C27537"/>
    <w:rsid w:val="00C3072B"/>
    <w:rsid w:val="00C328FE"/>
    <w:rsid w:val="00C33507"/>
    <w:rsid w:val="00C372E7"/>
    <w:rsid w:val="00C375FD"/>
    <w:rsid w:val="00C41522"/>
    <w:rsid w:val="00C41C25"/>
    <w:rsid w:val="00C4409D"/>
    <w:rsid w:val="00C44E72"/>
    <w:rsid w:val="00C45A06"/>
    <w:rsid w:val="00C45D28"/>
    <w:rsid w:val="00C47E5B"/>
    <w:rsid w:val="00C54080"/>
    <w:rsid w:val="00C55202"/>
    <w:rsid w:val="00C57A2D"/>
    <w:rsid w:val="00C60DA7"/>
    <w:rsid w:val="00C61E4B"/>
    <w:rsid w:val="00C64787"/>
    <w:rsid w:val="00C648D5"/>
    <w:rsid w:val="00C64BFF"/>
    <w:rsid w:val="00C66786"/>
    <w:rsid w:val="00C67804"/>
    <w:rsid w:val="00C704E9"/>
    <w:rsid w:val="00C7231B"/>
    <w:rsid w:val="00C72FBD"/>
    <w:rsid w:val="00C7539E"/>
    <w:rsid w:val="00C75A67"/>
    <w:rsid w:val="00C75F5D"/>
    <w:rsid w:val="00C763C9"/>
    <w:rsid w:val="00C76D62"/>
    <w:rsid w:val="00C80057"/>
    <w:rsid w:val="00C81466"/>
    <w:rsid w:val="00C82232"/>
    <w:rsid w:val="00C82913"/>
    <w:rsid w:val="00C84651"/>
    <w:rsid w:val="00C86986"/>
    <w:rsid w:val="00C9308A"/>
    <w:rsid w:val="00C93BBC"/>
    <w:rsid w:val="00C95F05"/>
    <w:rsid w:val="00C972B1"/>
    <w:rsid w:val="00C97575"/>
    <w:rsid w:val="00CA2CCE"/>
    <w:rsid w:val="00CA3584"/>
    <w:rsid w:val="00CA3677"/>
    <w:rsid w:val="00CA43FD"/>
    <w:rsid w:val="00CA4413"/>
    <w:rsid w:val="00CA53A5"/>
    <w:rsid w:val="00CA5C62"/>
    <w:rsid w:val="00CA7627"/>
    <w:rsid w:val="00CA7EF8"/>
    <w:rsid w:val="00CB1E18"/>
    <w:rsid w:val="00CB5AE7"/>
    <w:rsid w:val="00CB6B3E"/>
    <w:rsid w:val="00CB6EF8"/>
    <w:rsid w:val="00CC2BB2"/>
    <w:rsid w:val="00CC40A9"/>
    <w:rsid w:val="00CC4607"/>
    <w:rsid w:val="00CC489B"/>
    <w:rsid w:val="00CC6BA6"/>
    <w:rsid w:val="00CC71A3"/>
    <w:rsid w:val="00CC72F8"/>
    <w:rsid w:val="00CD11E1"/>
    <w:rsid w:val="00CD1788"/>
    <w:rsid w:val="00CD2BCD"/>
    <w:rsid w:val="00CD390F"/>
    <w:rsid w:val="00CD3A4C"/>
    <w:rsid w:val="00CD3AC8"/>
    <w:rsid w:val="00CD4342"/>
    <w:rsid w:val="00CD6650"/>
    <w:rsid w:val="00CD675A"/>
    <w:rsid w:val="00CD6FAD"/>
    <w:rsid w:val="00CE10E9"/>
    <w:rsid w:val="00CE2910"/>
    <w:rsid w:val="00CE3942"/>
    <w:rsid w:val="00CE5393"/>
    <w:rsid w:val="00CF0ABD"/>
    <w:rsid w:val="00CF220F"/>
    <w:rsid w:val="00CF36BE"/>
    <w:rsid w:val="00CF59AB"/>
    <w:rsid w:val="00CF6000"/>
    <w:rsid w:val="00D003F3"/>
    <w:rsid w:val="00D0364F"/>
    <w:rsid w:val="00D0439C"/>
    <w:rsid w:val="00D04658"/>
    <w:rsid w:val="00D04959"/>
    <w:rsid w:val="00D0575C"/>
    <w:rsid w:val="00D059B9"/>
    <w:rsid w:val="00D061D7"/>
    <w:rsid w:val="00D06834"/>
    <w:rsid w:val="00D06B79"/>
    <w:rsid w:val="00D0752F"/>
    <w:rsid w:val="00D10AEE"/>
    <w:rsid w:val="00D13205"/>
    <w:rsid w:val="00D166AF"/>
    <w:rsid w:val="00D27AA5"/>
    <w:rsid w:val="00D30663"/>
    <w:rsid w:val="00D308ED"/>
    <w:rsid w:val="00D31324"/>
    <w:rsid w:val="00D330BF"/>
    <w:rsid w:val="00D33E0C"/>
    <w:rsid w:val="00D34500"/>
    <w:rsid w:val="00D34FD6"/>
    <w:rsid w:val="00D35983"/>
    <w:rsid w:val="00D36D86"/>
    <w:rsid w:val="00D371D4"/>
    <w:rsid w:val="00D372E8"/>
    <w:rsid w:val="00D379BD"/>
    <w:rsid w:val="00D428AA"/>
    <w:rsid w:val="00D441DC"/>
    <w:rsid w:val="00D44368"/>
    <w:rsid w:val="00D44525"/>
    <w:rsid w:val="00D46EA1"/>
    <w:rsid w:val="00D50365"/>
    <w:rsid w:val="00D5060A"/>
    <w:rsid w:val="00D508BB"/>
    <w:rsid w:val="00D50A34"/>
    <w:rsid w:val="00D53EFA"/>
    <w:rsid w:val="00D57C94"/>
    <w:rsid w:val="00D61792"/>
    <w:rsid w:val="00D64480"/>
    <w:rsid w:val="00D648BC"/>
    <w:rsid w:val="00D6794C"/>
    <w:rsid w:val="00D701A0"/>
    <w:rsid w:val="00D730F3"/>
    <w:rsid w:val="00D7480D"/>
    <w:rsid w:val="00D76814"/>
    <w:rsid w:val="00D84049"/>
    <w:rsid w:val="00D85DE3"/>
    <w:rsid w:val="00D91994"/>
    <w:rsid w:val="00D9212E"/>
    <w:rsid w:val="00D92D0D"/>
    <w:rsid w:val="00D944BD"/>
    <w:rsid w:val="00D94A7C"/>
    <w:rsid w:val="00D95896"/>
    <w:rsid w:val="00DA3216"/>
    <w:rsid w:val="00DA48DE"/>
    <w:rsid w:val="00DA6408"/>
    <w:rsid w:val="00DA6E30"/>
    <w:rsid w:val="00DB2983"/>
    <w:rsid w:val="00DB31EB"/>
    <w:rsid w:val="00DB4E1E"/>
    <w:rsid w:val="00DB6445"/>
    <w:rsid w:val="00DB71F3"/>
    <w:rsid w:val="00DC1257"/>
    <w:rsid w:val="00DC3B9D"/>
    <w:rsid w:val="00DC3DC0"/>
    <w:rsid w:val="00DC5B2B"/>
    <w:rsid w:val="00DC5DD6"/>
    <w:rsid w:val="00DD29C0"/>
    <w:rsid w:val="00DD318D"/>
    <w:rsid w:val="00DE1E1B"/>
    <w:rsid w:val="00DE48F6"/>
    <w:rsid w:val="00DE4D13"/>
    <w:rsid w:val="00DE59CB"/>
    <w:rsid w:val="00DF04A8"/>
    <w:rsid w:val="00DF2E12"/>
    <w:rsid w:val="00DF396A"/>
    <w:rsid w:val="00DF514A"/>
    <w:rsid w:val="00DF6690"/>
    <w:rsid w:val="00DF6804"/>
    <w:rsid w:val="00E002BB"/>
    <w:rsid w:val="00E0032C"/>
    <w:rsid w:val="00E03443"/>
    <w:rsid w:val="00E0358D"/>
    <w:rsid w:val="00E04323"/>
    <w:rsid w:val="00E05F1E"/>
    <w:rsid w:val="00E0618F"/>
    <w:rsid w:val="00E070A2"/>
    <w:rsid w:val="00E07D32"/>
    <w:rsid w:val="00E10D3A"/>
    <w:rsid w:val="00E13DE8"/>
    <w:rsid w:val="00E152CE"/>
    <w:rsid w:val="00E22B1E"/>
    <w:rsid w:val="00E22F18"/>
    <w:rsid w:val="00E233A8"/>
    <w:rsid w:val="00E23884"/>
    <w:rsid w:val="00E248CF"/>
    <w:rsid w:val="00E25775"/>
    <w:rsid w:val="00E26538"/>
    <w:rsid w:val="00E2656A"/>
    <w:rsid w:val="00E26D4A"/>
    <w:rsid w:val="00E33476"/>
    <w:rsid w:val="00E33955"/>
    <w:rsid w:val="00E412D0"/>
    <w:rsid w:val="00E417AE"/>
    <w:rsid w:val="00E4221E"/>
    <w:rsid w:val="00E429A2"/>
    <w:rsid w:val="00E43258"/>
    <w:rsid w:val="00E44068"/>
    <w:rsid w:val="00E5016D"/>
    <w:rsid w:val="00E50E27"/>
    <w:rsid w:val="00E520EE"/>
    <w:rsid w:val="00E52C7A"/>
    <w:rsid w:val="00E52D60"/>
    <w:rsid w:val="00E560E9"/>
    <w:rsid w:val="00E56322"/>
    <w:rsid w:val="00E60982"/>
    <w:rsid w:val="00E60B83"/>
    <w:rsid w:val="00E62C62"/>
    <w:rsid w:val="00E64B4A"/>
    <w:rsid w:val="00E654C1"/>
    <w:rsid w:val="00E65560"/>
    <w:rsid w:val="00E65D97"/>
    <w:rsid w:val="00E710C3"/>
    <w:rsid w:val="00E72A5A"/>
    <w:rsid w:val="00E73354"/>
    <w:rsid w:val="00E73629"/>
    <w:rsid w:val="00E772D6"/>
    <w:rsid w:val="00E812C8"/>
    <w:rsid w:val="00E83C86"/>
    <w:rsid w:val="00E84B3F"/>
    <w:rsid w:val="00E84C51"/>
    <w:rsid w:val="00E8580E"/>
    <w:rsid w:val="00E86BE7"/>
    <w:rsid w:val="00E87FFA"/>
    <w:rsid w:val="00E9242D"/>
    <w:rsid w:val="00E93244"/>
    <w:rsid w:val="00E96A5C"/>
    <w:rsid w:val="00E97C03"/>
    <w:rsid w:val="00EA0660"/>
    <w:rsid w:val="00EA4D0B"/>
    <w:rsid w:val="00EA6A37"/>
    <w:rsid w:val="00EB1693"/>
    <w:rsid w:val="00EB24D3"/>
    <w:rsid w:val="00EB3AC9"/>
    <w:rsid w:val="00EB5255"/>
    <w:rsid w:val="00EB5C47"/>
    <w:rsid w:val="00EB6AF5"/>
    <w:rsid w:val="00EB7901"/>
    <w:rsid w:val="00EC2948"/>
    <w:rsid w:val="00EC3DB8"/>
    <w:rsid w:val="00EC41EB"/>
    <w:rsid w:val="00EC4EE8"/>
    <w:rsid w:val="00EC50A5"/>
    <w:rsid w:val="00EC5694"/>
    <w:rsid w:val="00EC5E57"/>
    <w:rsid w:val="00ED0639"/>
    <w:rsid w:val="00ED09C0"/>
    <w:rsid w:val="00ED15BE"/>
    <w:rsid w:val="00ED1720"/>
    <w:rsid w:val="00ED2280"/>
    <w:rsid w:val="00ED5305"/>
    <w:rsid w:val="00ED659D"/>
    <w:rsid w:val="00ED6945"/>
    <w:rsid w:val="00ED6BE8"/>
    <w:rsid w:val="00EE4123"/>
    <w:rsid w:val="00EE431B"/>
    <w:rsid w:val="00EE6780"/>
    <w:rsid w:val="00EF4755"/>
    <w:rsid w:val="00EF580B"/>
    <w:rsid w:val="00EF61C9"/>
    <w:rsid w:val="00EF7135"/>
    <w:rsid w:val="00EF750B"/>
    <w:rsid w:val="00F01B8D"/>
    <w:rsid w:val="00F01B92"/>
    <w:rsid w:val="00F027DB"/>
    <w:rsid w:val="00F033B0"/>
    <w:rsid w:val="00F04FEB"/>
    <w:rsid w:val="00F06747"/>
    <w:rsid w:val="00F10B90"/>
    <w:rsid w:val="00F11108"/>
    <w:rsid w:val="00F11867"/>
    <w:rsid w:val="00F126FD"/>
    <w:rsid w:val="00F146D3"/>
    <w:rsid w:val="00F14A7A"/>
    <w:rsid w:val="00F1597C"/>
    <w:rsid w:val="00F17548"/>
    <w:rsid w:val="00F22128"/>
    <w:rsid w:val="00F22985"/>
    <w:rsid w:val="00F25910"/>
    <w:rsid w:val="00F27D08"/>
    <w:rsid w:val="00F27EA3"/>
    <w:rsid w:val="00F3127F"/>
    <w:rsid w:val="00F31BC3"/>
    <w:rsid w:val="00F3337E"/>
    <w:rsid w:val="00F3383E"/>
    <w:rsid w:val="00F40B0A"/>
    <w:rsid w:val="00F411AF"/>
    <w:rsid w:val="00F41F74"/>
    <w:rsid w:val="00F44FD6"/>
    <w:rsid w:val="00F465A7"/>
    <w:rsid w:val="00F46FCE"/>
    <w:rsid w:val="00F50B7C"/>
    <w:rsid w:val="00F50E5E"/>
    <w:rsid w:val="00F51928"/>
    <w:rsid w:val="00F54782"/>
    <w:rsid w:val="00F550E6"/>
    <w:rsid w:val="00F55BA7"/>
    <w:rsid w:val="00F56E46"/>
    <w:rsid w:val="00F603FC"/>
    <w:rsid w:val="00F65A27"/>
    <w:rsid w:val="00F67945"/>
    <w:rsid w:val="00F705B6"/>
    <w:rsid w:val="00F70D20"/>
    <w:rsid w:val="00F72C0F"/>
    <w:rsid w:val="00F72CCF"/>
    <w:rsid w:val="00F737BD"/>
    <w:rsid w:val="00F73C01"/>
    <w:rsid w:val="00F74345"/>
    <w:rsid w:val="00F743A3"/>
    <w:rsid w:val="00F76A7C"/>
    <w:rsid w:val="00F80A0A"/>
    <w:rsid w:val="00F82858"/>
    <w:rsid w:val="00F8290D"/>
    <w:rsid w:val="00F82B19"/>
    <w:rsid w:val="00F82B3E"/>
    <w:rsid w:val="00F84BC2"/>
    <w:rsid w:val="00F8566B"/>
    <w:rsid w:val="00F85F38"/>
    <w:rsid w:val="00F86F9D"/>
    <w:rsid w:val="00F877AA"/>
    <w:rsid w:val="00F90A1D"/>
    <w:rsid w:val="00F91F6F"/>
    <w:rsid w:val="00F9212D"/>
    <w:rsid w:val="00F92FBC"/>
    <w:rsid w:val="00F94122"/>
    <w:rsid w:val="00F965DA"/>
    <w:rsid w:val="00FA00CD"/>
    <w:rsid w:val="00FA08A0"/>
    <w:rsid w:val="00FA1FB5"/>
    <w:rsid w:val="00FA406A"/>
    <w:rsid w:val="00FA4BAF"/>
    <w:rsid w:val="00FA5CA3"/>
    <w:rsid w:val="00FB0F64"/>
    <w:rsid w:val="00FB1C74"/>
    <w:rsid w:val="00FB2553"/>
    <w:rsid w:val="00FB503A"/>
    <w:rsid w:val="00FB516C"/>
    <w:rsid w:val="00FB732A"/>
    <w:rsid w:val="00FB7915"/>
    <w:rsid w:val="00FC1B89"/>
    <w:rsid w:val="00FC1E30"/>
    <w:rsid w:val="00FC4962"/>
    <w:rsid w:val="00FC7ABA"/>
    <w:rsid w:val="00FC7F0E"/>
    <w:rsid w:val="00FD00F8"/>
    <w:rsid w:val="00FD0236"/>
    <w:rsid w:val="00FD18F4"/>
    <w:rsid w:val="00FD2D12"/>
    <w:rsid w:val="00FD3A1D"/>
    <w:rsid w:val="00FD489C"/>
    <w:rsid w:val="00FD54DB"/>
    <w:rsid w:val="00FD619F"/>
    <w:rsid w:val="00FE1364"/>
    <w:rsid w:val="00FE202F"/>
    <w:rsid w:val="00FE7DFB"/>
    <w:rsid w:val="00FF093A"/>
    <w:rsid w:val="00FF1021"/>
    <w:rsid w:val="00FF4272"/>
    <w:rsid w:val="00FF7CA9"/>
    <w:rsid w:val="01290F7E"/>
    <w:rsid w:val="01295A36"/>
    <w:rsid w:val="013600F5"/>
    <w:rsid w:val="015D1E09"/>
    <w:rsid w:val="01651AF0"/>
    <w:rsid w:val="01B66E93"/>
    <w:rsid w:val="01B875A1"/>
    <w:rsid w:val="01C963F3"/>
    <w:rsid w:val="01CC7978"/>
    <w:rsid w:val="01D30B9A"/>
    <w:rsid w:val="01FC62A1"/>
    <w:rsid w:val="021A7121"/>
    <w:rsid w:val="022975BD"/>
    <w:rsid w:val="02477318"/>
    <w:rsid w:val="024A6BE2"/>
    <w:rsid w:val="02697903"/>
    <w:rsid w:val="029056E6"/>
    <w:rsid w:val="02F96569"/>
    <w:rsid w:val="02FB3BA1"/>
    <w:rsid w:val="03324208"/>
    <w:rsid w:val="034A6242"/>
    <w:rsid w:val="0355045A"/>
    <w:rsid w:val="03DE3866"/>
    <w:rsid w:val="03EA7B21"/>
    <w:rsid w:val="04125DE2"/>
    <w:rsid w:val="04206073"/>
    <w:rsid w:val="042839DF"/>
    <w:rsid w:val="04402271"/>
    <w:rsid w:val="04670E54"/>
    <w:rsid w:val="04762137"/>
    <w:rsid w:val="047D1717"/>
    <w:rsid w:val="04A9786D"/>
    <w:rsid w:val="05184F9C"/>
    <w:rsid w:val="05504BFC"/>
    <w:rsid w:val="05614073"/>
    <w:rsid w:val="056D6BBC"/>
    <w:rsid w:val="058D7C5B"/>
    <w:rsid w:val="05AE650E"/>
    <w:rsid w:val="05DD39F7"/>
    <w:rsid w:val="05ED502B"/>
    <w:rsid w:val="05F83EAE"/>
    <w:rsid w:val="063E7D85"/>
    <w:rsid w:val="064E6EC7"/>
    <w:rsid w:val="065C04B1"/>
    <w:rsid w:val="06BA27AF"/>
    <w:rsid w:val="06D25D4A"/>
    <w:rsid w:val="07084DDF"/>
    <w:rsid w:val="07105903"/>
    <w:rsid w:val="071811E9"/>
    <w:rsid w:val="071A5202"/>
    <w:rsid w:val="07293586"/>
    <w:rsid w:val="07295285"/>
    <w:rsid w:val="07636392"/>
    <w:rsid w:val="07770C56"/>
    <w:rsid w:val="07BE007D"/>
    <w:rsid w:val="07C03183"/>
    <w:rsid w:val="07E749D2"/>
    <w:rsid w:val="08003B92"/>
    <w:rsid w:val="08597DA5"/>
    <w:rsid w:val="08894C98"/>
    <w:rsid w:val="0893237C"/>
    <w:rsid w:val="08C52FF0"/>
    <w:rsid w:val="08DB6A0C"/>
    <w:rsid w:val="092217DD"/>
    <w:rsid w:val="093A7294"/>
    <w:rsid w:val="09EA5159"/>
    <w:rsid w:val="0A0F696E"/>
    <w:rsid w:val="0A1E44DA"/>
    <w:rsid w:val="0A263993"/>
    <w:rsid w:val="0A2D3AC2"/>
    <w:rsid w:val="0A425B49"/>
    <w:rsid w:val="0A8E2084"/>
    <w:rsid w:val="0AA755DF"/>
    <w:rsid w:val="0B063B28"/>
    <w:rsid w:val="0B120D44"/>
    <w:rsid w:val="0B632869"/>
    <w:rsid w:val="0B901D30"/>
    <w:rsid w:val="0BA2105E"/>
    <w:rsid w:val="0BA81653"/>
    <w:rsid w:val="0BBF43C3"/>
    <w:rsid w:val="0BCE4606"/>
    <w:rsid w:val="0BD27BF6"/>
    <w:rsid w:val="0BE13872"/>
    <w:rsid w:val="0BFD7AE2"/>
    <w:rsid w:val="0C0149DC"/>
    <w:rsid w:val="0C1D4B5C"/>
    <w:rsid w:val="0C3B3C7D"/>
    <w:rsid w:val="0C3E4003"/>
    <w:rsid w:val="0C420689"/>
    <w:rsid w:val="0C4E58E0"/>
    <w:rsid w:val="0C793918"/>
    <w:rsid w:val="0C8C609A"/>
    <w:rsid w:val="0CA03F46"/>
    <w:rsid w:val="0CAB2EAE"/>
    <w:rsid w:val="0CC91FB9"/>
    <w:rsid w:val="0CCD15FF"/>
    <w:rsid w:val="0CCE1810"/>
    <w:rsid w:val="0CE538D2"/>
    <w:rsid w:val="0CF12CA2"/>
    <w:rsid w:val="0D621C7D"/>
    <w:rsid w:val="0DAB400E"/>
    <w:rsid w:val="0DC10CCD"/>
    <w:rsid w:val="0DCD2DC7"/>
    <w:rsid w:val="0DEE0F90"/>
    <w:rsid w:val="0DF9733D"/>
    <w:rsid w:val="0E254C35"/>
    <w:rsid w:val="0E4A117F"/>
    <w:rsid w:val="0E701751"/>
    <w:rsid w:val="0E73034D"/>
    <w:rsid w:val="0F087E2F"/>
    <w:rsid w:val="0F13775A"/>
    <w:rsid w:val="0F3340C5"/>
    <w:rsid w:val="0F4F4AA8"/>
    <w:rsid w:val="0F5F45FE"/>
    <w:rsid w:val="0F897CE1"/>
    <w:rsid w:val="0F9A112B"/>
    <w:rsid w:val="0FA7589A"/>
    <w:rsid w:val="0FE81C5B"/>
    <w:rsid w:val="0FF40105"/>
    <w:rsid w:val="102D6FBC"/>
    <w:rsid w:val="106D2F64"/>
    <w:rsid w:val="10B63710"/>
    <w:rsid w:val="10D821AF"/>
    <w:rsid w:val="10F10820"/>
    <w:rsid w:val="111C2F7A"/>
    <w:rsid w:val="11665CA1"/>
    <w:rsid w:val="119D06BE"/>
    <w:rsid w:val="11D32B00"/>
    <w:rsid w:val="11EB74F3"/>
    <w:rsid w:val="11EE571E"/>
    <w:rsid w:val="127F69E4"/>
    <w:rsid w:val="12E806A4"/>
    <w:rsid w:val="132077BC"/>
    <w:rsid w:val="13541012"/>
    <w:rsid w:val="13951726"/>
    <w:rsid w:val="139B3559"/>
    <w:rsid w:val="13A47F94"/>
    <w:rsid w:val="14196F70"/>
    <w:rsid w:val="14396509"/>
    <w:rsid w:val="1446582E"/>
    <w:rsid w:val="145853B5"/>
    <w:rsid w:val="14861F22"/>
    <w:rsid w:val="14B05AD4"/>
    <w:rsid w:val="14DD2C3C"/>
    <w:rsid w:val="151F51CF"/>
    <w:rsid w:val="1525798D"/>
    <w:rsid w:val="15771F23"/>
    <w:rsid w:val="15EB4733"/>
    <w:rsid w:val="15FD4466"/>
    <w:rsid w:val="16087E1D"/>
    <w:rsid w:val="16475E20"/>
    <w:rsid w:val="164E20A4"/>
    <w:rsid w:val="1663076D"/>
    <w:rsid w:val="16B87A7A"/>
    <w:rsid w:val="16DA2656"/>
    <w:rsid w:val="17090292"/>
    <w:rsid w:val="17246685"/>
    <w:rsid w:val="176A1876"/>
    <w:rsid w:val="17701D14"/>
    <w:rsid w:val="17735226"/>
    <w:rsid w:val="17816F76"/>
    <w:rsid w:val="1791527E"/>
    <w:rsid w:val="17966920"/>
    <w:rsid w:val="17CC2018"/>
    <w:rsid w:val="1826791E"/>
    <w:rsid w:val="185B064A"/>
    <w:rsid w:val="187E50E9"/>
    <w:rsid w:val="189F624C"/>
    <w:rsid w:val="18BF5A03"/>
    <w:rsid w:val="18C80743"/>
    <w:rsid w:val="19057C13"/>
    <w:rsid w:val="19324427"/>
    <w:rsid w:val="195A72B0"/>
    <w:rsid w:val="19AC41D9"/>
    <w:rsid w:val="1A094AE1"/>
    <w:rsid w:val="1A1C66C0"/>
    <w:rsid w:val="1A42393B"/>
    <w:rsid w:val="1AAD45DE"/>
    <w:rsid w:val="1AFD3EB3"/>
    <w:rsid w:val="1B046F80"/>
    <w:rsid w:val="1B0F77F2"/>
    <w:rsid w:val="1B1F6EF2"/>
    <w:rsid w:val="1B3267B5"/>
    <w:rsid w:val="1B3950CA"/>
    <w:rsid w:val="1B40161D"/>
    <w:rsid w:val="1B441859"/>
    <w:rsid w:val="1B5B0B4D"/>
    <w:rsid w:val="1B6606B1"/>
    <w:rsid w:val="1BF3389C"/>
    <w:rsid w:val="1C073948"/>
    <w:rsid w:val="1C1C4F1A"/>
    <w:rsid w:val="1C4169A1"/>
    <w:rsid w:val="1C4A101B"/>
    <w:rsid w:val="1C4F189B"/>
    <w:rsid w:val="1C5E7925"/>
    <w:rsid w:val="1C7A0724"/>
    <w:rsid w:val="1C8111F4"/>
    <w:rsid w:val="1C823CA4"/>
    <w:rsid w:val="1C99656B"/>
    <w:rsid w:val="1CC41839"/>
    <w:rsid w:val="1CC746C1"/>
    <w:rsid w:val="1CD02C41"/>
    <w:rsid w:val="1CFD070F"/>
    <w:rsid w:val="1D26331A"/>
    <w:rsid w:val="1D344824"/>
    <w:rsid w:val="1D5F6196"/>
    <w:rsid w:val="1D6132A5"/>
    <w:rsid w:val="1D762F10"/>
    <w:rsid w:val="1D8E56D5"/>
    <w:rsid w:val="1DA653E3"/>
    <w:rsid w:val="1E0A5972"/>
    <w:rsid w:val="1E147676"/>
    <w:rsid w:val="1E3637DD"/>
    <w:rsid w:val="1E7A43DA"/>
    <w:rsid w:val="1E870D71"/>
    <w:rsid w:val="1E8E7BB6"/>
    <w:rsid w:val="1EAF4A35"/>
    <w:rsid w:val="1EB82886"/>
    <w:rsid w:val="1ECE074D"/>
    <w:rsid w:val="1F3A235C"/>
    <w:rsid w:val="1F4B6242"/>
    <w:rsid w:val="1F502E6E"/>
    <w:rsid w:val="1F8507F5"/>
    <w:rsid w:val="1F86727A"/>
    <w:rsid w:val="1F88077C"/>
    <w:rsid w:val="1F896D6A"/>
    <w:rsid w:val="1FDA58E7"/>
    <w:rsid w:val="1FE67D19"/>
    <w:rsid w:val="1FE7539E"/>
    <w:rsid w:val="20621A95"/>
    <w:rsid w:val="20671BE0"/>
    <w:rsid w:val="20963CB8"/>
    <w:rsid w:val="20A81A1B"/>
    <w:rsid w:val="20B07FB6"/>
    <w:rsid w:val="20B646FB"/>
    <w:rsid w:val="20CE7F49"/>
    <w:rsid w:val="20D109C9"/>
    <w:rsid w:val="20DA5ACF"/>
    <w:rsid w:val="212979CB"/>
    <w:rsid w:val="213B74B1"/>
    <w:rsid w:val="215A2310"/>
    <w:rsid w:val="215E6604"/>
    <w:rsid w:val="21740D97"/>
    <w:rsid w:val="218131AC"/>
    <w:rsid w:val="21AF4921"/>
    <w:rsid w:val="21D100C5"/>
    <w:rsid w:val="21DE318A"/>
    <w:rsid w:val="21E11EAD"/>
    <w:rsid w:val="21EF5B80"/>
    <w:rsid w:val="222B73C8"/>
    <w:rsid w:val="22337404"/>
    <w:rsid w:val="22576990"/>
    <w:rsid w:val="22CC0C91"/>
    <w:rsid w:val="22F47480"/>
    <w:rsid w:val="23105E75"/>
    <w:rsid w:val="232049BB"/>
    <w:rsid w:val="23453260"/>
    <w:rsid w:val="23A8475F"/>
    <w:rsid w:val="23CD460E"/>
    <w:rsid w:val="23D3314B"/>
    <w:rsid w:val="23D80D9C"/>
    <w:rsid w:val="23DE1C48"/>
    <w:rsid w:val="240154A9"/>
    <w:rsid w:val="240210CD"/>
    <w:rsid w:val="24782132"/>
    <w:rsid w:val="24AE7FD4"/>
    <w:rsid w:val="24BF09F7"/>
    <w:rsid w:val="24CD76F9"/>
    <w:rsid w:val="252D53FE"/>
    <w:rsid w:val="25754C5B"/>
    <w:rsid w:val="2596422C"/>
    <w:rsid w:val="25A22C0E"/>
    <w:rsid w:val="25D157F3"/>
    <w:rsid w:val="25EB6089"/>
    <w:rsid w:val="25EC2D81"/>
    <w:rsid w:val="26007FC9"/>
    <w:rsid w:val="264F4E37"/>
    <w:rsid w:val="266D5C3A"/>
    <w:rsid w:val="26775B6F"/>
    <w:rsid w:val="26EA766D"/>
    <w:rsid w:val="276E7DE1"/>
    <w:rsid w:val="277057A2"/>
    <w:rsid w:val="27964216"/>
    <w:rsid w:val="279A7D67"/>
    <w:rsid w:val="27CE0D6D"/>
    <w:rsid w:val="27DC1F8E"/>
    <w:rsid w:val="27F645D9"/>
    <w:rsid w:val="280D521A"/>
    <w:rsid w:val="286372BA"/>
    <w:rsid w:val="288B7971"/>
    <w:rsid w:val="28C50E13"/>
    <w:rsid w:val="28DB5E79"/>
    <w:rsid w:val="290F1A15"/>
    <w:rsid w:val="291C4921"/>
    <w:rsid w:val="29206EB8"/>
    <w:rsid w:val="29595666"/>
    <w:rsid w:val="2977525D"/>
    <w:rsid w:val="29856EC0"/>
    <w:rsid w:val="29874881"/>
    <w:rsid w:val="29A63A65"/>
    <w:rsid w:val="29E325E0"/>
    <w:rsid w:val="2A07775B"/>
    <w:rsid w:val="2A1C187F"/>
    <w:rsid w:val="2A452503"/>
    <w:rsid w:val="2A734570"/>
    <w:rsid w:val="2B104788"/>
    <w:rsid w:val="2B2638C1"/>
    <w:rsid w:val="2B340871"/>
    <w:rsid w:val="2B681654"/>
    <w:rsid w:val="2B9256EB"/>
    <w:rsid w:val="2BA936A8"/>
    <w:rsid w:val="2BB804EE"/>
    <w:rsid w:val="2BDE4073"/>
    <w:rsid w:val="2BEE12F1"/>
    <w:rsid w:val="2BF532F0"/>
    <w:rsid w:val="2BFB6435"/>
    <w:rsid w:val="2C002371"/>
    <w:rsid w:val="2C315A5A"/>
    <w:rsid w:val="2C4B1C25"/>
    <w:rsid w:val="2C504E98"/>
    <w:rsid w:val="2CA23219"/>
    <w:rsid w:val="2D2F7F1B"/>
    <w:rsid w:val="2D9E56F5"/>
    <w:rsid w:val="2DA059AB"/>
    <w:rsid w:val="2DB9538F"/>
    <w:rsid w:val="2DFD44B7"/>
    <w:rsid w:val="2E3507E9"/>
    <w:rsid w:val="2E6478BE"/>
    <w:rsid w:val="2E667F96"/>
    <w:rsid w:val="2E8226AB"/>
    <w:rsid w:val="2F28762E"/>
    <w:rsid w:val="2F8C5AE5"/>
    <w:rsid w:val="2FD065E6"/>
    <w:rsid w:val="2FD96870"/>
    <w:rsid w:val="302723B3"/>
    <w:rsid w:val="303B19BB"/>
    <w:rsid w:val="30580BC9"/>
    <w:rsid w:val="306D7FBE"/>
    <w:rsid w:val="30B02A8D"/>
    <w:rsid w:val="30FA731E"/>
    <w:rsid w:val="310C7555"/>
    <w:rsid w:val="311E2ED7"/>
    <w:rsid w:val="315619EE"/>
    <w:rsid w:val="315C449C"/>
    <w:rsid w:val="318E51CC"/>
    <w:rsid w:val="319B6BB5"/>
    <w:rsid w:val="31B82709"/>
    <w:rsid w:val="31D05482"/>
    <w:rsid w:val="31E21AC1"/>
    <w:rsid w:val="322E18B9"/>
    <w:rsid w:val="32400B34"/>
    <w:rsid w:val="329E6876"/>
    <w:rsid w:val="32CB171C"/>
    <w:rsid w:val="32FC7CF1"/>
    <w:rsid w:val="333015F2"/>
    <w:rsid w:val="334B6320"/>
    <w:rsid w:val="336F6858"/>
    <w:rsid w:val="33716522"/>
    <w:rsid w:val="33B32D75"/>
    <w:rsid w:val="33BB5156"/>
    <w:rsid w:val="33CD3272"/>
    <w:rsid w:val="33D934D4"/>
    <w:rsid w:val="33FE2F6A"/>
    <w:rsid w:val="340E07E5"/>
    <w:rsid w:val="34235BF7"/>
    <w:rsid w:val="3489567C"/>
    <w:rsid w:val="354E178B"/>
    <w:rsid w:val="358C5FA8"/>
    <w:rsid w:val="35AA386B"/>
    <w:rsid w:val="35C15DF1"/>
    <w:rsid w:val="36074A7F"/>
    <w:rsid w:val="365B7ECA"/>
    <w:rsid w:val="36657792"/>
    <w:rsid w:val="36745C27"/>
    <w:rsid w:val="36923549"/>
    <w:rsid w:val="36A15A77"/>
    <w:rsid w:val="36AA7887"/>
    <w:rsid w:val="36B75FBF"/>
    <w:rsid w:val="36BD0C45"/>
    <w:rsid w:val="36C00E6C"/>
    <w:rsid w:val="36D82946"/>
    <w:rsid w:val="36F210DA"/>
    <w:rsid w:val="3715770A"/>
    <w:rsid w:val="372B2789"/>
    <w:rsid w:val="373760CD"/>
    <w:rsid w:val="377639C2"/>
    <w:rsid w:val="37E00298"/>
    <w:rsid w:val="37E5578B"/>
    <w:rsid w:val="380747B0"/>
    <w:rsid w:val="38107BD1"/>
    <w:rsid w:val="3811011D"/>
    <w:rsid w:val="38242B87"/>
    <w:rsid w:val="38AB421C"/>
    <w:rsid w:val="38AE5C49"/>
    <w:rsid w:val="38B302F9"/>
    <w:rsid w:val="38C509BB"/>
    <w:rsid w:val="38F12CD3"/>
    <w:rsid w:val="38F14916"/>
    <w:rsid w:val="38F92413"/>
    <w:rsid w:val="38F94775"/>
    <w:rsid w:val="39043EDF"/>
    <w:rsid w:val="392971ED"/>
    <w:rsid w:val="39325651"/>
    <w:rsid w:val="39F630CD"/>
    <w:rsid w:val="3A236D54"/>
    <w:rsid w:val="3A512CFA"/>
    <w:rsid w:val="3A7333BB"/>
    <w:rsid w:val="3A7C32FC"/>
    <w:rsid w:val="3A872856"/>
    <w:rsid w:val="3B0A014A"/>
    <w:rsid w:val="3B126C1B"/>
    <w:rsid w:val="3B3763D1"/>
    <w:rsid w:val="3B715A71"/>
    <w:rsid w:val="3BD66F63"/>
    <w:rsid w:val="3C096E11"/>
    <w:rsid w:val="3C0D1E12"/>
    <w:rsid w:val="3C2F6E1E"/>
    <w:rsid w:val="3C4F64BA"/>
    <w:rsid w:val="3CDA245A"/>
    <w:rsid w:val="3CF2058D"/>
    <w:rsid w:val="3CF96461"/>
    <w:rsid w:val="3D1779E0"/>
    <w:rsid w:val="3D1E06B7"/>
    <w:rsid w:val="3D9B7E1F"/>
    <w:rsid w:val="3DB31F80"/>
    <w:rsid w:val="3DCA2051"/>
    <w:rsid w:val="3DCE2069"/>
    <w:rsid w:val="3DF91238"/>
    <w:rsid w:val="3DF964E2"/>
    <w:rsid w:val="3DFA2EB5"/>
    <w:rsid w:val="3E984A13"/>
    <w:rsid w:val="3EDA0523"/>
    <w:rsid w:val="3F320CCC"/>
    <w:rsid w:val="3F3C7C65"/>
    <w:rsid w:val="3F780536"/>
    <w:rsid w:val="3FD87226"/>
    <w:rsid w:val="400C5122"/>
    <w:rsid w:val="40675DB4"/>
    <w:rsid w:val="407056B1"/>
    <w:rsid w:val="407A6407"/>
    <w:rsid w:val="40933C21"/>
    <w:rsid w:val="41322966"/>
    <w:rsid w:val="41575755"/>
    <w:rsid w:val="41826A64"/>
    <w:rsid w:val="419429B1"/>
    <w:rsid w:val="41F8770C"/>
    <w:rsid w:val="4200449D"/>
    <w:rsid w:val="423A3BCC"/>
    <w:rsid w:val="424E57D2"/>
    <w:rsid w:val="426C4ECC"/>
    <w:rsid w:val="42790B1C"/>
    <w:rsid w:val="42B26C49"/>
    <w:rsid w:val="42D77922"/>
    <w:rsid w:val="42D945D1"/>
    <w:rsid w:val="4338647E"/>
    <w:rsid w:val="433A6FE6"/>
    <w:rsid w:val="43480868"/>
    <w:rsid w:val="43503578"/>
    <w:rsid w:val="4350713C"/>
    <w:rsid w:val="436653E0"/>
    <w:rsid w:val="43937533"/>
    <w:rsid w:val="43BA107A"/>
    <w:rsid w:val="43C4431A"/>
    <w:rsid w:val="443815DD"/>
    <w:rsid w:val="446812AA"/>
    <w:rsid w:val="4480088D"/>
    <w:rsid w:val="44B951CC"/>
    <w:rsid w:val="44CD14E0"/>
    <w:rsid w:val="44DF1312"/>
    <w:rsid w:val="44DF4BB3"/>
    <w:rsid w:val="44E65F41"/>
    <w:rsid w:val="44F20B0B"/>
    <w:rsid w:val="45131561"/>
    <w:rsid w:val="452E5F4C"/>
    <w:rsid w:val="45612018"/>
    <w:rsid w:val="45870DB3"/>
    <w:rsid w:val="458946E9"/>
    <w:rsid w:val="45A47C0E"/>
    <w:rsid w:val="45C85647"/>
    <w:rsid w:val="45EF52CA"/>
    <w:rsid w:val="4614088C"/>
    <w:rsid w:val="461C53A1"/>
    <w:rsid w:val="46577FD6"/>
    <w:rsid w:val="467A3F7C"/>
    <w:rsid w:val="46A64E3E"/>
    <w:rsid w:val="46D955A7"/>
    <w:rsid w:val="47040901"/>
    <w:rsid w:val="47133957"/>
    <w:rsid w:val="47191DC1"/>
    <w:rsid w:val="47262F6D"/>
    <w:rsid w:val="47953C4F"/>
    <w:rsid w:val="479C59EA"/>
    <w:rsid w:val="47A07E0C"/>
    <w:rsid w:val="47F41375"/>
    <w:rsid w:val="483328BE"/>
    <w:rsid w:val="48584DE4"/>
    <w:rsid w:val="4870272E"/>
    <w:rsid w:val="487922AD"/>
    <w:rsid w:val="489C0B83"/>
    <w:rsid w:val="48D65B21"/>
    <w:rsid w:val="490C7F41"/>
    <w:rsid w:val="49A81A17"/>
    <w:rsid w:val="49DC7715"/>
    <w:rsid w:val="4A023139"/>
    <w:rsid w:val="4A02485B"/>
    <w:rsid w:val="4A174ABD"/>
    <w:rsid w:val="4A3E3558"/>
    <w:rsid w:val="4A465603"/>
    <w:rsid w:val="4A6A6D04"/>
    <w:rsid w:val="4A7B576F"/>
    <w:rsid w:val="4A866DD9"/>
    <w:rsid w:val="4A87118A"/>
    <w:rsid w:val="4A9A5C89"/>
    <w:rsid w:val="4AA50120"/>
    <w:rsid w:val="4AF561A9"/>
    <w:rsid w:val="4B4D3CBA"/>
    <w:rsid w:val="4B5005ED"/>
    <w:rsid w:val="4B55797D"/>
    <w:rsid w:val="4B597A93"/>
    <w:rsid w:val="4BB467D3"/>
    <w:rsid w:val="4BF94DF6"/>
    <w:rsid w:val="4C4A0649"/>
    <w:rsid w:val="4C4D2EB3"/>
    <w:rsid w:val="4C714C8A"/>
    <w:rsid w:val="4C7E5ECA"/>
    <w:rsid w:val="4C876AA5"/>
    <w:rsid w:val="4CA566E2"/>
    <w:rsid w:val="4CB93F3C"/>
    <w:rsid w:val="4CBD7ED0"/>
    <w:rsid w:val="4CBF59F6"/>
    <w:rsid w:val="4CCE3E8B"/>
    <w:rsid w:val="4D0E00FB"/>
    <w:rsid w:val="4D176606"/>
    <w:rsid w:val="4D9B1158"/>
    <w:rsid w:val="4DB07692"/>
    <w:rsid w:val="4DCC61A6"/>
    <w:rsid w:val="4DD31850"/>
    <w:rsid w:val="4DEC4FB0"/>
    <w:rsid w:val="4DFF1014"/>
    <w:rsid w:val="4E075D8A"/>
    <w:rsid w:val="4E782781"/>
    <w:rsid w:val="4EA56E6D"/>
    <w:rsid w:val="4EC00FAD"/>
    <w:rsid w:val="4EC07803"/>
    <w:rsid w:val="4EC17EAF"/>
    <w:rsid w:val="4EC51089"/>
    <w:rsid w:val="4ECD3CCE"/>
    <w:rsid w:val="4F0E4A13"/>
    <w:rsid w:val="4F223997"/>
    <w:rsid w:val="4F3C5548"/>
    <w:rsid w:val="4F473A81"/>
    <w:rsid w:val="4F8933C5"/>
    <w:rsid w:val="4F9843DC"/>
    <w:rsid w:val="4FC62A8C"/>
    <w:rsid w:val="4FC9093A"/>
    <w:rsid w:val="4FCD042A"/>
    <w:rsid w:val="4FE20F0D"/>
    <w:rsid w:val="4FE51552"/>
    <w:rsid w:val="50131BB5"/>
    <w:rsid w:val="50245F5F"/>
    <w:rsid w:val="50254FF3"/>
    <w:rsid w:val="502838B2"/>
    <w:rsid w:val="504F7E6E"/>
    <w:rsid w:val="50504BB7"/>
    <w:rsid w:val="50504C4B"/>
    <w:rsid w:val="509B22D6"/>
    <w:rsid w:val="509C6E7C"/>
    <w:rsid w:val="50D3478F"/>
    <w:rsid w:val="50D6330E"/>
    <w:rsid w:val="50E20972"/>
    <w:rsid w:val="5114704E"/>
    <w:rsid w:val="514352B9"/>
    <w:rsid w:val="51604411"/>
    <w:rsid w:val="5162104E"/>
    <w:rsid w:val="516C2A6A"/>
    <w:rsid w:val="51A927D1"/>
    <w:rsid w:val="51B50CD4"/>
    <w:rsid w:val="523F3135"/>
    <w:rsid w:val="52705CA9"/>
    <w:rsid w:val="528E56E9"/>
    <w:rsid w:val="52AA3E9C"/>
    <w:rsid w:val="52D76B29"/>
    <w:rsid w:val="52FE42DB"/>
    <w:rsid w:val="530F2B07"/>
    <w:rsid w:val="5345573E"/>
    <w:rsid w:val="53693E06"/>
    <w:rsid w:val="53A039CC"/>
    <w:rsid w:val="53A1505A"/>
    <w:rsid w:val="53AF1D0A"/>
    <w:rsid w:val="53B2342F"/>
    <w:rsid w:val="53BE25B0"/>
    <w:rsid w:val="53EC3032"/>
    <w:rsid w:val="54063E08"/>
    <w:rsid w:val="543437E8"/>
    <w:rsid w:val="5449029B"/>
    <w:rsid w:val="546F6218"/>
    <w:rsid w:val="5494553A"/>
    <w:rsid w:val="54F73313"/>
    <w:rsid w:val="54F80955"/>
    <w:rsid w:val="555170A7"/>
    <w:rsid w:val="555B0462"/>
    <w:rsid w:val="556D0187"/>
    <w:rsid w:val="5587536D"/>
    <w:rsid w:val="559B174B"/>
    <w:rsid w:val="55CE0CF4"/>
    <w:rsid w:val="55F26D18"/>
    <w:rsid w:val="56372178"/>
    <w:rsid w:val="56493DD0"/>
    <w:rsid w:val="56B22A9C"/>
    <w:rsid w:val="56E105B4"/>
    <w:rsid w:val="571C4985"/>
    <w:rsid w:val="57554408"/>
    <w:rsid w:val="57B72A76"/>
    <w:rsid w:val="57C26FEA"/>
    <w:rsid w:val="57C3426C"/>
    <w:rsid w:val="57CE1F93"/>
    <w:rsid w:val="57E009DE"/>
    <w:rsid w:val="581C2673"/>
    <w:rsid w:val="581D5CC6"/>
    <w:rsid w:val="58212F9B"/>
    <w:rsid w:val="582C5E78"/>
    <w:rsid w:val="58403763"/>
    <w:rsid w:val="584375EF"/>
    <w:rsid w:val="58642B47"/>
    <w:rsid w:val="588743D1"/>
    <w:rsid w:val="5887701A"/>
    <w:rsid w:val="58AB32D2"/>
    <w:rsid w:val="58C37818"/>
    <w:rsid w:val="59120BC1"/>
    <w:rsid w:val="59277BF0"/>
    <w:rsid w:val="595955D7"/>
    <w:rsid w:val="59954DB3"/>
    <w:rsid w:val="59B61CAC"/>
    <w:rsid w:val="59B61F2F"/>
    <w:rsid w:val="59C0439F"/>
    <w:rsid w:val="5A0E51CF"/>
    <w:rsid w:val="5A3D43FE"/>
    <w:rsid w:val="5A6A2C66"/>
    <w:rsid w:val="5A72408C"/>
    <w:rsid w:val="5ABE2233"/>
    <w:rsid w:val="5ABF662D"/>
    <w:rsid w:val="5ACC1F22"/>
    <w:rsid w:val="5ADF7263"/>
    <w:rsid w:val="5AF8590C"/>
    <w:rsid w:val="5B1148EE"/>
    <w:rsid w:val="5B6A7475"/>
    <w:rsid w:val="5B865931"/>
    <w:rsid w:val="5BC11E7F"/>
    <w:rsid w:val="5BCF1086"/>
    <w:rsid w:val="5BDF5D95"/>
    <w:rsid w:val="5BFE7528"/>
    <w:rsid w:val="5C084598"/>
    <w:rsid w:val="5C563555"/>
    <w:rsid w:val="5C5D2B35"/>
    <w:rsid w:val="5C7419FB"/>
    <w:rsid w:val="5CB53C04"/>
    <w:rsid w:val="5D081F0B"/>
    <w:rsid w:val="5D137698"/>
    <w:rsid w:val="5D1C479E"/>
    <w:rsid w:val="5D595968"/>
    <w:rsid w:val="5D7C67E5"/>
    <w:rsid w:val="5D7C7911"/>
    <w:rsid w:val="5DC26AE0"/>
    <w:rsid w:val="5DD54510"/>
    <w:rsid w:val="5DF844CF"/>
    <w:rsid w:val="5E185937"/>
    <w:rsid w:val="5E2467F1"/>
    <w:rsid w:val="5E9071F2"/>
    <w:rsid w:val="5E9B5718"/>
    <w:rsid w:val="5F1A2B43"/>
    <w:rsid w:val="5F33219C"/>
    <w:rsid w:val="5F3538F6"/>
    <w:rsid w:val="5F4C0C3F"/>
    <w:rsid w:val="5F577D10"/>
    <w:rsid w:val="5F5C3E10"/>
    <w:rsid w:val="5F661D01"/>
    <w:rsid w:val="5F887535"/>
    <w:rsid w:val="5FB837BB"/>
    <w:rsid w:val="5FD7350E"/>
    <w:rsid w:val="60830691"/>
    <w:rsid w:val="60CC405A"/>
    <w:rsid w:val="60D827A9"/>
    <w:rsid w:val="60F15814"/>
    <w:rsid w:val="616F1A8B"/>
    <w:rsid w:val="61AC0BEA"/>
    <w:rsid w:val="61E215D8"/>
    <w:rsid w:val="61F849A0"/>
    <w:rsid w:val="621B3775"/>
    <w:rsid w:val="62364782"/>
    <w:rsid w:val="623E67F9"/>
    <w:rsid w:val="626D15F8"/>
    <w:rsid w:val="62A74B0A"/>
    <w:rsid w:val="62C073FA"/>
    <w:rsid w:val="63131153"/>
    <w:rsid w:val="632A29AF"/>
    <w:rsid w:val="633F490B"/>
    <w:rsid w:val="6343463D"/>
    <w:rsid w:val="63451E10"/>
    <w:rsid w:val="63620A31"/>
    <w:rsid w:val="638F556A"/>
    <w:rsid w:val="6394356A"/>
    <w:rsid w:val="63C61B2C"/>
    <w:rsid w:val="63D40BE9"/>
    <w:rsid w:val="63FF23E1"/>
    <w:rsid w:val="640A32DB"/>
    <w:rsid w:val="64102431"/>
    <w:rsid w:val="642B0D72"/>
    <w:rsid w:val="64305CB5"/>
    <w:rsid w:val="64425BBE"/>
    <w:rsid w:val="644630D8"/>
    <w:rsid w:val="647A7813"/>
    <w:rsid w:val="64A5243A"/>
    <w:rsid w:val="64F531DE"/>
    <w:rsid w:val="652E1513"/>
    <w:rsid w:val="65373578"/>
    <w:rsid w:val="65901D4A"/>
    <w:rsid w:val="65953340"/>
    <w:rsid w:val="65A25A5D"/>
    <w:rsid w:val="65FE1925"/>
    <w:rsid w:val="66145B1E"/>
    <w:rsid w:val="66263F98"/>
    <w:rsid w:val="668108AF"/>
    <w:rsid w:val="66AE4673"/>
    <w:rsid w:val="671F124A"/>
    <w:rsid w:val="673246AB"/>
    <w:rsid w:val="673F3837"/>
    <w:rsid w:val="677A33C6"/>
    <w:rsid w:val="67883798"/>
    <w:rsid w:val="67900263"/>
    <w:rsid w:val="681D4C43"/>
    <w:rsid w:val="681F6961"/>
    <w:rsid w:val="68210EBB"/>
    <w:rsid w:val="68403CAE"/>
    <w:rsid w:val="68610A2F"/>
    <w:rsid w:val="68805514"/>
    <w:rsid w:val="688C30A5"/>
    <w:rsid w:val="68906128"/>
    <w:rsid w:val="689B32BC"/>
    <w:rsid w:val="68AA0EB0"/>
    <w:rsid w:val="68B91F3D"/>
    <w:rsid w:val="68BF363E"/>
    <w:rsid w:val="68D0643D"/>
    <w:rsid w:val="68DE4B1E"/>
    <w:rsid w:val="68FC1793"/>
    <w:rsid w:val="68FE44E1"/>
    <w:rsid w:val="69316E2F"/>
    <w:rsid w:val="694D5CE0"/>
    <w:rsid w:val="694E2071"/>
    <w:rsid w:val="69766163"/>
    <w:rsid w:val="697A3B33"/>
    <w:rsid w:val="698E00E0"/>
    <w:rsid w:val="69D44760"/>
    <w:rsid w:val="6A3B3C57"/>
    <w:rsid w:val="6A520EC7"/>
    <w:rsid w:val="6AA52EE7"/>
    <w:rsid w:val="6AA81420"/>
    <w:rsid w:val="6AE368FC"/>
    <w:rsid w:val="6AF87E20"/>
    <w:rsid w:val="6B322639"/>
    <w:rsid w:val="6B6B3702"/>
    <w:rsid w:val="6B715CB5"/>
    <w:rsid w:val="6B7D0AFE"/>
    <w:rsid w:val="6BBA3D95"/>
    <w:rsid w:val="6BC75B4C"/>
    <w:rsid w:val="6BD70FFF"/>
    <w:rsid w:val="6BDD334B"/>
    <w:rsid w:val="6C33747F"/>
    <w:rsid w:val="6C636C38"/>
    <w:rsid w:val="6C6A5F34"/>
    <w:rsid w:val="6C9A56E0"/>
    <w:rsid w:val="6CAB2FAC"/>
    <w:rsid w:val="6CC61410"/>
    <w:rsid w:val="6D4318D3"/>
    <w:rsid w:val="6D712E3D"/>
    <w:rsid w:val="6D9C7DA6"/>
    <w:rsid w:val="6DAC1227"/>
    <w:rsid w:val="6DB34098"/>
    <w:rsid w:val="6DB545B6"/>
    <w:rsid w:val="6DD8201C"/>
    <w:rsid w:val="6DE02FB4"/>
    <w:rsid w:val="6E514CED"/>
    <w:rsid w:val="6EB563D5"/>
    <w:rsid w:val="6ECE0E3E"/>
    <w:rsid w:val="6ED92677"/>
    <w:rsid w:val="6F0926A9"/>
    <w:rsid w:val="6F225983"/>
    <w:rsid w:val="6F316297"/>
    <w:rsid w:val="6F77284A"/>
    <w:rsid w:val="6FD1632B"/>
    <w:rsid w:val="6FE32EFA"/>
    <w:rsid w:val="6FEB2E9A"/>
    <w:rsid w:val="6FF70DAF"/>
    <w:rsid w:val="6FFC5590"/>
    <w:rsid w:val="70355FEC"/>
    <w:rsid w:val="706D1DD0"/>
    <w:rsid w:val="70855674"/>
    <w:rsid w:val="70856B87"/>
    <w:rsid w:val="708741CD"/>
    <w:rsid w:val="70D527EE"/>
    <w:rsid w:val="712D6B22"/>
    <w:rsid w:val="71342B30"/>
    <w:rsid w:val="715B5300"/>
    <w:rsid w:val="717733F2"/>
    <w:rsid w:val="718B6D66"/>
    <w:rsid w:val="71CE52D4"/>
    <w:rsid w:val="71D27F8A"/>
    <w:rsid w:val="72553024"/>
    <w:rsid w:val="726C367A"/>
    <w:rsid w:val="72C3692D"/>
    <w:rsid w:val="73122968"/>
    <w:rsid w:val="731F5D5E"/>
    <w:rsid w:val="73222C31"/>
    <w:rsid w:val="73375AF7"/>
    <w:rsid w:val="7343262D"/>
    <w:rsid w:val="73504BA8"/>
    <w:rsid w:val="73973D8B"/>
    <w:rsid w:val="739E1612"/>
    <w:rsid w:val="73B57AEB"/>
    <w:rsid w:val="73C51AD5"/>
    <w:rsid w:val="73C6500C"/>
    <w:rsid w:val="741E793C"/>
    <w:rsid w:val="743E193F"/>
    <w:rsid w:val="74550D5A"/>
    <w:rsid w:val="745E3944"/>
    <w:rsid w:val="74663772"/>
    <w:rsid w:val="74A419DE"/>
    <w:rsid w:val="74E03EAC"/>
    <w:rsid w:val="757307FB"/>
    <w:rsid w:val="75952ECC"/>
    <w:rsid w:val="759F179C"/>
    <w:rsid w:val="7635099D"/>
    <w:rsid w:val="763D6211"/>
    <w:rsid w:val="768806E5"/>
    <w:rsid w:val="76EF1037"/>
    <w:rsid w:val="76F23CBC"/>
    <w:rsid w:val="773A2284"/>
    <w:rsid w:val="7750356B"/>
    <w:rsid w:val="77762421"/>
    <w:rsid w:val="77B56B1F"/>
    <w:rsid w:val="780F09F4"/>
    <w:rsid w:val="781C5ED4"/>
    <w:rsid w:val="78601B77"/>
    <w:rsid w:val="78A90480"/>
    <w:rsid w:val="78D37839"/>
    <w:rsid w:val="79A77E07"/>
    <w:rsid w:val="79C142AC"/>
    <w:rsid w:val="79F0297D"/>
    <w:rsid w:val="7A364017"/>
    <w:rsid w:val="7A441DA3"/>
    <w:rsid w:val="7A4567A8"/>
    <w:rsid w:val="7A4D5B40"/>
    <w:rsid w:val="7A6D7F90"/>
    <w:rsid w:val="7A8265E1"/>
    <w:rsid w:val="7AA5597C"/>
    <w:rsid w:val="7ADF78A3"/>
    <w:rsid w:val="7AF25EAB"/>
    <w:rsid w:val="7AF745EE"/>
    <w:rsid w:val="7B0614CE"/>
    <w:rsid w:val="7B3D7927"/>
    <w:rsid w:val="7B601699"/>
    <w:rsid w:val="7B686D42"/>
    <w:rsid w:val="7B841746"/>
    <w:rsid w:val="7B9D3996"/>
    <w:rsid w:val="7BBE03CA"/>
    <w:rsid w:val="7C162E97"/>
    <w:rsid w:val="7C43369E"/>
    <w:rsid w:val="7C6C5AC7"/>
    <w:rsid w:val="7C7B27EB"/>
    <w:rsid w:val="7CA3413D"/>
    <w:rsid w:val="7CC6544B"/>
    <w:rsid w:val="7CC83BA3"/>
    <w:rsid w:val="7D0239FF"/>
    <w:rsid w:val="7D2452D6"/>
    <w:rsid w:val="7D271F43"/>
    <w:rsid w:val="7D496A92"/>
    <w:rsid w:val="7D5E40CD"/>
    <w:rsid w:val="7D7653AD"/>
    <w:rsid w:val="7D8D0A6F"/>
    <w:rsid w:val="7DCD56F2"/>
    <w:rsid w:val="7DD16A88"/>
    <w:rsid w:val="7EB87481"/>
    <w:rsid w:val="7EBC0FAE"/>
    <w:rsid w:val="7EC245AE"/>
    <w:rsid w:val="7ED36F3E"/>
    <w:rsid w:val="7F001CE7"/>
    <w:rsid w:val="7F4B53E5"/>
    <w:rsid w:val="7FA02BB5"/>
    <w:rsid w:val="7FB969C5"/>
    <w:rsid w:val="7FE47E50"/>
    <w:rsid w:val="7FE66697"/>
    <w:rsid w:val="7FFA3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sdException w:qFormat="1" w:unhideWhenUsed="0" w:uiPriority="0" w:semiHidden="0" w:name="Emphasis" w:locked="1"/>
    <w:lsdException w:unhideWhenUsed="0" w:uiPriority="0" w:semiHidden="0" w:name="Document Map"/>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name="HTML Typewriter" w:locked="1"/>
    <w:lsdException w:unhideWhenUsed="0" w:uiPriority="0" w:name="HTML Variable" w:locked="1"/>
    <w:lsdException w:qFormat="1" w:uiPriority="99"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qFormat="1"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26"/>
    <w:autoRedefine/>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24"/>
    <w:autoRedefine/>
    <w:qFormat/>
    <w:locked/>
    <w:uiPriority w:val="0"/>
    <w:pPr>
      <w:keepNext/>
      <w:keepLines/>
      <w:spacing w:before="260" w:after="260" w:line="416" w:lineRule="auto"/>
      <w:outlineLvl w:val="2"/>
    </w:pPr>
    <w:rPr>
      <w:b/>
      <w:bCs/>
      <w:sz w:val="32"/>
      <w:szCs w:val="32"/>
    </w:rPr>
  </w:style>
  <w:style w:type="paragraph" w:styleId="5">
    <w:name w:val="heading 5"/>
    <w:basedOn w:val="1"/>
    <w:next w:val="1"/>
    <w:link w:val="29"/>
    <w:autoRedefine/>
    <w:qFormat/>
    <w:locked/>
    <w:uiPriority w:val="0"/>
    <w:pPr>
      <w:keepNext/>
      <w:keepLines/>
      <w:spacing w:before="280" w:after="290" w:line="376" w:lineRule="auto"/>
      <w:outlineLvl w:val="4"/>
    </w:pPr>
    <w:rPr>
      <w:b/>
      <w:bCs/>
      <w:sz w:val="28"/>
      <w:szCs w:val="28"/>
    </w:rPr>
  </w:style>
  <w:style w:type="character" w:default="1" w:styleId="20">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semiHidden/>
    <w:qFormat/>
    <w:uiPriority w:val="0"/>
    <w:rPr>
      <w:rFonts w:ascii="微软雅黑" w:hAnsi="微软雅黑" w:eastAsia="微软雅黑" w:cs="微软雅黑"/>
      <w:sz w:val="29"/>
      <w:szCs w:val="29"/>
      <w:lang w:val="en-US" w:eastAsia="en-US" w:bidi="ar-SA"/>
    </w:rPr>
  </w:style>
  <w:style w:type="paragraph" w:styleId="8">
    <w:name w:val="Plain Text"/>
    <w:basedOn w:val="1"/>
    <w:next w:val="1"/>
    <w:unhideWhenUsed/>
    <w:qFormat/>
    <w:locked/>
    <w:uiPriority w:val="99"/>
    <w:pPr>
      <w:widowControl/>
      <w:spacing w:before="100" w:beforeAutospacing="1" w:after="100" w:afterAutospacing="1"/>
      <w:jc w:val="left"/>
    </w:pPr>
    <w:rPr>
      <w:rFonts w:ascii="ˎ̥" w:hAnsi="ˎ̥"/>
      <w:sz w:val="18"/>
      <w:szCs w:val="18"/>
    </w:rPr>
  </w:style>
  <w:style w:type="paragraph" w:styleId="9">
    <w:name w:val="footer"/>
    <w:basedOn w:val="1"/>
    <w:link w:val="33"/>
    <w:autoRedefine/>
    <w:qFormat/>
    <w:uiPriority w:val="99"/>
    <w:pPr>
      <w:tabs>
        <w:tab w:val="center" w:pos="4153"/>
        <w:tab w:val="right" w:pos="8306"/>
      </w:tabs>
      <w:snapToGrid w:val="0"/>
      <w:jc w:val="left"/>
    </w:pPr>
    <w:rPr>
      <w:kern w:val="0"/>
      <w:sz w:val="18"/>
      <w:szCs w:val="20"/>
    </w:rPr>
  </w:style>
  <w:style w:type="paragraph" w:styleId="10">
    <w:name w:val="header"/>
    <w:basedOn w:val="1"/>
    <w:link w:val="34"/>
    <w:autoRedefine/>
    <w:qFormat/>
    <w:uiPriority w:val="0"/>
    <w:pPr>
      <w:tabs>
        <w:tab w:val="center" w:pos="4153"/>
        <w:tab w:val="right" w:pos="8306"/>
      </w:tabs>
      <w:snapToGrid w:val="0"/>
      <w:ind w:firstLine="0" w:firstLineChars="0"/>
    </w:pPr>
    <w:rPr>
      <w:kern w:val="0"/>
      <w:sz w:val="18"/>
      <w:szCs w:val="20"/>
    </w:rPr>
  </w:style>
  <w:style w:type="paragraph" w:styleId="11">
    <w:name w:val="toc 1"/>
    <w:basedOn w:val="1"/>
    <w:next w:val="1"/>
    <w:qFormat/>
    <w:uiPriority w:val="0"/>
    <w:pPr>
      <w:tabs>
        <w:tab w:val="right" w:leader="dot" w:pos="8550"/>
      </w:tabs>
      <w:spacing w:before="120" w:after="120"/>
      <w:ind w:firstLine="0" w:firstLineChars="0"/>
      <w:jc w:val="left"/>
    </w:pPr>
    <w:rPr>
      <w:rFonts w:ascii="宋体" w:hAnsi="宋体" w:eastAsia="宋体"/>
      <w:bCs/>
      <w:caps/>
      <w:color w:val="000000"/>
      <w:kern w:val="0"/>
      <w:sz w:val="28"/>
      <w:szCs w:val="28"/>
    </w:rPr>
  </w:style>
  <w:style w:type="paragraph" w:styleId="12">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link w:val="32"/>
    <w:autoRedefine/>
    <w:qFormat/>
    <w:locked/>
    <w:uiPriority w:val="10"/>
    <w:pPr>
      <w:spacing w:line="240" w:lineRule="auto"/>
      <w:ind w:firstLine="0" w:firstLineChars="0"/>
      <w:jc w:val="left"/>
      <w:outlineLvl w:val="0"/>
    </w:pPr>
    <w:rPr>
      <w:b/>
      <w:bCs/>
      <w:sz w:val="32"/>
      <w:szCs w:val="32"/>
    </w:rPr>
  </w:style>
  <w:style w:type="paragraph" w:styleId="15">
    <w:name w:val="Body Text First Indent"/>
    <w:basedOn w:val="7"/>
    <w:unhideWhenUsed/>
    <w:qFormat/>
    <w:uiPriority w:val="99"/>
    <w:pPr>
      <w:ind w:firstLine="420" w:firstLineChars="100"/>
    </w:pPr>
  </w:style>
  <w:style w:type="table" w:styleId="17">
    <w:name w:val="Table Grid"/>
    <w:basedOn w:val="1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8">
    <w:name w:val="Table Theme"/>
    <w:basedOn w:val="16"/>
    <w:autoRedefine/>
    <w:qFormat/>
    <w:locked/>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9">
    <w:name w:val="Table Elegant"/>
    <w:basedOn w:val="16"/>
    <w:autoRedefine/>
    <w:qFormat/>
    <w:locked/>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21">
    <w:name w:val="Strong"/>
    <w:basedOn w:val="20"/>
    <w:qFormat/>
    <w:uiPriority w:val="0"/>
    <w:rPr>
      <w:b/>
    </w:rPr>
  </w:style>
  <w:style w:type="character" w:styleId="22">
    <w:name w:val="page number"/>
    <w:basedOn w:val="20"/>
    <w:autoRedefine/>
    <w:qFormat/>
    <w:locked/>
    <w:uiPriority w:val="0"/>
  </w:style>
  <w:style w:type="character" w:styleId="23">
    <w:name w:val="Hyperlink"/>
    <w:autoRedefine/>
    <w:unhideWhenUsed/>
    <w:qFormat/>
    <w:locked/>
    <w:uiPriority w:val="99"/>
    <w:rPr>
      <w:color w:val="0000FF"/>
      <w:u w:val="single"/>
    </w:rPr>
  </w:style>
  <w:style w:type="character" w:customStyle="1" w:styleId="24">
    <w:name w:val="标题 3 Char"/>
    <w:link w:val="4"/>
    <w:autoRedefine/>
    <w:semiHidden/>
    <w:qFormat/>
    <w:uiPriority w:val="0"/>
    <w:rPr>
      <w:b/>
      <w:bCs/>
      <w:kern w:val="2"/>
      <w:sz w:val="32"/>
      <w:szCs w:val="32"/>
    </w:rPr>
  </w:style>
  <w:style w:type="paragraph" w:customStyle="1" w:styleId="25">
    <w:name w:val="表格内容"/>
    <w:basedOn w:val="1"/>
    <w:qFormat/>
    <w:uiPriority w:val="0"/>
    <w:pPr>
      <w:spacing w:line="240" w:lineRule="auto"/>
      <w:ind w:firstLine="0" w:firstLineChars="0"/>
      <w:jc w:val="center"/>
    </w:pPr>
    <w:rPr>
      <w:rFonts w:ascii="Times New Roman" w:hAnsi="Times New Roman" w:eastAsia="宋体"/>
      <w:sz w:val="21"/>
      <w:szCs w:val="22"/>
    </w:rPr>
  </w:style>
  <w:style w:type="character" w:customStyle="1" w:styleId="26">
    <w:name w:val="标题 2 Char"/>
    <w:link w:val="3"/>
    <w:autoRedefine/>
    <w:semiHidden/>
    <w:qFormat/>
    <w:uiPriority w:val="0"/>
    <w:rPr>
      <w:rFonts w:ascii="Cambria" w:hAnsi="Cambria" w:eastAsia="宋体" w:cs="Times New Roman"/>
      <w:b/>
      <w:bCs/>
      <w:kern w:val="2"/>
      <w:sz w:val="32"/>
      <w:szCs w:val="32"/>
    </w:rPr>
  </w:style>
  <w:style w:type="paragraph" w:customStyle="1" w:styleId="27">
    <w:name w:val="Default"/>
    <w:basedOn w:val="28"/>
    <w:next w:val="1"/>
    <w:qFormat/>
    <w:uiPriority w:val="0"/>
    <w:pPr>
      <w:widowControl w:val="0"/>
      <w:autoSpaceDE w:val="0"/>
      <w:autoSpaceDN w:val="0"/>
    </w:pPr>
    <w:rPr>
      <w:rFonts w:hAnsi="Times New Roman" w:cs="宋体"/>
      <w:color w:val="000000"/>
      <w:szCs w:val="24"/>
    </w:rPr>
  </w:style>
  <w:style w:type="paragraph" w:customStyle="1" w:styleId="28">
    <w:name w:val="纯文本1"/>
    <w:basedOn w:val="1"/>
    <w:autoRedefine/>
    <w:qFormat/>
    <w:uiPriority w:val="0"/>
    <w:pPr>
      <w:adjustRightInd w:val="0"/>
    </w:pPr>
    <w:rPr>
      <w:rFonts w:ascii="宋体" w:hAnsi="Courier New"/>
    </w:rPr>
  </w:style>
  <w:style w:type="character" w:customStyle="1" w:styleId="29">
    <w:name w:val="标题 5 Char"/>
    <w:link w:val="5"/>
    <w:autoRedefine/>
    <w:semiHidden/>
    <w:qFormat/>
    <w:uiPriority w:val="0"/>
    <w:rPr>
      <w:b/>
      <w:bCs/>
      <w:kern w:val="2"/>
      <w:sz w:val="28"/>
      <w:szCs w:val="28"/>
    </w:rPr>
  </w:style>
  <w:style w:type="character" w:customStyle="1" w:styleId="30">
    <w:name w:val="页脚 Char"/>
    <w:link w:val="9"/>
    <w:autoRedefine/>
    <w:qFormat/>
    <w:locked/>
    <w:uiPriority w:val="99"/>
    <w:rPr>
      <w:sz w:val="18"/>
    </w:rPr>
  </w:style>
  <w:style w:type="character" w:customStyle="1" w:styleId="31">
    <w:name w:val="页眉 Char"/>
    <w:link w:val="10"/>
    <w:autoRedefine/>
    <w:qFormat/>
    <w:locked/>
    <w:uiPriority w:val="0"/>
    <w:rPr>
      <w:sz w:val="18"/>
    </w:rPr>
  </w:style>
  <w:style w:type="character" w:customStyle="1" w:styleId="32">
    <w:name w:val="标题 Char"/>
    <w:link w:val="14"/>
    <w:autoRedefine/>
    <w:qFormat/>
    <w:uiPriority w:val="10"/>
    <w:rPr>
      <w:rFonts w:cs="Times New Roman"/>
      <w:b/>
      <w:bCs/>
      <w:kern w:val="2"/>
      <w:sz w:val="32"/>
      <w:szCs w:val="32"/>
    </w:rPr>
  </w:style>
  <w:style w:type="character" w:customStyle="1" w:styleId="33">
    <w:name w:val="页脚 Char1"/>
    <w:basedOn w:val="20"/>
    <w:link w:val="9"/>
    <w:autoRedefine/>
    <w:qFormat/>
    <w:uiPriority w:val="0"/>
    <w:rPr>
      <w:rFonts w:hint="default" w:ascii="Calibri" w:hAnsi="Calibri" w:cs="Calibri"/>
    </w:rPr>
  </w:style>
  <w:style w:type="character" w:customStyle="1" w:styleId="34">
    <w:name w:val="页眉 Char1"/>
    <w:basedOn w:val="20"/>
    <w:link w:val="10"/>
    <w:autoRedefine/>
    <w:qFormat/>
    <w:uiPriority w:val="0"/>
    <w:rPr>
      <w:rFonts w:hint="default" w:ascii="Calibri" w:hAnsi="Calibri" w:cs="Calibri"/>
    </w:rPr>
  </w:style>
  <w:style w:type="paragraph" w:customStyle="1" w:styleId="35">
    <w:name w:val="表头"/>
    <w:basedOn w:val="36"/>
    <w:autoRedefine/>
    <w:qFormat/>
    <w:uiPriority w:val="0"/>
    <w:pPr>
      <w:spacing w:line="240" w:lineRule="auto"/>
      <w:ind w:firstLine="0" w:firstLineChars="0"/>
      <w:jc w:val="center"/>
    </w:pPr>
    <w:rPr>
      <w:rFonts w:cs="宋体"/>
      <w:b/>
      <w:color w:val="000000"/>
      <w:kern w:val="21"/>
      <w:sz w:val="21"/>
    </w:rPr>
  </w:style>
  <w:style w:type="paragraph" w:customStyle="1" w:styleId="36">
    <w:name w:val="表格"/>
    <w:basedOn w:val="1"/>
    <w:next w:val="1"/>
    <w:qFormat/>
    <w:uiPriority w:val="0"/>
    <w:pPr>
      <w:spacing w:line="240" w:lineRule="auto"/>
      <w:ind w:firstLine="0" w:firstLineChars="0"/>
      <w:jc w:val="center"/>
    </w:pPr>
    <w:rPr>
      <w:sz w:val="21"/>
    </w:rPr>
  </w:style>
  <w:style w:type="paragraph" w:customStyle="1" w:styleId="37">
    <w:name w:val="加粗"/>
    <w:basedOn w:val="36"/>
    <w:link w:val="39"/>
    <w:autoRedefine/>
    <w:qFormat/>
    <w:uiPriority w:val="0"/>
    <w:pPr>
      <w:spacing w:line="360" w:lineRule="auto"/>
      <w:ind w:firstLine="0" w:firstLineChars="0"/>
      <w:jc w:val="left"/>
    </w:pPr>
    <w:rPr>
      <w:rFonts w:cs="宋体"/>
      <w:color w:val="000000"/>
      <w:kern w:val="21"/>
    </w:rPr>
  </w:style>
  <w:style w:type="paragraph" w:customStyle="1" w:styleId="38">
    <w:name w:val="加缩"/>
    <w:basedOn w:val="35"/>
    <w:autoRedefine/>
    <w:qFormat/>
    <w:uiPriority w:val="0"/>
    <w:pPr>
      <w:spacing w:line="360" w:lineRule="auto"/>
      <w:ind w:firstLine="480" w:firstLineChars="200"/>
      <w:jc w:val="both"/>
    </w:pPr>
    <w:rPr>
      <w:sz w:val="24"/>
    </w:rPr>
  </w:style>
  <w:style w:type="character" w:customStyle="1" w:styleId="39">
    <w:name w:val="加粗 Char"/>
    <w:link w:val="37"/>
    <w:autoRedefine/>
    <w:qFormat/>
    <w:uiPriority w:val="0"/>
    <w:rPr>
      <w:rFonts w:eastAsia="宋体" w:cs="宋体"/>
      <w:b/>
      <w:color w:val="000000"/>
      <w:kern w:val="21"/>
      <w:sz w:val="24"/>
    </w:rPr>
  </w:style>
  <w:style w:type="paragraph" w:customStyle="1" w:styleId="40">
    <w:name w:val="框文"/>
    <w:basedOn w:val="1"/>
    <w:autoRedefine/>
    <w:qFormat/>
    <w:uiPriority w:val="0"/>
    <w:pPr>
      <w:adjustRightInd w:val="0"/>
      <w:snapToGrid w:val="0"/>
      <w:spacing w:line="240" w:lineRule="auto"/>
      <w:ind w:firstLine="0" w:firstLineChars="0"/>
      <w:jc w:val="center"/>
    </w:pPr>
    <w:rPr>
      <w:rFonts w:cs="宋体"/>
      <w:szCs w:val="21"/>
    </w:rPr>
  </w:style>
  <w:style w:type="table" w:customStyle="1" w:styleId="41">
    <w:name w:val="网格型1"/>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2">
    <w:name w:val="表格文字"/>
    <w:basedOn w:val="35"/>
    <w:link w:val="43"/>
    <w:autoRedefine/>
    <w:qFormat/>
    <w:uiPriority w:val="1"/>
    <w:pPr>
      <w:adjustRightInd/>
      <w:snapToGrid/>
      <w:spacing w:line="240" w:lineRule="auto"/>
      <w:ind w:firstLine="0" w:firstLineChars="0"/>
      <w:jc w:val="center"/>
    </w:pPr>
    <w:rPr>
      <w:rFonts w:cs="Times New Roman"/>
      <w:b w:val="0"/>
      <w:color w:val="auto"/>
      <w:kern w:val="2"/>
      <w:sz w:val="21"/>
      <w:szCs w:val="21"/>
    </w:rPr>
  </w:style>
  <w:style w:type="character" w:customStyle="1" w:styleId="43">
    <w:name w:val="表格文字 Char"/>
    <w:link w:val="42"/>
    <w:autoRedefine/>
    <w:qFormat/>
    <w:uiPriority w:val="1"/>
    <w:rPr>
      <w:rFonts w:eastAsia="宋体"/>
      <w:kern w:val="2"/>
      <w:sz w:val="21"/>
      <w:szCs w:val="21"/>
    </w:rPr>
  </w:style>
  <w:style w:type="table" w:customStyle="1" w:styleId="44">
    <w:name w:val="Table Normal"/>
    <w:autoRedefine/>
    <w:unhideWhenUsed/>
    <w:qFormat/>
    <w:uiPriority w:val="0"/>
    <w:tblPr>
      <w:tblCellMar>
        <w:top w:w="0" w:type="dxa"/>
        <w:left w:w="0" w:type="dxa"/>
        <w:bottom w:w="0" w:type="dxa"/>
        <w:right w:w="0" w:type="dxa"/>
      </w:tblCellMar>
    </w:tblPr>
  </w:style>
  <w:style w:type="paragraph" w:customStyle="1" w:styleId="45">
    <w:name w:val="【正文】"/>
    <w:basedOn w:val="1"/>
    <w:next w:val="12"/>
    <w:qFormat/>
    <w:uiPriority w:val="0"/>
    <w:pPr>
      <w:spacing w:line="360" w:lineRule="auto"/>
      <w:ind w:firstLine="200" w:firstLineChars="200"/>
    </w:pPr>
    <w:rPr>
      <w:rFonts w:cs="宋体"/>
      <w:color w:val="000000"/>
      <w:kern w:val="0"/>
      <w:sz w:val="24"/>
    </w:rPr>
  </w:style>
  <w:style w:type="paragraph" w:customStyle="1" w:styleId="46">
    <w:name w:val="【表头】"/>
    <w:basedOn w:val="1"/>
    <w:next w:val="1"/>
    <w:qFormat/>
    <w:uiPriority w:val="0"/>
    <w:pPr>
      <w:widowControl/>
      <w:adjustRightInd w:val="0"/>
      <w:snapToGrid w:val="0"/>
      <w:spacing w:line="400" w:lineRule="exact"/>
      <w:jc w:val="center"/>
    </w:pPr>
    <w:rPr>
      <w:rFonts w:eastAsia="仿宋" w:cs="宋体"/>
      <w:b/>
      <w:kern w:val="0"/>
      <w:sz w:val="24"/>
      <w:szCs w:val="20"/>
    </w:rPr>
  </w:style>
  <w:style w:type="paragraph" w:customStyle="1" w:styleId="47">
    <w:name w:val="AAA首行缩进2字符正文"/>
    <w:basedOn w:val="48"/>
    <w:qFormat/>
    <w:uiPriority w:val="0"/>
    <w:pPr>
      <w:adjustRightInd w:val="0"/>
      <w:snapToGrid w:val="0"/>
      <w:spacing w:line="500" w:lineRule="exact"/>
    </w:pPr>
    <w:rPr>
      <w:rFonts w:eastAsia="仿宋"/>
      <w:sz w:val="24"/>
    </w:rPr>
  </w:style>
  <w:style w:type="paragraph" w:customStyle="1" w:styleId="48">
    <w:name w:val="首行缩进正文"/>
    <w:basedOn w:val="45"/>
    <w:qFormat/>
    <w:uiPriority w:val="0"/>
    <w:rPr>
      <w:sz w:val="21"/>
    </w:rPr>
  </w:style>
  <w:style w:type="paragraph" w:customStyle="1" w:styleId="49">
    <w:name w:val="正文加粗"/>
    <w:basedOn w:val="1"/>
    <w:qFormat/>
    <w:uiPriority w:val="0"/>
    <w:rPr>
      <w:b/>
      <w:szCs w:val="21"/>
    </w:rPr>
  </w:style>
  <w:style w:type="character" w:customStyle="1" w:styleId="50">
    <w:name w:val="AAA正文1 字符"/>
    <w:link w:val="51"/>
    <w:qFormat/>
    <w:uiPriority w:val="0"/>
    <w:rPr>
      <w:rFonts w:eastAsia="仿宋"/>
      <w:color w:val="000000"/>
      <w:sz w:val="24"/>
    </w:rPr>
  </w:style>
  <w:style w:type="paragraph" w:customStyle="1" w:styleId="51">
    <w:name w:val="AAA正文1"/>
    <w:basedOn w:val="1"/>
    <w:link w:val="50"/>
    <w:qFormat/>
    <w:uiPriority w:val="0"/>
    <w:pPr>
      <w:adjustRightInd w:val="0"/>
      <w:snapToGrid w:val="0"/>
      <w:spacing w:line="500" w:lineRule="exact"/>
      <w:ind w:firstLine="200" w:firstLineChars="200"/>
    </w:pPr>
    <w:rPr>
      <w:rFonts w:eastAsia="仿宋"/>
      <w:color w:val="000000"/>
      <w:sz w:val="24"/>
    </w:rPr>
  </w:style>
  <w:style w:type="paragraph" w:customStyle="1" w:styleId="52">
    <w:name w:val="【表中表】"/>
    <w:basedOn w:val="1"/>
    <w:next w:val="1"/>
    <w:qFormat/>
    <w:uiPriority w:val="0"/>
    <w:pPr>
      <w:adjustRightInd w:val="0"/>
      <w:snapToGrid w:val="0"/>
      <w:jc w:val="center"/>
    </w:pPr>
    <w:rPr>
      <w:rFonts w:eastAsia="仿宋"/>
      <w:kern w:val="0"/>
      <w:szCs w:val="20"/>
    </w:rPr>
  </w:style>
  <w:style w:type="paragraph" w:customStyle="1" w:styleId="53">
    <w:name w:val="Table Text"/>
    <w:basedOn w:val="1"/>
    <w:semiHidden/>
    <w:qFormat/>
    <w:uiPriority w:val="0"/>
    <w:rPr>
      <w:rFonts w:ascii="宋体" w:hAnsi="宋体" w:eastAsia="宋体" w:cs="宋体"/>
      <w:sz w:val="24"/>
      <w:szCs w:val="24"/>
      <w:lang w:val="en-US" w:eastAsia="en-US" w:bidi="ar-SA"/>
    </w:rPr>
  </w:style>
  <w:style w:type="paragraph" w:customStyle="1" w:styleId="54">
    <w:name w:val="表格标题"/>
    <w:basedOn w:val="1"/>
    <w:next w:val="1"/>
    <w:qFormat/>
    <w:uiPriority w:val="0"/>
    <w:pPr>
      <w:spacing w:line="240" w:lineRule="auto"/>
      <w:ind w:firstLine="0" w:firstLineChars="0"/>
      <w:jc w:val="center"/>
    </w:pPr>
    <w:rPr>
      <w:rFonts w:hint="eastAsia"/>
      <w:b/>
      <w:sz w:val="21"/>
    </w:rPr>
  </w:style>
  <w:style w:type="paragraph" w:customStyle="1" w:styleId="55">
    <w:name w:val="Normal Indent1"/>
    <w:basedOn w:val="1"/>
    <w:autoRedefine/>
    <w:qFormat/>
    <w:uiPriority w:val="0"/>
    <w:pPr>
      <w:ind w:firstLine="420" w:firstLineChars="200"/>
    </w:pPr>
  </w:style>
  <w:style w:type="paragraph" w:customStyle="1" w:styleId="56">
    <w:name w:val="表中表"/>
    <w:basedOn w:val="1"/>
    <w:unhideWhenUsed/>
    <w:qFormat/>
    <w:uiPriority w:val="0"/>
    <w:pPr>
      <w:wordWrap w:val="0"/>
      <w:adjustRightInd w:val="0"/>
      <w:snapToGrid w:val="0"/>
      <w:spacing w:beforeLines="0" w:afterLines="0"/>
      <w:jc w:val="center"/>
    </w:pPr>
    <w:rPr>
      <w:rFonts w:hint="default" w:ascii="宋体"/>
      <w:kern w:val="0"/>
      <w:sz w:val="21"/>
      <w:szCs w:val="21"/>
    </w:rPr>
  </w:style>
  <w:style w:type="paragraph" w:customStyle="1" w:styleId="57">
    <w:name w:val="7表格文字"/>
    <w:basedOn w:val="1"/>
    <w:next w:val="1"/>
    <w:unhideWhenUsed/>
    <w:qFormat/>
    <w:uiPriority w:val="0"/>
    <w:pPr>
      <w:adjustRightInd w:val="0"/>
      <w:snapToGrid w:val="0"/>
      <w:spacing w:before="10" w:beforeLines="10" w:after="10" w:afterLines="10" w:line="259" w:lineRule="auto"/>
      <w:jc w:val="center"/>
    </w:pPr>
    <w:rPr>
      <w:rFonts w:hint="default"/>
      <w:kern w:val="0"/>
      <w:sz w:val="21"/>
      <w:szCs w:val="20"/>
    </w:rPr>
  </w:style>
  <w:style w:type="paragraph" w:customStyle="1" w:styleId="58">
    <w:name w:val="Table Paragraph"/>
    <w:basedOn w:val="1"/>
    <w:unhideWhenUsed/>
    <w:qFormat/>
    <w:uiPriority w:val="1"/>
    <w:pPr>
      <w:spacing w:beforeLines="0" w:afterLines="0"/>
      <w:jc w:val="center"/>
    </w:pPr>
    <w:rPr>
      <w:rFonts w:hint="default" w:ascii="宋体" w:hAnsi="宋体" w:cs="宋体"/>
      <w:sz w:val="21"/>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wmf"/><Relationship Id="rId38" Type="http://schemas.openxmlformats.org/officeDocument/2006/relationships/oleObject" Target="embeddings/oleObject13.bin"/><Relationship Id="rId37" Type="http://schemas.openxmlformats.org/officeDocument/2006/relationships/image" Target="media/image15.wmf"/><Relationship Id="rId36" Type="http://schemas.openxmlformats.org/officeDocument/2006/relationships/oleObject" Target="embeddings/oleObject12.bin"/><Relationship Id="rId35" Type="http://schemas.openxmlformats.org/officeDocument/2006/relationships/image" Target="media/image14.wmf"/><Relationship Id="rId34" Type="http://schemas.openxmlformats.org/officeDocument/2006/relationships/oleObject" Target="embeddings/oleObject11.bin"/><Relationship Id="rId33" Type="http://schemas.openxmlformats.org/officeDocument/2006/relationships/image" Target="media/image13.wmf"/><Relationship Id="rId32" Type="http://schemas.openxmlformats.org/officeDocument/2006/relationships/oleObject" Target="embeddings/oleObject10.bin"/><Relationship Id="rId31" Type="http://schemas.openxmlformats.org/officeDocument/2006/relationships/image" Target="media/image12.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8.bin"/><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emf"/><Relationship Id="rId21" Type="http://schemas.openxmlformats.org/officeDocument/2006/relationships/oleObject" Target="embeddings/oleObject5.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52434</Words>
  <Characters>57686</Characters>
  <Lines>567</Lines>
  <Paragraphs>159</Paragraphs>
  <TotalTime>11</TotalTime>
  <ScaleCrop>false</ScaleCrop>
  <LinksUpToDate>false</LinksUpToDate>
  <CharactersWithSpaces>57935</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2024-04-02T12:48:00Z</dcterms:created>
  <dc:creator>lhj</dc:creator>
  <cp:lastModifiedBy>Administrator</cp:lastModifiedBy>
  <cp:lastPrinted>2024-04-25T12:44:00Z</cp:lastPrinted>
  <dcterms:modified xsi:type="dcterms:W3CDTF">2026-03-26T02:06:23Z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417B31D05F7647D788E108624609A862_13</vt:lpwstr>
  </property>
  <property fmtid="{D5CDD505-2E9C-101B-9397-08002B2CF9AE}" pid="4" name="KSOTemplateDocerSaveRecord">
    <vt:lpwstr>eyJoZGlkIjoiYjdlMTBlNDFlYmNkNzk4YzViZGE3NzM1Y2Q2NjgyN2QiLCJ1c2VySWQiOiIyOTgyNTUwNDEifQ==</vt:lpwstr>
  </property>
</Properties>
</file>